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Independent outcome-cohort proteome scan (IAMDGC late AMD; Jansen 2019 AD; 2,923 proteins; identical pipeline and denominators as S1).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Independent outcome-cohort proteome scan (IAMDGC late AMD; Jansen 2019 AD; 2,923 proteins; identical pipeline and denominators as S1). Top-20 hits by raw P per scan (gene-level) with β, SE, P, n_snp; Bonferroni hits: 13 (IAMDGC: APOE, C2, CDSN, CFB, CFD, CFHR2, CFHR4, CFHR5, DXO, F13B, HLA-DRA, HLA-E, PLA2G2A) and 5 (Jansen: APOE, ACE, EPHA1, PILRA, TREM2). APOE is the only protein in the intersection of the four outcome scans (R13-AMD, R13-AD, IAMDGC-AMD, Jansen-AD). Source: supp_S1b_new_scans_tophits.csv.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TableS1b_new_scans_tophits.csv  (40 data rows x 7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bxy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bxy_se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rank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scan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2.3278614149716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0.100515004634038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1.17049165613066e-118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0.757166884019251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0.0470717227478441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3.23026687782885e-58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1.10727645187908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0.069805206788235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1.15442066895352e-56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0.724632492628497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0.0715220783258828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4.00083178006028e-24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0.583178753826965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0.071232371043941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2.67839030446538e-16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0.406272137704741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0.0543527133613152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7.73594911001902e-14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0.307858297137976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0.0413850663738261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1.01547067690365e-13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0.418197964602474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0.0603932348066133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4.37261737836503e-12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0.212169667565009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0.0345981404330238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8.65626307509393e-10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0.219183458872978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0.0459075115010409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1.80192402619279e-06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0.22156223652469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0.0468372992601594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2.24005399679825e-06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-0.208356015799712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0.0468721126015762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8.78092593458204e-06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0.508643905953729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0.117184718568276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1.42138800672542e-05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FUT5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0.203731994032709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0.0525314036527972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0.000105193468637482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ARG1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-0.346325800352401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0.0958639396818979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0.00030304783481641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PLTP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0.225796365138834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0.0650875823563448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0.000522174187591092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PXDNL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-0.243885823874951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0.0722234436252799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0.00073328078960642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MOG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-0.257191764828741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0.0768850862919423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0.000822395526482482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PCSK7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-0.236141287610949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0.0717079321789761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0.000990897352171314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MLN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0.184211087161522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0.0580893956701432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0.00151828617959623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-0.25177633795872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0.00778958869542971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3.41592834653911e-229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-0.056755338058644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0.0108019317611191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1.48682105399043e-07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-0.0866612482549392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0.0174510142344567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6.83578139053083e-07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0.0313311723139599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0.00664737411139748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2.43718238562411e-06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-0.0257858077802732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0.00587685079586764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1.14560158151314e-05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0.0140431750850243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0.00359333753997955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9.30191649295627e-05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ZBTB16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0.0283042815561765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0.00770608361567021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0.0002397394035837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0.0225370087011763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0.00626493970257008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0.00032150972510766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-0.017976596483626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0.00529343430648357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0.000683739433876934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-0.168051212976983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0.0519756927225094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0.00122383774665119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PRSS53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-0.0162625715744031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0.00520548702978318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0.00178337076395239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ECM1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0.0212706819638309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0.00681540928729896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0.001802569317869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SERPINE2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-0.0213954547216962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0.00687083725144192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0.00184599762565072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COL4A1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-0.0337698052520716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0.0112527249664987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0.0026906491015153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PYDC1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0.0242711214858725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0.00835634544227675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0.0036782387111118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SERPINI2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0.0514323232848696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0.0180134763774109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0.00430078889515533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OXT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0.0185407828400588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0.00651280573804162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0.00441583825138099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GGT1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-0.0269598034095718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0.00948777751615282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0.0044897642897306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DNPH1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0.0272406820120219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0.0096022404873556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0.00455525997829961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DRAXIN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0.0576985880488972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0.020450558641224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0.00478190478102469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