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S1h</w:t>
      </w:r>
    </w:p>
    <w:p>
      <w:pPr>
        <w:spacing w:after="80"/>
      </w:pPr>
      <w:r>
        <w:rPr>
          <w:rFonts w:ascii="Arial" w:hAnsi="Arial" w:eastAsia="Noto Sans CJK SC"/>
          <w:b/>
          <w:i w:val="0"/>
          <w:sz w:val="21"/>
        </w:rPr>
        <w:t>Supplementary Table S1h</w:t>
      </w:r>
    </w:p>
    <w:p>
      <w:pPr>
        <w:spacing w:after="80"/>
      </w:pPr>
      <w:r>
        <w:rPr>
          <w:rFonts w:ascii="Arial" w:hAnsi="Arial" w:eastAsia="Noto Sans CJK SC"/>
          <w:b w:val="0"/>
          <w:i w:val="0"/>
          <w:sz w:val="18"/>
        </w:rPr>
        <w:t>Data resources. Every dataset used in this study, with its type, the sample size as stated in the manuscript, its role in the analysis (discovery, first validation, second validation, exposure, reference panel or external validation) and its accession or source URL. Source: `revision/results/paired_pqtl_tables/` build of `tmp/supp_datatable/TableS1_data_resources.csv`.</w:t>
      </w:r>
    </w:p>
    <w:p>
      <w:pPr>
        <w:spacing w:after="80"/>
      </w:pPr>
      <w:r>
        <w:rPr>
          <w:rFonts w:ascii="Arial" w:hAnsi="Arial" w:eastAsia="Noto Sans CJK SC"/>
          <w:b w:val="0"/>
          <w:i/>
          <w:sz w:val="16"/>
        </w:rPr>
        <w:t>Delivered file: TableS1h_data_resources.csv  (18 data rows x 5 columns)  |  manuscript: v128 (00_manuscript_NC_v128_20260917.md)  |  generated 2026-09-17</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
              <w:rPr>
                <w:rFonts w:ascii="Arial" w:hAnsi="Arial" w:eastAsia="Noto Sans CJK SC"/>
                <w:b/>
                <w:sz w:val="18"/>
              </w:rPr>
              <w:t>Resource</w:t>
            </w:r>
          </w:p>
        </w:tc>
        <w:tc>
          <w:tcPr>
            <w:tcW w:type="dxa" w:w="1728"/>
          </w:tcPr>
          <w:p>
            <w:r/>
            <w:r>
              <w:rPr>
                <w:rFonts w:ascii="Arial" w:hAnsi="Arial" w:eastAsia="Noto Sans CJK SC"/>
                <w:b/>
                <w:sz w:val="18"/>
              </w:rPr>
              <w:t>Type</w:t>
            </w:r>
          </w:p>
        </w:tc>
        <w:tc>
          <w:tcPr>
            <w:tcW w:type="dxa" w:w="1728"/>
          </w:tcPr>
          <w:p>
            <w:r/>
            <w:r>
              <w:rPr>
                <w:rFonts w:ascii="Arial" w:hAnsi="Arial" w:eastAsia="Noto Sans CJK SC"/>
                <w:b/>
                <w:sz w:val="18"/>
              </w:rPr>
              <w:t>Sample size (as stated in the manuscript)</w:t>
            </w:r>
          </w:p>
        </w:tc>
        <w:tc>
          <w:tcPr>
            <w:tcW w:type="dxa" w:w="1728"/>
          </w:tcPr>
          <w:p>
            <w:r/>
            <w:r>
              <w:rPr>
                <w:rFonts w:ascii="Arial" w:hAnsi="Arial" w:eastAsia="Noto Sans CJK SC"/>
                <w:b/>
                <w:sz w:val="18"/>
              </w:rPr>
              <w:t>Role in this study</w:t>
            </w:r>
          </w:p>
        </w:tc>
        <w:tc>
          <w:tcPr>
            <w:tcW w:type="dxa" w:w="1728"/>
          </w:tcPr>
          <w:p>
            <w:r/>
            <w:r>
              <w:rPr>
                <w:rFonts w:ascii="Arial" w:hAnsi="Arial" w:eastAsia="Noto Sans CJK SC"/>
                <w:b/>
                <w:sz w:val="18"/>
              </w:rPr>
              <w:t>Accession / source</w:t>
            </w:r>
          </w:p>
        </w:tc>
      </w:tr>
      <w:tr>
        <w:tc>
          <w:tcPr>
            <w:tcW w:type="dxa" w:w="1728"/>
          </w:tcPr>
          <w:p>
            <w:r/>
            <w:r>
              <w:rPr>
                <w:rFonts w:ascii="Arial" w:hAnsi="Arial" w:eastAsia="Noto Sans CJK SC"/>
                <w:b w:val="0"/>
                <w:sz w:val="18"/>
              </w:rPr>
              <w:t>FinnGen R13 H7_AMD</w:t>
            </w:r>
          </w:p>
        </w:tc>
        <w:tc>
          <w:tcPr>
            <w:tcW w:type="dxa" w:w="1728"/>
          </w:tcPr>
          <w:p>
            <w:r/>
            <w:r>
              <w:rPr>
                <w:rFonts w:ascii="Arial" w:hAnsi="Arial" w:eastAsia="Noto Sans CJK SC"/>
                <w:b w:val="0"/>
                <w:sz w:val="18"/>
              </w:rPr>
              <w:t>GWAS, late AMD (discovery)</w:t>
            </w:r>
          </w:p>
        </w:tc>
        <w:tc>
          <w:tcPr>
            <w:tcW w:type="dxa" w:w="1728"/>
          </w:tcPr>
          <w:p>
            <w:r/>
            <w:r>
              <w:rPr>
                <w:rFonts w:ascii="Arial" w:hAnsi="Arial" w:eastAsia="Noto Sans CJK SC"/>
                <w:b w:val="0"/>
                <w:sz w:val="18"/>
              </w:rPr>
              <w:t>N = 472,750 (13,947 cases / 458,803 controls)</w:t>
            </w:r>
          </w:p>
        </w:tc>
        <w:tc>
          <w:tcPr>
            <w:tcW w:type="dxa" w:w="1728"/>
          </w:tcPr>
          <w:p>
            <w:r/>
            <w:r>
              <w:rPr>
                <w:rFonts w:ascii="Arial" w:hAnsi="Arial" w:eastAsia="Noto Sans CJK SC"/>
                <w:b w:val="0"/>
                <w:sz w:val="18"/>
              </w:rPr>
              <w:t>Discovery cohort for all primary MR estimates</w:t>
            </w:r>
          </w:p>
        </w:tc>
        <w:tc>
          <w:tcPr>
            <w:tcW w:type="dxa" w:w="1728"/>
          </w:tcPr>
          <w:p>
            <w:r/>
            <w:r>
              <w:rPr>
                <w:rFonts w:ascii="Arial" w:hAnsi="Arial" w:eastAsia="Noto Sans CJK SC"/>
                <w:b w:val="0"/>
                <w:sz w:val="18"/>
              </w:rPr>
              <w:t>https://www.finngen.fi/</w:t>
            </w:r>
          </w:p>
        </w:tc>
      </w:tr>
      <w:tr>
        <w:tc>
          <w:tcPr>
            <w:tcW w:type="dxa" w:w="1728"/>
          </w:tcPr>
          <w:p>
            <w:r/>
            <w:r>
              <w:rPr>
                <w:rFonts w:ascii="Arial" w:hAnsi="Arial" w:eastAsia="Noto Sans CJK SC"/>
                <w:b w:val="0"/>
                <w:sz w:val="18"/>
              </w:rPr>
              <w:t>FinnGen R13 DRY_AMD</w:t>
            </w:r>
          </w:p>
        </w:tc>
        <w:tc>
          <w:tcPr>
            <w:tcW w:type="dxa" w:w="1728"/>
          </w:tcPr>
          <w:p>
            <w:r/>
            <w:r>
              <w:rPr>
                <w:rFonts w:ascii="Arial" w:hAnsi="Arial" w:eastAsia="Noto Sans CJK SC"/>
                <w:b w:val="0"/>
                <w:sz w:val="18"/>
              </w:rPr>
              <w:t>GWAS, dry AMD subtype</w:t>
            </w:r>
          </w:p>
        </w:tc>
        <w:tc>
          <w:tcPr>
            <w:tcW w:type="dxa" w:w="1728"/>
          </w:tcPr>
          <w:p>
            <w:r/>
            <w:r>
              <w:rPr>
                <w:rFonts w:ascii="Arial" w:hAnsi="Arial" w:eastAsia="Noto Sans CJK SC"/>
                <w:b w:val="0"/>
                <w:sz w:val="18"/>
              </w:rPr>
              <w:t>9,533 cases / 333,701 controls</w:t>
            </w:r>
          </w:p>
        </w:tc>
        <w:tc>
          <w:tcPr>
            <w:tcW w:type="dxa" w:w="1728"/>
          </w:tcPr>
          <w:p>
            <w:r/>
            <w:r>
              <w:rPr>
                <w:rFonts w:ascii="Arial" w:hAnsi="Arial" w:eastAsia="Noto Sans CJK SC"/>
                <w:b w:val="0"/>
                <w:sz w:val="18"/>
              </w:rPr>
              <w:t>AMD subtype consistency (Supp. Table S21)</w:t>
            </w:r>
          </w:p>
        </w:tc>
        <w:tc>
          <w:tcPr>
            <w:tcW w:type="dxa" w:w="1728"/>
          </w:tcPr>
          <w:p>
            <w:r/>
            <w:r>
              <w:rPr>
                <w:rFonts w:ascii="Arial" w:hAnsi="Arial" w:eastAsia="Noto Sans CJK SC"/>
                <w:b w:val="0"/>
                <w:sz w:val="18"/>
              </w:rPr>
              <w:t>https://www.finngen.fi/</w:t>
            </w:r>
          </w:p>
        </w:tc>
      </w:tr>
      <w:tr>
        <w:tc>
          <w:tcPr>
            <w:tcW w:type="dxa" w:w="1728"/>
          </w:tcPr>
          <w:p>
            <w:r/>
            <w:r>
              <w:rPr>
                <w:rFonts w:ascii="Arial" w:hAnsi="Arial" w:eastAsia="Noto Sans CJK SC"/>
                <w:b w:val="0"/>
                <w:sz w:val="18"/>
              </w:rPr>
              <w:t>FinnGen R13 WET_AMD</w:t>
            </w:r>
          </w:p>
        </w:tc>
        <w:tc>
          <w:tcPr>
            <w:tcW w:type="dxa" w:w="1728"/>
          </w:tcPr>
          <w:p>
            <w:r/>
            <w:r>
              <w:rPr>
                <w:rFonts w:ascii="Arial" w:hAnsi="Arial" w:eastAsia="Noto Sans CJK SC"/>
                <w:b w:val="0"/>
                <w:sz w:val="18"/>
              </w:rPr>
              <w:t>GWAS, wet AMD subtype</w:t>
            </w:r>
          </w:p>
        </w:tc>
        <w:tc>
          <w:tcPr>
            <w:tcW w:type="dxa" w:w="1728"/>
          </w:tcPr>
          <w:p>
            <w:r/>
            <w:r>
              <w:rPr>
                <w:rFonts w:ascii="Arial" w:hAnsi="Arial" w:eastAsia="Noto Sans CJK SC"/>
                <w:b w:val="0"/>
                <w:sz w:val="18"/>
              </w:rPr>
              <w:t>7,529 cases / 335,608 controls</w:t>
            </w:r>
          </w:p>
        </w:tc>
        <w:tc>
          <w:tcPr>
            <w:tcW w:type="dxa" w:w="1728"/>
          </w:tcPr>
          <w:p>
            <w:r/>
            <w:r>
              <w:rPr>
                <w:rFonts w:ascii="Arial" w:hAnsi="Arial" w:eastAsia="Noto Sans CJK SC"/>
                <w:b w:val="0"/>
                <w:sz w:val="18"/>
              </w:rPr>
              <w:t>AMD subtype consistency (Supp. Table S21)</w:t>
            </w:r>
          </w:p>
        </w:tc>
        <w:tc>
          <w:tcPr>
            <w:tcW w:type="dxa" w:w="1728"/>
          </w:tcPr>
          <w:p>
            <w:r/>
            <w:r>
              <w:rPr>
                <w:rFonts w:ascii="Arial" w:hAnsi="Arial" w:eastAsia="Noto Sans CJK SC"/>
                <w:b w:val="0"/>
                <w:sz w:val="18"/>
              </w:rPr>
              <w:t>https://www.finngen.fi/</w:t>
            </w:r>
          </w:p>
        </w:tc>
      </w:tr>
      <w:tr>
        <w:tc>
          <w:tcPr>
            <w:tcW w:type="dxa" w:w="1728"/>
          </w:tcPr>
          <w:p>
            <w:r/>
            <w:r>
              <w:rPr>
                <w:rFonts w:ascii="Arial" w:hAnsi="Arial" w:eastAsia="Noto Sans CJK SC"/>
                <w:b w:val="0"/>
                <w:sz w:val="18"/>
              </w:rPr>
              <w:t>FinnGen R13 G6_ALZHEIMER</w:t>
            </w:r>
          </w:p>
        </w:tc>
        <w:tc>
          <w:tcPr>
            <w:tcW w:type="dxa" w:w="1728"/>
          </w:tcPr>
          <w:p>
            <w:r/>
            <w:r>
              <w:rPr>
                <w:rFonts w:ascii="Arial" w:hAnsi="Arial" w:eastAsia="Noto Sans CJK SC"/>
                <w:b w:val="0"/>
                <w:sz w:val="18"/>
              </w:rPr>
              <w:t>GWAS, Alzheimer's disease (discovery)</w:t>
            </w:r>
          </w:p>
        </w:tc>
        <w:tc>
          <w:tcPr>
            <w:tcW w:type="dxa" w:w="1728"/>
          </w:tcPr>
          <w:p>
            <w:r/>
            <w:r>
              <w:rPr>
                <w:rFonts w:ascii="Arial" w:hAnsi="Arial" w:eastAsia="Noto Sans CJK SC"/>
                <w:b w:val="0"/>
                <w:sz w:val="18"/>
              </w:rPr>
              <w:t>N = 500,186 (16,652 cases)</w:t>
            </w:r>
          </w:p>
        </w:tc>
        <w:tc>
          <w:tcPr>
            <w:tcW w:type="dxa" w:w="1728"/>
          </w:tcPr>
          <w:p>
            <w:r/>
            <w:r>
              <w:rPr>
                <w:rFonts w:ascii="Arial" w:hAnsi="Arial" w:eastAsia="Noto Sans CJK SC"/>
                <w:b w:val="0"/>
                <w:sz w:val="18"/>
              </w:rPr>
              <w:t>Discovery cohort for all primary MR estimates</w:t>
            </w:r>
          </w:p>
        </w:tc>
        <w:tc>
          <w:tcPr>
            <w:tcW w:type="dxa" w:w="1728"/>
          </w:tcPr>
          <w:p>
            <w:r/>
            <w:r>
              <w:rPr>
                <w:rFonts w:ascii="Arial" w:hAnsi="Arial" w:eastAsia="Noto Sans CJK SC"/>
                <w:b w:val="0"/>
                <w:sz w:val="18"/>
              </w:rPr>
              <w:t>https://www.finngen.fi/</w:t>
            </w:r>
          </w:p>
        </w:tc>
      </w:tr>
      <w:tr>
        <w:tc>
          <w:tcPr>
            <w:tcW w:type="dxa" w:w="1728"/>
          </w:tcPr>
          <w:p>
            <w:r/>
            <w:r>
              <w:rPr>
                <w:rFonts w:ascii="Arial" w:hAnsi="Arial" w:eastAsia="Noto Sans CJK SC"/>
                <w:b w:val="0"/>
                <w:sz w:val="18"/>
              </w:rPr>
              <w:t>IAMDGC late AMD</w:t>
            </w:r>
          </w:p>
        </w:tc>
        <w:tc>
          <w:tcPr>
            <w:tcW w:type="dxa" w:w="1728"/>
          </w:tcPr>
          <w:p>
            <w:r/>
            <w:r>
              <w:rPr>
                <w:rFonts w:ascii="Arial" w:hAnsi="Arial" w:eastAsia="Noto Sans CJK SC"/>
                <w:b w:val="0"/>
                <w:sz w:val="18"/>
              </w:rPr>
              <w:t>GWAS, late AMD (first validation)</w:t>
            </w:r>
          </w:p>
        </w:tc>
        <w:tc>
          <w:tcPr>
            <w:tcW w:type="dxa" w:w="1728"/>
          </w:tcPr>
          <w:p>
            <w:r/>
            <w:r>
              <w:rPr>
                <w:rFonts w:ascii="Arial" w:hAnsi="Arial" w:eastAsia="Noto Sans CJK SC"/>
                <w:b w:val="0"/>
                <w:sz w:val="18"/>
              </w:rPr>
              <w:t>N = 32,339 (16,144 late cases)</w:t>
            </w:r>
          </w:p>
        </w:tc>
        <w:tc>
          <w:tcPr>
            <w:tcW w:type="dxa" w:w="1728"/>
          </w:tcPr>
          <w:p>
            <w:r/>
            <w:r>
              <w:rPr>
                <w:rFonts w:ascii="Arial" w:hAnsi="Arial" w:eastAsia="Noto Sans CJK SC"/>
                <w:b w:val="0"/>
                <w:sz w:val="18"/>
              </w:rPr>
              <w:t>First validation cohort (AMD)</w:t>
            </w:r>
          </w:p>
        </w:tc>
        <w:tc>
          <w:tcPr>
            <w:tcW w:type="dxa" w:w="1728"/>
          </w:tcPr>
          <w:p>
            <w:r/>
            <w:r>
              <w:rPr>
                <w:rFonts w:ascii="Arial" w:hAnsi="Arial" w:eastAsia="Noto Sans CJK SC"/>
                <w:b w:val="0"/>
                <w:sz w:val="18"/>
              </w:rPr>
              <w:t>Fritsche 2016; dbGaP phs001039</w:t>
            </w:r>
          </w:p>
        </w:tc>
      </w:tr>
      <w:tr>
        <w:tc>
          <w:tcPr>
            <w:tcW w:type="dxa" w:w="1728"/>
          </w:tcPr>
          <w:p>
            <w:r/>
            <w:r>
              <w:rPr>
                <w:rFonts w:ascii="Arial" w:hAnsi="Arial" w:eastAsia="Noto Sans CJK SC"/>
                <w:b w:val="0"/>
                <w:sz w:val="18"/>
              </w:rPr>
              <w:t>Jansen 2019</w:t>
            </w:r>
          </w:p>
        </w:tc>
        <w:tc>
          <w:tcPr>
            <w:tcW w:type="dxa" w:w="1728"/>
          </w:tcPr>
          <w:p>
            <w:r/>
            <w:r>
              <w:rPr>
                <w:rFonts w:ascii="Arial" w:hAnsi="Arial" w:eastAsia="Noto Sans CJK SC"/>
                <w:b w:val="0"/>
                <w:sz w:val="18"/>
              </w:rPr>
              <w:t>GWAS, AD (first validation)</w:t>
            </w:r>
          </w:p>
        </w:tc>
        <w:tc>
          <w:tcPr>
            <w:tcW w:type="dxa" w:w="1728"/>
          </w:tcPr>
          <w:p>
            <w:r/>
            <w:r>
              <w:rPr>
                <w:rFonts w:ascii="Arial" w:hAnsi="Arial" w:eastAsia="Noto Sans CJK SC"/>
                <w:b w:val="0"/>
                <w:sz w:val="18"/>
              </w:rPr>
              <w:t>N = 455,258 (71,880 cases + 383,378 controls) at cohort level; the released file reports per-SNP n (359,856-430,000)</w:t>
            </w:r>
          </w:p>
        </w:tc>
        <w:tc>
          <w:tcPr>
            <w:tcW w:type="dxa" w:w="1728"/>
          </w:tcPr>
          <w:p>
            <w:r/>
            <w:r>
              <w:rPr>
                <w:rFonts w:ascii="Arial" w:hAnsi="Arial" w:eastAsia="Noto Sans CJK SC"/>
                <w:b w:val="0"/>
                <w:sz w:val="18"/>
              </w:rPr>
              <w:t>First validation cohort (AD)</w:t>
            </w:r>
          </w:p>
        </w:tc>
        <w:tc>
          <w:tcPr>
            <w:tcW w:type="dxa" w:w="1728"/>
          </w:tcPr>
          <w:p>
            <w:r/>
            <w:r>
              <w:rPr>
                <w:rFonts w:ascii="Arial" w:hAnsi="Arial" w:eastAsia="Noto Sans CJK SC"/>
                <w:b w:val="0"/>
                <w:sz w:val="18"/>
              </w:rPr>
              <w:t>Nat Genet 2019 supplementary</w:t>
            </w:r>
          </w:p>
        </w:tc>
      </w:tr>
      <w:tr>
        <w:tc>
          <w:tcPr>
            <w:tcW w:type="dxa" w:w="1728"/>
          </w:tcPr>
          <w:p>
            <w:r/>
            <w:r>
              <w:rPr>
                <w:rFonts w:ascii="Arial" w:hAnsi="Arial" w:eastAsia="Noto Sans CJK SC"/>
                <w:b w:val="0"/>
                <w:sz w:val="18"/>
              </w:rPr>
              <w:t>Million Veteran Program (MVP)</w:t>
            </w:r>
          </w:p>
        </w:tc>
        <w:tc>
          <w:tcPr>
            <w:tcW w:type="dxa" w:w="1728"/>
          </w:tcPr>
          <w:p>
            <w:r/>
            <w:r>
              <w:rPr>
                <w:rFonts w:ascii="Arial" w:hAnsi="Arial" w:eastAsia="Noto Sans CJK SC"/>
                <w:b w:val="0"/>
                <w:sz w:val="18"/>
              </w:rPr>
              <w:t>GWAS, AMD PheCode 362_2 (second validation)</w:t>
            </w:r>
          </w:p>
        </w:tc>
        <w:tc>
          <w:tcPr>
            <w:tcW w:type="dxa" w:w="1728"/>
          </w:tcPr>
          <w:p>
            <w:r/>
            <w:r>
              <w:rPr>
                <w:rFonts w:ascii="Arial" w:hAnsi="Arial" w:eastAsia="Noto Sans CJK SC"/>
                <w:b w:val="0"/>
                <w:sz w:val="18"/>
              </w:rPr>
              <w:t>70,936 cases / 536,119 controls (EUR 58,583; AFR 7,126; AMR 4,642; EAS 585)</w:t>
            </w:r>
          </w:p>
        </w:tc>
        <w:tc>
          <w:tcPr>
            <w:tcW w:type="dxa" w:w="1728"/>
          </w:tcPr>
          <w:p>
            <w:r/>
            <w:r>
              <w:rPr>
                <w:rFonts w:ascii="Arial" w:hAnsi="Arial" w:eastAsia="Noto Sans CJK SC"/>
                <w:b w:val="0"/>
                <w:sz w:val="18"/>
              </w:rPr>
              <w:t>Second validation cohort, trans-ancestry (AMD)</w:t>
            </w:r>
          </w:p>
        </w:tc>
        <w:tc>
          <w:tcPr>
            <w:tcW w:type="dxa" w:w="1728"/>
          </w:tcPr>
          <w:p>
            <w:r/>
            <w:r>
              <w:rPr>
                <w:rFonts w:ascii="Arial" w:hAnsi="Arial" w:eastAsia="Noto Sans CJK SC"/>
                <w:b w:val="0"/>
                <w:sz w:val="18"/>
              </w:rPr>
              <w:t>dbGaP phs002453.v1.p1</w:t>
            </w:r>
          </w:p>
        </w:tc>
      </w:tr>
      <w:tr>
        <w:tc>
          <w:tcPr>
            <w:tcW w:type="dxa" w:w="1728"/>
          </w:tcPr>
          <w:p>
            <w:r/>
            <w:r>
              <w:rPr>
                <w:rFonts w:ascii="Arial" w:hAnsi="Arial" w:eastAsia="Noto Sans CJK SC"/>
                <w:b w:val="0"/>
                <w:sz w:val="18"/>
              </w:rPr>
              <w:t>Bellenguez 2022</w:t>
            </w:r>
          </w:p>
        </w:tc>
        <w:tc>
          <w:tcPr>
            <w:tcW w:type="dxa" w:w="1728"/>
          </w:tcPr>
          <w:p>
            <w:r/>
            <w:r>
              <w:rPr>
                <w:rFonts w:ascii="Arial" w:hAnsi="Arial" w:eastAsia="Noto Sans CJK SC"/>
                <w:b w:val="0"/>
                <w:sz w:val="18"/>
              </w:rPr>
              <w:t>GWAS, AD (second validation)</w:t>
            </w:r>
          </w:p>
        </w:tc>
        <w:tc>
          <w:tcPr>
            <w:tcW w:type="dxa" w:w="1728"/>
          </w:tcPr>
          <w:p>
            <w:r/>
            <w:r>
              <w:rPr>
                <w:rFonts w:ascii="Arial" w:hAnsi="Arial" w:eastAsia="Noto Sans CJK SC"/>
                <w:b w:val="0"/>
                <w:sz w:val="18"/>
              </w:rPr>
              <w:t>published cohort N = 111,326 cases + 677,663 controls, but the released GCST90027158 summary statistics report per-variant n only (567 distinct values; modal n = 485,999), so the published case-control counts are not recoverable from the file</w:t>
            </w:r>
          </w:p>
        </w:tc>
        <w:tc>
          <w:tcPr>
            <w:tcW w:type="dxa" w:w="1728"/>
          </w:tcPr>
          <w:p>
            <w:r/>
            <w:r>
              <w:rPr>
                <w:rFonts w:ascii="Arial" w:hAnsi="Arial" w:eastAsia="Noto Sans CJK SC"/>
                <w:b w:val="0"/>
                <w:sz w:val="18"/>
              </w:rPr>
              <w:t>Second validation (AD); MAGMA gene set for scDRS/seismic</w:t>
            </w:r>
          </w:p>
        </w:tc>
        <w:tc>
          <w:tcPr>
            <w:tcW w:type="dxa" w:w="1728"/>
          </w:tcPr>
          <w:p>
            <w:r/>
            <w:r>
              <w:rPr>
                <w:rFonts w:ascii="Arial" w:hAnsi="Arial" w:eastAsia="Noto Sans CJK SC"/>
                <w:b w:val="0"/>
                <w:sz w:val="18"/>
              </w:rPr>
              <w:t>GWAS Catalog GCST90027158</w:t>
            </w:r>
          </w:p>
        </w:tc>
      </w:tr>
      <w:tr>
        <w:tc>
          <w:tcPr>
            <w:tcW w:type="dxa" w:w="1728"/>
          </w:tcPr>
          <w:p>
            <w:r/>
            <w:r>
              <w:rPr>
                <w:rFonts w:ascii="Arial" w:hAnsi="Arial" w:eastAsia="Noto Sans CJK SC"/>
                <w:b w:val="0"/>
                <w:sz w:val="18"/>
              </w:rPr>
              <w:t>Kunkle 2019</w:t>
            </w:r>
          </w:p>
        </w:tc>
        <w:tc>
          <w:tcPr>
            <w:tcW w:type="dxa" w:w="1728"/>
          </w:tcPr>
          <w:p>
            <w:r/>
            <w:r>
              <w:rPr>
                <w:rFonts w:ascii="Arial" w:hAnsi="Arial" w:eastAsia="Noto Sans CJK SC"/>
                <w:b w:val="0"/>
                <w:sz w:val="18"/>
              </w:rPr>
              <w:t>GWAS, AD (sensitivity)</w:t>
            </w:r>
          </w:p>
        </w:tc>
        <w:tc>
          <w:tcPr>
            <w:tcW w:type="dxa" w:w="1728"/>
          </w:tcPr>
          <w:p>
            <w:r/>
            <w:r>
              <w:rPr>
                <w:rFonts w:ascii="Arial" w:hAnsi="Arial" w:eastAsia="Noto Sans CJK SC"/>
                <w:b w:val="0"/>
                <w:sz w:val="18"/>
              </w:rPr>
              <w:t>N = 94,437 (35,274 cases / 59,163 controls) as reported in the source publication; the released file carries no per-SNP N column</w:t>
            </w:r>
          </w:p>
        </w:tc>
        <w:tc>
          <w:tcPr>
            <w:tcW w:type="dxa" w:w="1728"/>
          </w:tcPr>
          <w:p>
            <w:r/>
            <w:r>
              <w:rPr>
                <w:rFonts w:ascii="Arial" w:hAnsi="Arial" w:eastAsia="Noto Sans CJK SC"/>
                <w:b w:val="0"/>
                <w:sz w:val="18"/>
              </w:rPr>
              <w:t>epsilon-4 dose-response pooling and direction check</w:t>
            </w:r>
          </w:p>
        </w:tc>
        <w:tc>
          <w:tcPr>
            <w:tcW w:type="dxa" w:w="1728"/>
          </w:tcPr>
          <w:p>
            <w:r/>
            <w:r>
              <w:rPr>
                <w:rFonts w:ascii="Arial" w:hAnsi="Arial" w:eastAsia="Noto Sans CJK SC"/>
                <w:b w:val="0"/>
                <w:sz w:val="18"/>
              </w:rPr>
              <w:t>NIAGADS NG00075</w:t>
            </w:r>
          </w:p>
        </w:tc>
      </w:tr>
      <w:tr>
        <w:tc>
          <w:tcPr>
            <w:tcW w:type="dxa" w:w="1728"/>
          </w:tcPr>
          <w:p>
            <w:r/>
            <w:r>
              <w:rPr>
                <w:rFonts w:ascii="Arial" w:hAnsi="Arial" w:eastAsia="Noto Sans CJK SC"/>
                <w:b w:val="0"/>
                <w:sz w:val="18"/>
              </w:rPr>
              <w:t>UKB-PPP</w:t>
            </w:r>
          </w:p>
        </w:tc>
        <w:tc>
          <w:tcPr>
            <w:tcW w:type="dxa" w:w="1728"/>
          </w:tcPr>
          <w:p>
            <w:r/>
            <w:r>
              <w:rPr>
                <w:rFonts w:ascii="Arial" w:hAnsi="Arial" w:eastAsia="Noto Sans CJK SC"/>
                <w:b w:val="0"/>
                <w:sz w:val="18"/>
              </w:rPr>
              <w:t>Plasma pQTL (exposure, primary)</w:t>
            </w:r>
          </w:p>
        </w:tc>
        <w:tc>
          <w:tcPr>
            <w:tcW w:type="dxa" w:w="1728"/>
          </w:tcPr>
          <w:p>
            <w:r/>
            <w:r>
              <w:rPr>
                <w:rFonts w:ascii="Arial" w:hAnsi="Arial" w:eastAsia="Noto Sans CJK SC"/>
                <w:b w:val="0"/>
                <w:sz w:val="18"/>
              </w:rPr>
              <w:t>2,923 proteins assayed; pQTL analysis N ~ 34,000</w:t>
            </w:r>
          </w:p>
        </w:tc>
        <w:tc>
          <w:tcPr>
            <w:tcW w:type="dxa" w:w="1728"/>
          </w:tcPr>
          <w:p>
            <w:r/>
            <w:r>
              <w:rPr>
                <w:rFonts w:ascii="Arial" w:hAnsi="Arial" w:eastAsia="Noto Sans CJK SC"/>
                <w:b w:val="0"/>
                <w:sz w:val="18"/>
              </w:rPr>
              <w:t>Primary exposure instrument source (cis-pQTL)</w:t>
            </w:r>
          </w:p>
        </w:tc>
        <w:tc>
          <w:tcPr>
            <w:tcW w:type="dxa" w:w="1728"/>
          </w:tcPr>
          <w:p>
            <w:r/>
            <w:r>
              <w:rPr>
                <w:rFonts w:ascii="Arial" w:hAnsi="Arial" w:eastAsia="Noto Sans CJK SC"/>
                <w:b w:val="0"/>
                <w:sz w:val="18"/>
              </w:rPr>
              <w:t>Synapse syn51365303</w:t>
            </w:r>
          </w:p>
        </w:tc>
      </w:tr>
      <w:tr>
        <w:tc>
          <w:tcPr>
            <w:tcW w:type="dxa" w:w="1728"/>
          </w:tcPr>
          <w:p>
            <w:r/>
            <w:r>
              <w:rPr>
                <w:rFonts w:ascii="Arial" w:hAnsi="Arial" w:eastAsia="Noto Sans CJK SC"/>
                <w:b w:val="0"/>
                <w:sz w:val="18"/>
              </w:rPr>
              <w:t>deCODE (Icelandic Olink)</w:t>
            </w:r>
          </w:p>
        </w:tc>
        <w:tc>
          <w:tcPr>
            <w:tcW w:type="dxa" w:w="1728"/>
          </w:tcPr>
          <w:p>
            <w:r/>
            <w:r>
              <w:rPr>
                <w:rFonts w:ascii="Arial" w:hAnsi="Arial" w:eastAsia="Noto Sans CJK SC"/>
                <w:b w:val="0"/>
                <w:sz w:val="18"/>
              </w:rPr>
              <w:t>Plasma pQTL (exposure, second source)</w:t>
            </w:r>
          </w:p>
        </w:tc>
        <w:tc>
          <w:tcPr>
            <w:tcW w:type="dxa" w:w="1728"/>
          </w:tcPr>
          <w:p>
            <w:r/>
            <w:r>
              <w:rPr>
                <w:rFonts w:ascii="Arial" w:hAnsi="Arial" w:eastAsia="Noto Sans CJK SC"/>
                <w:b w:val="0"/>
                <w:sz w:val="18"/>
              </w:rPr>
              <w:t>N = 35,367-35,372 per SNP</w:t>
            </w:r>
          </w:p>
        </w:tc>
        <w:tc>
          <w:tcPr>
            <w:tcW w:type="dxa" w:w="1728"/>
          </w:tcPr>
          <w:p>
            <w:r/>
            <w:r>
              <w:rPr>
                <w:rFonts w:ascii="Arial" w:hAnsi="Arial" w:eastAsia="Noto Sans CJK SC"/>
                <w:b w:val="0"/>
                <w:sz w:val="18"/>
              </w:rPr>
              <w:t>Second exposure source (zero sample overlap)</w:t>
            </w:r>
          </w:p>
        </w:tc>
        <w:tc>
          <w:tcPr>
            <w:tcW w:type="dxa" w:w="1728"/>
          </w:tcPr>
          <w:p>
            <w:r/>
            <w:r>
              <w:rPr>
                <w:rFonts w:ascii="Arial" w:hAnsi="Arial" w:eastAsia="Noto Sans CJK SC"/>
                <w:b w:val="0"/>
                <w:sz w:val="18"/>
              </w:rPr>
              <w:t>https://www.decode.com/summarydata/</w:t>
            </w:r>
          </w:p>
        </w:tc>
      </w:tr>
      <w:tr>
        <w:tc>
          <w:tcPr>
            <w:tcW w:type="dxa" w:w="1728"/>
          </w:tcPr>
          <w:p>
            <w:r/>
            <w:r>
              <w:rPr>
                <w:rFonts w:ascii="Arial" w:hAnsi="Arial" w:eastAsia="Noto Sans CJK SC"/>
                <w:b w:val="0"/>
                <w:sz w:val="18"/>
              </w:rPr>
              <w:t>GSE230348</w:t>
            </w:r>
          </w:p>
        </w:tc>
        <w:tc>
          <w:tcPr>
            <w:tcW w:type="dxa" w:w="1728"/>
          </w:tcPr>
          <w:p>
            <w:r/>
            <w:r>
              <w:rPr>
                <w:rFonts w:ascii="Arial" w:hAnsi="Arial" w:eastAsia="Noto Sans CJK SC"/>
                <w:b w:val="0"/>
                <w:sz w:val="18"/>
              </w:rPr>
              <w:t>Single-cell RNA-seq (retina + RPE/choroid)</w:t>
            </w:r>
          </w:p>
        </w:tc>
        <w:tc>
          <w:tcPr>
            <w:tcW w:type="dxa" w:w="1728"/>
          </w:tcPr>
          <w:p>
            <w:r/>
            <w:r>
              <w:rPr>
                <w:rFonts w:ascii="Arial" w:hAnsi="Arial" w:eastAsia="Noto Sans CJK SC"/>
                <w:b w:val="0"/>
                <w:sz w:val="18"/>
              </w:rPr>
              <w:t>591,456 cells (75 samples)</w:t>
            </w:r>
          </w:p>
        </w:tc>
        <w:tc>
          <w:tcPr>
            <w:tcW w:type="dxa" w:w="1728"/>
          </w:tcPr>
          <w:p>
            <w:r/>
            <w:r>
              <w:rPr>
                <w:rFonts w:ascii="Arial" w:hAnsi="Arial" w:eastAsia="Noto Sans CJK SC"/>
                <w:b w:val="0"/>
                <w:sz w:val="18"/>
              </w:rPr>
              <w:t>Cell-type layer (Figure 5)</w:t>
            </w:r>
          </w:p>
        </w:tc>
        <w:tc>
          <w:tcPr>
            <w:tcW w:type="dxa" w:w="1728"/>
          </w:tcPr>
          <w:p>
            <w:r/>
            <w:r>
              <w:rPr>
                <w:rFonts w:ascii="Arial" w:hAnsi="Arial" w:eastAsia="Noto Sans CJK SC"/>
                <w:b w:val="0"/>
                <w:sz w:val="18"/>
              </w:rPr>
              <w:t>GEO GSE230348</w:t>
            </w:r>
          </w:p>
        </w:tc>
      </w:tr>
      <w:tr>
        <w:tc>
          <w:tcPr>
            <w:tcW w:type="dxa" w:w="1728"/>
          </w:tcPr>
          <w:p>
            <w:r/>
            <w:r>
              <w:rPr>
                <w:rFonts w:ascii="Arial" w:hAnsi="Arial" w:eastAsia="Noto Sans CJK SC"/>
                <w:b w:val="0"/>
                <w:sz w:val="18"/>
              </w:rPr>
              <w:t>GSE137537</w:t>
            </w:r>
          </w:p>
        </w:tc>
        <w:tc>
          <w:tcPr>
            <w:tcW w:type="dxa" w:w="1728"/>
          </w:tcPr>
          <w:p>
            <w:r/>
            <w:r>
              <w:rPr>
                <w:rFonts w:ascii="Arial" w:hAnsi="Arial" w:eastAsia="Noto Sans CJK SC"/>
                <w:b w:val="0"/>
                <w:sz w:val="18"/>
              </w:rPr>
              <w:t>Single-cell RNA-seq (adult retina reference)</w:t>
            </w:r>
          </w:p>
        </w:tc>
        <w:tc>
          <w:tcPr>
            <w:tcW w:type="dxa" w:w="1728"/>
          </w:tcPr>
          <w:p>
            <w:r/>
            <w:r>
              <w:rPr>
                <w:rFonts w:ascii="Arial" w:hAnsi="Arial" w:eastAsia="Noto Sans CJK SC"/>
                <w:b w:val="0"/>
                <w:sz w:val="18"/>
              </w:rPr>
              <w:t>(manuscript gives no cell count for the reference itself)</w:t>
            </w:r>
          </w:p>
        </w:tc>
        <w:tc>
          <w:tcPr>
            <w:tcW w:type="dxa" w:w="1728"/>
          </w:tcPr>
          <w:p>
            <w:r/>
            <w:r>
              <w:rPr>
                <w:rFonts w:ascii="Arial" w:hAnsi="Arial" w:eastAsia="Noto Sans CJK SC"/>
                <w:b w:val="0"/>
                <w:sz w:val="18"/>
              </w:rPr>
              <w:t>Adult-reference nine-type labelling transferred onto GSE230348</w:t>
            </w:r>
          </w:p>
        </w:tc>
        <w:tc>
          <w:tcPr>
            <w:tcW w:type="dxa" w:w="1728"/>
          </w:tcPr>
          <w:p>
            <w:r/>
            <w:r>
              <w:rPr>
                <w:rFonts w:ascii="Arial" w:hAnsi="Arial" w:eastAsia="Noto Sans CJK SC"/>
                <w:b w:val="0"/>
                <w:sz w:val="18"/>
              </w:rPr>
              <w:t>GEO GSE137537</w:t>
            </w:r>
          </w:p>
        </w:tc>
      </w:tr>
      <w:tr>
        <w:tc>
          <w:tcPr>
            <w:tcW w:type="dxa" w:w="1728"/>
          </w:tcPr>
          <w:p>
            <w:r/>
            <w:r>
              <w:rPr>
                <w:rFonts w:ascii="Arial" w:hAnsi="Arial" w:eastAsia="Noto Sans CJK SC"/>
                <w:b w:val="0"/>
                <w:sz w:val="18"/>
              </w:rPr>
              <w:t>GSE183320</w:t>
            </w:r>
          </w:p>
        </w:tc>
        <w:tc>
          <w:tcPr>
            <w:tcW w:type="dxa" w:w="1728"/>
          </w:tcPr>
          <w:p>
            <w:r/>
            <w:r>
              <w:rPr>
                <w:rFonts w:ascii="Arial" w:hAnsi="Arial" w:eastAsia="Noto Sans CJK SC"/>
                <w:b w:val="0"/>
                <w:sz w:val="18"/>
              </w:rPr>
              <w:t>Single-cell RNA-seq (choroid)</w:t>
            </w:r>
          </w:p>
        </w:tc>
        <w:tc>
          <w:tcPr>
            <w:tcW w:type="dxa" w:w="1728"/>
          </w:tcPr>
          <w:p>
            <w:r/>
            <w:r>
              <w:rPr>
                <w:rFonts w:ascii="Arial" w:hAnsi="Arial" w:eastAsia="Noto Sans CJK SC"/>
                <w:b w:val="0"/>
                <w:sz w:val="18"/>
              </w:rPr>
              <w:t>(manuscript gives no cell count)</w:t>
            </w:r>
          </w:p>
        </w:tc>
        <w:tc>
          <w:tcPr>
            <w:tcW w:type="dxa" w:w="1728"/>
          </w:tcPr>
          <w:p>
            <w:r/>
            <w:r>
              <w:rPr>
                <w:rFonts w:ascii="Arial" w:hAnsi="Arial" w:eastAsia="Noto Sans CJK SC"/>
                <w:b w:val="0"/>
                <w:sz w:val="18"/>
              </w:rPr>
              <w:t>RPE-choroid side labelling (66,730 cells)</w:t>
            </w:r>
          </w:p>
        </w:tc>
        <w:tc>
          <w:tcPr>
            <w:tcW w:type="dxa" w:w="1728"/>
          </w:tcPr>
          <w:p>
            <w:r/>
            <w:r>
              <w:rPr>
                <w:rFonts w:ascii="Arial" w:hAnsi="Arial" w:eastAsia="Noto Sans CJK SC"/>
                <w:b w:val="0"/>
                <w:sz w:val="18"/>
              </w:rPr>
              <w:t>GEO GSE183320</w:t>
            </w:r>
          </w:p>
        </w:tc>
      </w:tr>
      <w:tr>
        <w:tc>
          <w:tcPr>
            <w:tcW w:type="dxa" w:w="1728"/>
          </w:tcPr>
          <w:p>
            <w:r/>
            <w:r>
              <w:rPr>
                <w:rFonts w:ascii="Arial" w:hAnsi="Arial" w:eastAsia="Noto Sans CJK SC"/>
                <w:b w:val="0"/>
                <w:sz w:val="18"/>
              </w:rPr>
              <w:t>GSE263862</w:t>
            </w:r>
          </w:p>
        </w:tc>
        <w:tc>
          <w:tcPr>
            <w:tcW w:type="dxa" w:w="1728"/>
          </w:tcPr>
          <w:p>
            <w:r/>
            <w:r>
              <w:rPr>
                <w:rFonts w:ascii="Arial" w:hAnsi="Arial" w:eastAsia="Noto Sans CJK SC"/>
                <w:b w:val="0"/>
                <w:sz w:val="18"/>
              </w:rPr>
              <w:t>Single-cell RNA-seq (human astrocytes; external validation)</w:t>
            </w:r>
          </w:p>
        </w:tc>
        <w:tc>
          <w:tcPr>
            <w:tcW w:type="dxa" w:w="1728"/>
          </w:tcPr>
          <w:p>
            <w:r/>
            <w:r>
              <w:rPr>
                <w:rFonts w:ascii="Arial" w:hAnsi="Arial" w:eastAsia="Noto Sans CJK SC"/>
                <w:b w:val="0"/>
                <w:sz w:val="18"/>
              </w:rPr>
              <w:t>5 siAPOE vs 1 non-targeting control</w:t>
            </w:r>
          </w:p>
        </w:tc>
        <w:tc>
          <w:tcPr>
            <w:tcW w:type="dxa" w:w="1728"/>
          </w:tcPr>
          <w:p>
            <w:r/>
            <w:r>
              <w:rPr>
                <w:rFonts w:ascii="Arial" w:hAnsi="Arial" w:eastAsia="Noto Sans CJK SC"/>
                <w:b w:val="0"/>
                <w:sz w:val="18"/>
              </w:rPr>
              <w:t>External validation of the perturbation layer</w:t>
            </w:r>
          </w:p>
        </w:tc>
        <w:tc>
          <w:tcPr>
            <w:tcW w:type="dxa" w:w="1728"/>
          </w:tcPr>
          <w:p>
            <w:r/>
            <w:r>
              <w:rPr>
                <w:rFonts w:ascii="Arial" w:hAnsi="Arial" w:eastAsia="Noto Sans CJK SC"/>
                <w:b w:val="0"/>
                <w:sz w:val="18"/>
              </w:rPr>
              <w:t>GEO GSE263862</w:t>
            </w:r>
          </w:p>
        </w:tc>
      </w:tr>
      <w:tr>
        <w:tc>
          <w:tcPr>
            <w:tcW w:type="dxa" w:w="1728"/>
          </w:tcPr>
          <w:p>
            <w:r/>
            <w:r>
              <w:rPr>
                <w:rFonts w:ascii="Arial" w:hAnsi="Arial" w:eastAsia="Noto Sans CJK SC"/>
                <w:b w:val="0"/>
                <w:sz w:val="18"/>
              </w:rPr>
              <w:t>GTEx v11</w:t>
            </w:r>
          </w:p>
        </w:tc>
        <w:tc>
          <w:tcPr>
            <w:tcW w:type="dxa" w:w="1728"/>
          </w:tcPr>
          <w:p>
            <w:r/>
            <w:r>
              <w:rPr>
                <w:rFonts w:ascii="Arial" w:hAnsi="Arial" w:eastAsia="Noto Sans CJK SC"/>
                <w:b w:val="0"/>
                <w:sz w:val="18"/>
              </w:rPr>
              <w:t>eQTL (multi-tissue)</w:t>
            </w:r>
          </w:p>
        </w:tc>
        <w:tc>
          <w:tcPr>
            <w:tcW w:type="dxa" w:w="1728"/>
          </w:tcPr>
          <w:p>
            <w:r/>
            <w:r>
              <w:rPr>
                <w:rFonts w:ascii="Arial" w:hAnsi="Arial" w:eastAsia="Noto Sans CJK SC"/>
                <w:b w:val="0"/>
                <w:sz w:val="18"/>
              </w:rPr>
              <w:t>-</w:t>
            </w:r>
          </w:p>
        </w:tc>
        <w:tc>
          <w:tcPr>
            <w:tcW w:type="dxa" w:w="1728"/>
          </w:tcPr>
          <w:p>
            <w:r/>
            <w:r>
              <w:rPr>
                <w:rFonts w:ascii="Arial" w:hAnsi="Arial" w:eastAsia="Noto Sans CJK SC"/>
                <w:b w:val="0"/>
                <w:sz w:val="18"/>
              </w:rPr>
              <w:t>Cross-tissue expression layer (exploratory)</w:t>
            </w:r>
          </w:p>
        </w:tc>
        <w:tc>
          <w:tcPr>
            <w:tcW w:type="dxa" w:w="1728"/>
          </w:tcPr>
          <w:p>
            <w:r/>
            <w:r>
              <w:rPr>
                <w:rFonts w:ascii="Arial" w:hAnsi="Arial" w:eastAsia="Noto Sans CJK SC"/>
                <w:b w:val="0"/>
                <w:sz w:val="18"/>
              </w:rPr>
              <w:t>https://gtexportal.org/</w:t>
            </w:r>
          </w:p>
        </w:tc>
      </w:tr>
      <w:tr>
        <w:tc>
          <w:tcPr>
            <w:tcW w:type="dxa" w:w="1728"/>
          </w:tcPr>
          <w:p>
            <w:r/>
            <w:r>
              <w:rPr>
                <w:rFonts w:ascii="Arial" w:hAnsi="Arial" w:eastAsia="Noto Sans CJK SC"/>
                <w:b w:val="0"/>
                <w:sz w:val="18"/>
              </w:rPr>
              <w:t>MSigDB C2:CP:KEGG / hallmark 2023.1</w:t>
            </w:r>
          </w:p>
        </w:tc>
        <w:tc>
          <w:tcPr>
            <w:tcW w:type="dxa" w:w="1728"/>
          </w:tcPr>
          <w:p>
            <w:r/>
            <w:r>
              <w:rPr>
                <w:rFonts w:ascii="Arial" w:hAnsi="Arial" w:eastAsia="Noto Sans CJK SC"/>
                <w:b w:val="0"/>
                <w:sz w:val="18"/>
              </w:rPr>
              <w:t>Gene sets</w:t>
            </w:r>
          </w:p>
        </w:tc>
        <w:tc>
          <w:tcPr>
            <w:tcW w:type="dxa" w:w="1728"/>
          </w:tcPr>
          <w:p>
            <w:r/>
            <w:r>
              <w:rPr>
                <w:rFonts w:ascii="Arial" w:hAnsi="Arial" w:eastAsia="Noto Sans CJK SC"/>
                <w:b w:val="0"/>
                <w:sz w:val="18"/>
              </w:rPr>
              <w:t>186 KEGG sets; 50 hallmark sets</w:t>
            </w:r>
          </w:p>
        </w:tc>
        <w:tc>
          <w:tcPr>
            <w:tcW w:type="dxa" w:w="1728"/>
          </w:tcPr>
          <w:p>
            <w:r/>
            <w:r>
              <w:rPr>
                <w:rFonts w:ascii="Arial" w:hAnsi="Arial" w:eastAsia="Noto Sans CJK SC"/>
                <w:b w:val="0"/>
                <w:sz w:val="18"/>
              </w:rPr>
              <w:t>Pathway enrichment (fgsea)</w:t>
            </w:r>
          </w:p>
        </w:tc>
        <w:tc>
          <w:tcPr>
            <w:tcW w:type="dxa" w:w="1728"/>
          </w:tcPr>
          <w:p>
            <w:r/>
            <w:r>
              <w:rPr>
                <w:rFonts w:ascii="Arial" w:hAnsi="Arial" w:eastAsia="Noto Sans CJK SC"/>
                <w:b w:val="0"/>
                <w:sz w:val="18"/>
              </w:rPr>
              <w:t>https://www.gsea-msigdb.org/</w:t>
            </w:r>
          </w:p>
        </w:tc>
      </w:tr>
      <w:tr>
        <w:tc>
          <w:tcPr>
            <w:tcW w:type="dxa" w:w="1728"/>
          </w:tcPr>
          <w:p>
            <w:r/>
            <w:r>
              <w:rPr>
                <w:rFonts w:ascii="Arial" w:hAnsi="Arial" w:eastAsia="Noto Sans CJK SC"/>
                <w:b w:val="0"/>
                <w:sz w:val="18"/>
              </w:rPr>
              <w:t>FDA FAERS + CVARD</w:t>
            </w:r>
          </w:p>
        </w:tc>
        <w:tc>
          <w:tcPr>
            <w:tcW w:type="dxa" w:w="1728"/>
          </w:tcPr>
          <w:p>
            <w:r/>
            <w:r>
              <w:rPr>
                <w:rFonts w:ascii="Arial" w:hAnsi="Arial" w:eastAsia="Noto Sans CJK SC"/>
                <w:b w:val="0"/>
                <w:sz w:val="18"/>
              </w:rPr>
              <w:t>Pharmacovigilance reports</w:t>
            </w:r>
          </w:p>
        </w:tc>
        <w:tc>
          <w:tcPr>
            <w:tcW w:type="dxa" w:w="1728"/>
          </w:tcPr>
          <w:p>
            <w:r/>
            <w:r>
              <w:rPr>
                <w:rFonts w:ascii="Arial" w:hAnsi="Arial" w:eastAsia="Noto Sans CJK SC"/>
                <w:b w:val="0"/>
                <w:sz w:val="18"/>
              </w:rPr>
              <w:t>-</w:t>
            </w:r>
          </w:p>
        </w:tc>
        <w:tc>
          <w:tcPr>
            <w:tcW w:type="dxa" w:w="1728"/>
          </w:tcPr>
          <w:p>
            <w:r/>
            <w:r>
              <w:rPr>
                <w:rFonts w:ascii="Arial" w:hAnsi="Arial" w:eastAsia="Noto Sans CJK SC"/>
                <w:b w:val="0"/>
                <w:sz w:val="18"/>
              </w:rPr>
              <w:t>Drug-safety screen (Supp. Table S4)</w:t>
            </w:r>
          </w:p>
        </w:tc>
        <w:tc>
          <w:tcPr>
            <w:tcW w:type="dxa" w:w="1728"/>
          </w:tcPr>
          <w:p>
            <w:r/>
            <w:r>
              <w:rPr>
                <w:rFonts w:ascii="Arial" w:hAnsi="Arial" w:eastAsia="Noto Sans CJK SC"/>
                <w:b w:val="0"/>
                <w:sz w:val="18"/>
              </w:rPr>
              <w:t>fis.fda.gov; CVARD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