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 Source: `docs/audit_20260909/DRUG_LANDSCAPE_20260909.md`.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TableS19_apoe_drug_landscape.csv  (12 data rows x 7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source_id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intervention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mechanism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direction_on_APOE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sponsor_or_database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NCT03634007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(AAVrh.10-APOE2 gene therapy)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NCT05400330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long-term follow-up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NCT04693520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(oral APOE4-conformation modulator)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NCT04770220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(APOLLOE4)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 (primary endpoint not met)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NCT06304883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APOE4-conformation modulator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TERMINATED (sponsor business decision)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NCT07234942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RO7812653 / RG6627 (APOE antisense oligonucleotide)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ASO degrading APOE mRNA; designed to lower APOE in CNS but not peripheral tissues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 (started 2026-01-27)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lowers APOE (CNS)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F. Hoffmann-La Roche / Ionis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 (no NCT)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APOE programme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knockdown of APOE4 plus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total APOE maintained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 (non-AD indication)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CN-105 (APOE-mimetic peptide)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receptor mimetic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registered drug / clinical candidates against 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count = 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tractability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SM: structure with ligand; AB: secreted (UniProt loc high conf, GO CC high conf, signal peptide); PR: ubiquitination, half-life data; no Approved Drug / Advanced Clinical / Phase 1 Clinical bucket true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antibody / ASO routes plausible; no small-molecule pocket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safety liabilities (ClinPGx)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elevated triglycerides; hypertriglyceridaemia; elevated plasma lipids; haemorrhage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lipid-related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direction of the MR exposure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our causal estimates are built on circulating (plasma) APOE abundance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and RO7812653 are CNS-directed; their effect on plasma APOE is not established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this study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