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S20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CellChat APOE ligand–receptor communication (GSE230348; CellChatDB.human, triMean, min.cells = 10): communication strength for the single database-annotated APOE pair (APOE → TREM2–TYROBP, ApoE pathway) by source and target cell type (the strongest sources are microglial autocrine 0.1370 and macroglia → microglia 0.1275; all other pairs not ending in microglia are 0, and the remaining sources contribute 0.0113–0.0465).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CellChat APOE ligand–receptor communication (GSE230348; CellChatDB.human, triMean, min.cells = 10): communication strength for the single database-annotated APOE pair (APOE → TREM2–TYROBP, ApoE pathway) by source and target cell type (the strongest sources are microglial autocrine 0.1370 and macroglia → microglia 0.1275; all other pairs not ending in microglia are 0, and the remaining sources contribute 0.0113–0.0465). Source: `revision/results/fig5_frozen/cellchat/retina_APOE_TREM2_TYROBP.csv` (`revision/105b_cellchat_adultlabels.R`).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TableS20_cellchat_APOE_TREM2.csv  (81 data rows x 3 columns)  |  manuscript: v168 (00_manuscript_NC_v168_20260927.md)  |  generated 2026-09-27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V1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V2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0.0465349523233157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0.0167943162159459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0.011255870932555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0.0293908287779295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0.0345898468014647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0.12748951709056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0.137026807940774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0.0265311270726479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0.0225433448901101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