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 w:eastAsia="Noto Sans CJK SC"/>
          <w:b/>
          <w:color w:val="000000"/>
          <w:sz w:val="32"/>
        </w:rPr>
        <w:t>Supplementary Table S20</w:t>
      </w:r>
    </w:p>
    <w:p>
      <w:pPr>
        <w:spacing w:after="80"/>
      </w:pPr>
      <w:r>
        <w:rPr>
          <w:rFonts w:ascii="Arial" w:hAnsi="Arial" w:eastAsia="Noto Sans CJK SC"/>
          <w:b/>
          <w:i w:val="0"/>
          <w:sz w:val="21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</w:t>
      </w:r>
    </w:p>
    <w:p>
      <w:pPr>
        <w:spacing w:after="80"/>
      </w:pPr>
      <w:r>
        <w:rPr>
          <w:rFonts w:ascii="Arial" w:hAnsi="Arial" w:eastAsia="Noto Sans CJK SC"/>
          <w:b w:val="0"/>
          <w:i w:val="0"/>
          <w:sz w:val="18"/>
        </w:rPr>
        <w:t>Mirror-allele test (ε4 knockdown, ε2 overexpression) on the APOE-abundance axis: per-allele pQTL effect on APOE, per-allele disease effects and odds ratios (95% CI) in FinnGen R13, Kunkle 2019 and IAMDGC late AMD, and the directional reading for each allele. Source: `revision/results/r13/s4_doseresponse_disease.csv`, `e2_mirror_check.csv`.</w:t>
      </w:r>
    </w:p>
    <w:p>
      <w:pPr>
        <w:spacing w:after="80"/>
      </w:pPr>
      <w:r>
        <w:rPr>
          <w:rFonts w:ascii="Arial" w:hAnsi="Arial" w:eastAsia="Noto Sans CJK SC"/>
          <w:b w:val="0"/>
          <w:i/>
          <w:sz w:val="16"/>
        </w:rPr>
        <w:t>Delivered file: TableS20_mirror_allele.csv  (2 data rows x 14 columns)  |  manuscript: v92 (00_manuscript_NC_v92_20260911.md, 51 references)  |  generated 2026-09-10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allele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APOE_pQTL_se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APOE_change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AD_Kunkle_p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AMD_R13_p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AMD_IAMDGC_beta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AMD_IAMDGC_p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AD_OR_95CI_R13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/>
                <w:sz w:val="18"/>
              </w:rPr>
              <w:t>AMD_OR_95CI_R13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-1.012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x0.363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0.99464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-0.204111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3.14196e-29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-0.38446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2.12618e-41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2.70 (2.63-2.78)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0.82 (0.79-0.84)</w:t>
            </w:r>
          </w:p>
        </w:tc>
      </w:tr>
      <w:tr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ε2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0.745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0.012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x2.106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-0.523179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2.41936e-71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0.146181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9.00409e-08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0.154967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1.35014e-06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0.59 (0.56-0.63)</w:t>
            </w:r>
          </w:p>
        </w:tc>
        <w:tc>
          <w:tcPr>
            <w:tcW w:type="dxa" w:w="617"/>
          </w:tcPr>
          <w:p>
            <w:r/>
            <w:r>
              <w:rPr>
                <w:rFonts w:ascii="Arial" w:hAnsi="Arial" w:eastAsia="Noto Sans CJK SC"/>
                <w:b w:val="0"/>
                <w:sz w:val="18"/>
              </w:rPr>
              <w:t>1.16 (1.10-1.22)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