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IAMDGC first-validation robustness grid (APOE pQTL re-clumped at r² ∈ {0.0001, 0.001, 0.01} × {5, 10} Mb → IAMDGC late AMD; IVW / MR-Egger / weighted median).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IAMDGC first-validation robustness grid (APOE pQTL re-clumped at r² ∈ {0.0001, 0.001, 0.01} × {5, 10} Mb → IAMDGC late AMD; IVW / MR-Egger / weighted median). Source: `revision/results/primary_anchor/`.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TableS22_iamdgc_grid_mediation.csv  (20 data rows x 10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0.271071309804996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0.050549228926763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8.20683505495385e-08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0.243199816305351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0.0924358305500868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0.0085130930021422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0.277360964250701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0.0388085339552485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8.87552755341705e-13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0.228618868165572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0.0383505175808525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2.50241950809458e-09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0.258667476248711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0.0635585803004413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4.70637907685756e-05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clump_0.01_5000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0.258449356069382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0.0391207320535688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3.9363183268852e-11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clump_1e-04_10000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0.251670377940673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0.0410389886171089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8.65248777903395e-10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0.302284577793292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0.0716375307439026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2.44692922850565e-05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robustness grid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(first validation)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clump_1e-04_5000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0.257602715987844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0.0426247759641107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1.50808954927688e-09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mediation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product of coefficients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-0.215738362363903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0.0403448605130145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8.92479944073742e-08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mediation (direct)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IAMDGC_late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residual direct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-0.168721637636097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0.049527944082655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0.000657786981830596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