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S22</w:t>
      </w:r>
    </w:p>
    <w:p>
      <w:pPr>
        <w:spacing w:after="80"/>
      </w:pPr>
      <w:r>
        <w:rPr>
          <w:rFonts w:ascii="Arial" w:hAnsi="Arial" w:eastAsia="Noto Sans CJK SC"/>
          <w:b/>
          <w:i w:val="0"/>
          <w:sz w:val="21"/>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w:t>
      </w:r>
    </w:p>
    <w:p>
      <w:pPr>
        <w:spacing w:after="80"/>
      </w:pPr>
      <w:r>
        <w:rPr>
          <w:rFonts w:ascii="Arial" w:hAnsi="Arial" w:eastAsia="Noto Sans CJK SC"/>
          <w:b w:val="0"/>
          <w:i w:val="0"/>
          <w:sz w:val="18"/>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 Only the knockout direction is reported because the official scTenifold family provides no overexpression mode. The individual genes are listed in Supplementary Table S23 and are not interpreted — see the Results and the tenth limitation. The third-party scTenifoldPerturb 0.1.3 arm that was previously tabulated here (1,000-gene networks; a bounded null of 0–3 genes beyond APOE per cell type) has been removed from this release; its numbers remain in the version history. Delivered as `NC_package/supplementary/TableS22_APOE_virtual_KO_official.csv`; the superseded third-party and overexpression files are retained as `_withdrawn_*` and are not part of the submission. Source: `revision/run_sct_full_official.sh` and `revision/115_sctenifold_knk_standard.R` → `revision/results/sctenifold_std/APOE_KO_*_official_summary.json`.</w:t>
      </w:r>
    </w:p>
    <w:p>
      <w:pPr>
        <w:spacing w:after="80"/>
      </w:pPr>
      <w:r>
        <w:rPr>
          <w:rFonts w:ascii="Arial" w:hAnsi="Arial" w:eastAsia="Noto Sans CJK SC"/>
          <w:b w:val="0"/>
          <w:i/>
          <w:sz w:val="16"/>
        </w:rPr>
        <w:t>Delivered file: TableS22_virtual_KO_dose_and_null_perturbation.csv  (6 data rows x 9 columns)  |  manuscript: v128 (00_manuscript_NC_v128_20260917.md)  |  generated 2026-09-17</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Arial" w:hAnsi="Arial" w:eastAsia="Noto Sans CJK SC"/>
                <w:b/>
                <w:sz w:val="18"/>
              </w:rPr>
              <w:t>perturbation_factor_f</w:t>
            </w:r>
          </w:p>
        </w:tc>
        <w:tc>
          <w:tcPr>
            <w:tcW w:type="dxa" w:w="960"/>
          </w:tcPr>
          <w:p>
            <w:r/>
            <w:r>
              <w:rPr>
                <w:rFonts w:ascii="Arial" w:hAnsi="Arial" w:eastAsia="Noto Sans CJK SC"/>
                <w:b/>
                <w:sz w:val="18"/>
              </w:rPr>
              <w:t>APOE_n_significant</w:t>
            </w:r>
          </w:p>
        </w:tc>
        <w:tc>
          <w:tcPr>
            <w:tcW w:type="dxa" w:w="960"/>
          </w:tcPr>
          <w:p>
            <w:r/>
            <w:r>
              <w:rPr>
                <w:rFonts w:ascii="Arial" w:hAnsi="Arial" w:eastAsia="Noto Sans CJK SC"/>
                <w:b/>
                <w:sz w:val="18"/>
              </w:rPr>
              <w:t>null_n_genes</w:t>
            </w:r>
          </w:p>
        </w:tc>
        <w:tc>
          <w:tcPr>
            <w:tcW w:type="dxa" w:w="960"/>
          </w:tcPr>
          <w:p>
            <w:r/>
            <w:r>
              <w:rPr>
                <w:rFonts w:ascii="Arial" w:hAnsi="Arial" w:eastAsia="Noto Sans CJK SC"/>
                <w:b/>
                <w:sz w:val="18"/>
              </w:rPr>
              <w:t>null_median</w:t>
            </w:r>
          </w:p>
        </w:tc>
        <w:tc>
          <w:tcPr>
            <w:tcW w:type="dxa" w:w="960"/>
          </w:tcPr>
          <w:p>
            <w:r/>
            <w:r>
              <w:rPr>
                <w:rFonts w:ascii="Arial" w:hAnsi="Arial" w:eastAsia="Noto Sans CJK SC"/>
                <w:b/>
                <w:sz w:val="18"/>
              </w:rPr>
              <w:t>null_min</w:t>
            </w:r>
          </w:p>
        </w:tc>
        <w:tc>
          <w:tcPr>
            <w:tcW w:type="dxa" w:w="960"/>
          </w:tcPr>
          <w:p>
            <w:r/>
            <w:r>
              <w:rPr>
                <w:rFonts w:ascii="Arial" w:hAnsi="Arial" w:eastAsia="Noto Sans CJK SC"/>
                <w:b/>
                <w:sz w:val="18"/>
              </w:rPr>
              <w:t>null_max</w:t>
            </w:r>
          </w:p>
        </w:tc>
        <w:tc>
          <w:tcPr>
            <w:tcW w:type="dxa" w:w="960"/>
          </w:tcPr>
          <w:p>
            <w:r/>
            <w:r>
              <w:rPr>
                <w:rFonts w:ascii="Arial" w:hAnsi="Arial" w:eastAsia="Noto Sans CJK SC"/>
                <w:b/>
                <w:sz w:val="18"/>
              </w:rPr>
              <w:t>null_genes_ge_APOE</w:t>
            </w:r>
          </w:p>
        </w:tc>
        <w:tc>
          <w:tcPr>
            <w:tcW w:type="dxa" w:w="960"/>
          </w:tcPr>
          <w:p>
            <w:r/>
            <w:r>
              <w:rPr>
                <w:rFonts w:ascii="Arial" w:hAnsi="Arial" w:eastAsia="Noto Sans CJK SC"/>
                <w:b/>
                <w:sz w:val="18"/>
              </w:rPr>
              <w:t>one_sided_permutation_P</w:t>
            </w:r>
          </w:p>
        </w:tc>
        <w:tc>
          <w:tcPr>
            <w:tcW w:type="dxa" w:w="960"/>
          </w:tcPr>
          <w:p>
            <w:r/>
            <w:r>
              <w:rPr>
                <w:rFonts w:ascii="Arial" w:hAnsi="Arial" w:eastAsia="Noto Sans CJK SC"/>
                <w:b/>
                <w:sz w:val="18"/>
              </w:rPr>
              <w:t>note</w:t>
            </w:r>
          </w:p>
        </w:tc>
      </w:tr>
      <w:tr>
        <w:tc>
          <w:tcPr>
            <w:tcW w:type="dxa" w:w="960"/>
          </w:tcPr>
          <w:p>
            <w:r/>
            <w:r>
              <w:rPr>
                <w:rFonts w:ascii="Arial" w:hAnsi="Arial" w:eastAsia="Noto Sans CJK SC"/>
                <w:b w:val="0"/>
                <w:sz w:val="18"/>
              </w:rPr>
              <w:t>0</w:t>
            </w:r>
          </w:p>
        </w:tc>
        <w:tc>
          <w:tcPr>
            <w:tcW w:type="dxa" w:w="960"/>
          </w:tcPr>
          <w:p>
            <w:r/>
            <w:r>
              <w:rPr>
                <w:rFonts w:ascii="Arial" w:hAnsi="Arial" w:eastAsia="Noto Sans CJK SC"/>
                <w:b w:val="0"/>
                <w:sz w:val="18"/>
              </w:rPr>
              <w:t>9</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9</w:t>
            </w:r>
          </w:p>
        </w:tc>
        <w:tc>
          <w:tcPr>
            <w:tcW w:type="dxa" w:w="960"/>
          </w:tcPr>
          <w:p>
            <w:r/>
            <w:r>
              <w:rPr>
                <w:rFonts w:ascii="Arial" w:hAnsi="Arial" w:eastAsia="Noto Sans CJK SC"/>
                <w:b w:val="0"/>
                <w:sz w:val="18"/>
              </w:rPr>
              <w:t>9</w:t>
            </w:r>
          </w:p>
        </w:tc>
        <w:tc>
          <w:tcPr>
            <w:tcW w:type="dxa" w:w="960"/>
          </w:tcPr>
          <w:p>
            <w:r/>
            <w:r>
              <w:rPr>
                <w:rFonts w:ascii="Arial" w:hAnsi="Arial" w:eastAsia="Noto Sans CJK SC"/>
                <w:b w:val="0"/>
                <w:sz w:val="18"/>
              </w:rPr>
              <w:t>9</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t>zero-perturbation control (KO identical to WT): all 21 genes returned 9 significant genes</w:t>
            </w:r>
          </w:p>
        </w:tc>
      </w:tr>
      <w:tr>
        <w:tc>
          <w:tcPr>
            <w:tcW w:type="dxa" w:w="960"/>
          </w:tcPr>
          <w:p>
            <w:r/>
            <w:r>
              <w:rPr>
                <w:rFonts w:ascii="Arial" w:hAnsi="Arial" w:eastAsia="Noto Sans CJK SC"/>
                <w:b w:val="0"/>
                <w:sz w:val="18"/>
              </w:rPr>
              <w:t>0.25</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21</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r>
          </w:p>
        </w:tc>
      </w:tr>
      <w:tr>
        <w:tc>
          <w:tcPr>
            <w:tcW w:type="dxa" w:w="960"/>
          </w:tcPr>
          <w:p>
            <w:r/>
            <w:r>
              <w:rPr>
                <w:rFonts w:ascii="Arial" w:hAnsi="Arial" w:eastAsia="Noto Sans CJK SC"/>
                <w:b w:val="0"/>
                <w:sz w:val="18"/>
              </w:rPr>
              <w:t>0.5</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21</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r>
          </w:p>
        </w:tc>
      </w:tr>
      <w:tr>
        <w:tc>
          <w:tcPr>
            <w:tcW w:type="dxa" w:w="960"/>
          </w:tcPr>
          <w:p>
            <w:r/>
            <w:r>
              <w:rPr>
                <w:rFonts w:ascii="Arial" w:hAnsi="Arial" w:eastAsia="Noto Sans CJK SC"/>
                <w:b w:val="0"/>
                <w:sz w:val="18"/>
              </w:rPr>
              <w:t>0.63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21</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t>pre-registered primary test point (corresponds to the per-allele epsilon-4 effect of -64%)</w:t>
            </w:r>
          </w:p>
        </w:tc>
      </w:tr>
      <w:tr>
        <w:tc>
          <w:tcPr>
            <w:tcW w:type="dxa" w:w="960"/>
          </w:tcPr>
          <w:p>
            <w:r/>
            <w:r>
              <w:rPr>
                <w:rFonts w:ascii="Arial" w:hAnsi="Arial" w:eastAsia="Noto Sans CJK SC"/>
                <w:b w:val="0"/>
                <w:sz w:val="18"/>
              </w:rPr>
              <w:t>0.75</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21</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r>
          </w:p>
        </w:tc>
      </w:tr>
      <w:tr>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3</w:t>
            </w:r>
          </w:p>
        </w:tc>
        <w:tc>
          <w:tcPr>
            <w:tcW w:type="dxa" w:w="960"/>
          </w:tcPr>
          <w:p>
            <w:r/>
            <w:r>
              <w:rPr>
                <w:rFonts w:ascii="Arial" w:hAnsi="Arial" w:eastAsia="Noto Sans CJK SC"/>
                <w:b w:val="0"/>
                <w:sz w:val="18"/>
              </w:rPr>
              <w:t>2</w:t>
            </w:r>
          </w:p>
        </w:tc>
        <w:tc>
          <w:tcPr>
            <w:tcW w:type="dxa" w:w="960"/>
          </w:tcPr>
          <w:p>
            <w:r/>
            <w:r>
              <w:rPr>
                <w:rFonts w:ascii="Arial" w:hAnsi="Arial" w:eastAsia="Noto Sans CJK SC"/>
                <w:b w:val="0"/>
                <w:sz w:val="18"/>
              </w:rPr>
              <w:t>21</w:t>
            </w:r>
          </w:p>
        </w:tc>
        <w:tc>
          <w:tcPr>
            <w:tcW w:type="dxa" w:w="960"/>
          </w:tcPr>
          <w:p>
            <w:r/>
            <w:r>
              <w:rPr>
                <w:rFonts w:ascii="Arial" w:hAnsi="Arial" w:eastAsia="Noto Sans CJK SC"/>
                <w:b w:val="0"/>
                <w:sz w:val="18"/>
              </w:rPr>
              <w:t>20</w:t>
            </w:r>
          </w:p>
        </w:tc>
        <w:tc>
          <w:tcPr>
            <w:tcW w:type="dxa" w:w="960"/>
          </w:tcPr>
          <w:p>
            <w:r/>
            <w:r>
              <w:rPr>
                <w:rFonts w:ascii="Arial" w:hAnsi="Arial" w:eastAsia="Noto Sans CJK SC"/>
                <w:b w:val="0"/>
                <w:sz w:val="18"/>
              </w:rPr>
              <w:t>1</w:t>
            </w:r>
          </w:p>
        </w:tc>
        <w:tc>
          <w:tcPr>
            <w:tcW w:type="dxa" w:w="960"/>
          </w:tcPr>
          <w:p>
            <w:r/>
            <w:r>
              <w:rPr>
                <w:rFonts w:ascii="Arial" w:hAnsi="Arial" w:eastAsia="Noto Sans CJK SC"/>
                <w:b w:val="0"/>
                <w:sz w:val="18"/>
              </w:rPr>
              <w:t>equivalent to the official complete knockout (outgoing edges set to zero)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