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S22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Internal controls for the virtual-knockout layer.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Internal controls for the virtual-knockout layer. scTenifoldKnk 1.0.3 on microglia, the 591k matrix with the adult-reference nine-type labelling, 800 detected genes, 1,504 cells after quality control, 10 networks of 500 subsampled cells, rank 3, seed 20260910. The table gives the **null-perturbation control** — perturbation factor 0, so that the knocked-out network is identical to the wild-type network, under which **all 21 genes tested returned 9 genes at FDR &lt; 0.05** — and a **pre-registered dose scan** over perturbation factors 0, 0.25, 0.5, 0.63, 0.75 and 1.00, in which the count is unchanged for every gene at every non-zero dose (0.63 corresponds to the per-allele ε4 effect on APOE abundance). **These controls are the reason no count of significant genes is reported from this layer anywhere in this manuscript**, and the layer is not read as evidence for or against an APOE-dependent programme. The degree-matched null distribution is in Supplementary Table S23. Source: `revision/results/sctenifold_591k/_nullcalib/{PREREGISTRATION_dose_scan.md, DOSE_SCAN_RESULT.md, dose_scan_summary.csv}`. Delivered as `NC_package/supplementary/TableS22_virtual_KO_dose_and_null_perturbation.csv`; the superseded cell-type summary is retained as `_withdrawn_*` and is not part of the submission.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TableS22_virtual_KO_dose_and_null_perturbation.csv  (6 data rows x 9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perturbation_factor_f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APOE_n_significant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null_n_genes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null_median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null_min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null_max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null_genes_ge_APOE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one_sided_permutation_P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note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zero-perturbation control (KO identical to WT): all 21 genes returned 9 significant genes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pre-registered primary test point (corresponds to the per-allele epsilon-4 effect of -64%)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equivalent to the official complete knockout (outgoing edges set to zero)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