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S29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APOE-directed clinical development and target landscape (ClinicalTrials.gov API v2, Open Targets Platform API v4, 2026-09-09): trial, intervention, mechanism, phase, status, direction of effect on APOE, and the recorded pharmacogenomic safety liabilities.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APOE-directed clinical development and target landscape (ClinicalTrials.gov API v2, Open Targets Platform API v4, 2026-09-09): trial, intervention, mechanism, phase, status, direction of effect on APOE, and the recorded pharmacogenomic safety liabilities. Source: `docs/audit_20260909/DRUG_LANDSCAPE_20260909.md`.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TableS29_apoe_drug_landscape.csv  (12 data rows x 7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source_id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intervention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mechanism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phase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direction_on_APOE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sponsor_or_database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NCT03634007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LX1001 (AAVrh.10-APOE2 gene therapy)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intrathecal delivery of APOE2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1/2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COMPLETED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raises APOE (APOE2)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Lexeo Therapeutics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NCT05400330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LX1001 long-term follow-up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intrathecal delivery of APOE2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ACTIVE_NOT_RECRUITING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raises APOE (APOE2)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Lexeo Therapeutics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NCT04693520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ALZ-801 (oral APOE4-conformation modulator)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stabilises APOE4 conformation; APOE level unchanged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COMPLETED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Alzheon Inc.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NCT04770220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ALZ-801 (APOLLOE4)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stabilises APOE4 conformation; APOE level unchanged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COMPLETED (primary endpoint not met)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Alzheon Inc.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NCT06304883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ALZ-801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APOE4-conformation modulator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TERMINATED (sponsor business decision)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Alzheon Inc.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NCT07234942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RO7812653 / RG6627 (APOE antisense oligonucleotide)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ASO degrading APOE mRNA; designed to lower APOE in CNS but not peripheral tissues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ACTIVE_NOT_RECRUITING (started 2026-01-27)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lowers APOE (CNS)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F. Hoffmann-La Roche / Ionis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preclinical (no NCT)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Voyager APOE programme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knockdown of APOE4 plus delivery of APOE2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preclinical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total APOE maintained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Voyager Therapeutics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1/2 (non-AD indication)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CN-105 (APOE-mimetic peptide)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receptor mimetic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Phase 1/2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 change in APOE level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registered drug / clinical candidates against APOE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count = 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 Platform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tractability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SM: structure with ligand; AB: secreted (UniProt loc high conf, GO CC high conf, signal peptide); PR: ubiquitination, half-life data; no Approved Drug / Advanced Clinical / Phase 1 Clinical bucket true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antibody / ASO routes plausible; no small-molecule pocket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 Platform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safety liabilities (ClinPGx)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elevated triglycerides; hypertriglyceridaemia; elevated plasma lipids; haemorrhage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lipid-related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Open Targets Platform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note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direction of the MR exposure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our causal estimates are built on circulating (plasma) APOE abundance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LX1001 and RO7812653 are CNS-directed; their effect on plasma APOE is not established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this study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