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Focal clumped MR (11-instrument APOE set; ε4 coding tag excluded by design) on the two validation cohorts: IVW / MR-Egger (with intercept) / weighted median × {IAMDGC late AMD, Jansen 2019 AD}: β, SE, 95% CI, P, n_matched = 11/11; the file also carries single-SNP tag rows for both cohorts — rs429358 as a direction gate and rs7412 as information only (rs429358: IAMDGC β = −0.384, Jansen β = +0.162; rs7412: IAMDGC β = +0.155, Jansen β = −0.088). Source: apoe_focus_mr_iamdgc_jansen.csv, apoe_single_snp_tags_iamdgc_jansen.csv.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TableS2b_focus_mr_new_cohorts.csv  (6 data rows x 11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het_q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0.135162119482305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0.291202493535419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13.3599163280957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0.204238746417504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0.0242980700818073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0.329910831288239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0.585406455544523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0.0910701499415309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0.287902226039305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-0.229821277538987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-0.124678105227018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384.449381469808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1.91419880811585e-76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-0.283343079333047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-0.0788557385813134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0.930037026075716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0.0238054030296318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1.11826839157383e-08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-0.182628005961703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-0.0893125400745644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