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S31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AMD subtype analysis (dry/wet): FinnGen R13 (DRY_AMD 9,533 cases / 333,701 controls; WET_AMD 7,529 / 335,608; H7_AMD 13,947 / 458,803) and the MVP trans-ancestry meta-analysis (PheCode 362_21 dry, 362_22 wet, 362_2 all) — IVW / MR-Egger / weighted median / MR-PRESSO / Wald estimates for the APOE-level effect (11 clumped UKB-PPP cis-pQTL instruments) plus the ε4 (rs429358-C) and ε2 (rs7412-T) per-allele effects, with OR and 95% CI.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AMD subtype analysis (dry/wet): FinnGen R13 (DRY_AMD 9,533 cases / 333,701 controls; WET_AMD 7,529 / 335,608; H7_AMD 13,947 / 458,803) and the MVP trans-ancestry meta-analysis (PheCode 362_21 dry, 362_22 wet, 362_2 all) — IVW / MR-Egger / weighted median / MR-PRESSO / Wald estimates for the APOE-level effect (11 clumped UKB-PPP cis-pQTL instruments) plus the ε4 (rs429358-C) and ε2 (rs7412-T) per-allele effects, with OR and 95% CI. Source: `revision/78_amd_subtype_mr.R` → `revision/results/amd_subtype/`.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TableS31_amd_subtype_mr.csv  (30 data rows x 13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subtype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analysis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OR_lo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OR_hi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0.053529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0.074202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0.470667624342351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1.0550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0.9122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1.2201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0.199145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0.043114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3.8545328716036e-06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1.2204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1.1215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1.3280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0.264761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0.075713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0.000470708111588225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1.3031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1.1234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1.5116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0.266277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0.042583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4.02423798584169e-10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1.4187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-0.014336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0.083594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0.863833692501371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0.9858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0.8368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0.161432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0.050127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0.0012798630340436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1.0652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1.2965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0.090837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0.088540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0.304913732757641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1.3026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0.172188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0.050683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0.000680401159668977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1.1879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1.0756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1.3120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0.036333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0.062958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0.563879580535408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1.0370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0.9166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1.1732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0.181777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0.027954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7.89243476286554e-11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1.1993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1.1354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1.2669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0.205827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0.051013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5.46480303145192e-05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1.2285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1.1116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1.3577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0.191224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0.036930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2.24288554876156e-07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1.2107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1.1262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rs429358 (C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-0.216099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0.021622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1.6125e-23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0.80565553802697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0.772225927167627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0.840532314596361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rs7412 (T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0.151252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0.0321368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2.51988e-06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1.16328977017023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1.09227630513799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1.23892011848755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rs429358 (C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-0.215803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0.024335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7.44732e-19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0.805894047363866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0.768357929782339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0.845263893821587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rs7412 (T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0.118092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0.0361733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0.0010961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1.12534763858777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1.048323615869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1.20803088712762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rs429358 (C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0.0181867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3.14196e-29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0.815371859887561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0.786819088367165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0.844960779073348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rs7412 (T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0.146181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0.0273452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9.00409e-08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1.15740565951743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1.09700573371246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1.22113113862183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0.014381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0.00236372681188961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1.0157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1.0746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0.071997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0.025880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0.0054023627062052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1.0215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1.1306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0.046002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0.019069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0.015844632085255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1.0471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1.0087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1.0870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0.013259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0.00926953980269584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1.0179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1.0722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3.39144935668292e-06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1.0572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0.136933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0.037879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0.000300356790273737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1.1468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1.0647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1.2351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0.094591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0.027689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0.000634971342385125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0.00120968615084977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1.0572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0.0924493382811686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1.0873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1.1987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0.151693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0.091496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0.0973324629889289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1.1638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1.3924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0.054005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0.857502218371592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1.0097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1.1225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0.126741864620834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1.0873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1.1987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