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Pharmacovigilance analyses (FAERS 2020 Q1–2026 Q1 and CVARD): report and case counts, suspect-role strata, ROR with 95% CI for AD/AMD PTs, and negative-control drugs.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Pharmacovigilance analyses (FAERS 2020 Q1–2026 Q1 and CVARD): report and case counts, suspect-role strata, ROR with 95% CI for AD/AMD PTs, and negative-control drugs. Source: `revision/results/r13/drug_repurposing_pharmacovigilance_supp.csv`.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TableS4_pharmacovigilance.csv  (12 data rows x 12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database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stratum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n_total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0.724596356410443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0.556223104244807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0.943937559796522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0.0169577570888745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1.27995797691085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1.09120874287588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1.50135566027449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0.0024267497416401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1.00135536692244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0.669840218172636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1.49694291811833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0.994731906489972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0.26811206466277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0.133929309645708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0.536731499683623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0.0002014840388664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1.18978731745565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0.563528901807715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2.51201643116671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0.648559119079014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2.3826587867952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0.889338903604876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6.38346402173659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0.0842118910578961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