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S4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Pharmacovigilance analyses (FAERS 2020 Q1–2026 Q1 and CVARD): report and case counts, suspect-role strata, ROR with 95% CI for AD/AMD PTs, and negative-control drugs.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Pharmacovigilance analyses (FAERS 2020 Q1–2026 Q1 and CVARD): report and case counts, suspect-role strata, ROR with 95% CI for AD/AMD PTs, and negative-control drugs. Source: `revision/results/r13/drug_repurposing_pharmacovigilance_supp.csv`.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TableS4_pharmacovigilance.csv  (12 data rows x 12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database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drug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stratum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n_case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n_drug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n_total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ROR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CI_lo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CI_hi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0.724596356410443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0.556223104244807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0.943937559796522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0.0169577570888745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195448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1.27995797691085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1.09120874287588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1.50135566027449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0.0024267497416401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1.00135536692244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0.669840218172636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1.49694291811833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0.994731906489972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FAERS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3992303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0.26811206466277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0.133929309645708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0.536731499683623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0.0002014840388664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TNF_inhibitors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1.18978731745565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0.563528901807715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2.51201643116671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0.648559119079014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TNF-inhibitor class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Infliximab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2.3826587867952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0.889338903604876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6.38346402173659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0.0842118910578961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single agent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CVARD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Acetaminophen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age_ge_50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580766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negative control (shows protection = residual confounding)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