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S5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AMD replication consistency: GSMR / IVW / MR-Egger (with intercept) / weighted median for APOE → IAMDGC late AMD and the corresponding discovery-cohort values, with sample-overlap notes.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replication consistency: GSMR / IVW / MR-Egger (with intercept) / weighted median for APOE → IAMDGC late AMD and the corresponding discovery-cohort values, with sample-overlap notes.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TableS5_replication_consistency.csv  (11 data rows x 8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Independence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(discovery)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(N=472,750)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+0.1818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7.89e-11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discovery cohort; no UKB participants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GSMR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+0.2122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8.66e-10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independent (no UKB, not FinnGen)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+0.2132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8.54e-08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independent (no UKB, not FinnGen)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+0.1771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 intercept P=0.585 (no directional pleiotropy detected)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+0.1895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1.61e-04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same 11 clumped instruments (11/11 matched)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(discovery)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(N=500,186)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4.08e-18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discovery cohort; no UKB participants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3.89e-11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UKB in the FinnGen-only primary; converted-file per-allele scale differs (Methods)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5.17e-04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 intercept P=0.930 (no directional pleiotropy detected)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 (N=455,258)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-0.1360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1.12e-08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same 11 clumped instruments (11/11 matched)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Second validation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 2022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APOE-level MR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7.08e-170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contains the FinnGen component -&gt; NOT fully independent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Sensitivity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Kunkle 2019 (N=94,437)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epsilon-4 per-allele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+1.2017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1.17e-881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component of the Bellenguez meta-analysis; includes the APOE region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