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S5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AMD replication consistency: GSMR / IVW / MR-Egger (with intercept) / weighted median for APOE → IAMDGC late AMD and the corresponding discovery-cohort values, with sample-overlap notes.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replication consistency: GSMR / IVW / MR-Egger (with intercept) / weighted median for APOE → IAMDGC late AMD and the corresponding discovery-cohort values, with sample-overlap notes.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TableS5_replication_consistency.csv  (11 data rows x 8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Independence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(discovery)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(N=472,750)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+0.1818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7.89e-11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discovery cohort; no UKB participants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GSMR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+0.2122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8.66e-10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independent (no UKB, not FinnGen)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+0.2132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8.54e-08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independent (no UKB, not FinnGen)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+0.1771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 intercept P=0.585 (no directional pleiotropy detected)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+0.1895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1.61e-04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same 11 clumped instruments (11/11 matched)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(discovery)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(N=500,186)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4.08e-18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discovery cohort; no UKB participants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 (N=455,258)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3.89e-11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UKB in the FinnGen-only primary; converted-file per-allele scale differs (Methods)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 (N=455,258)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5.17e-04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 intercept P=0.930 (no directional pleiotropy detected)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 (N=455,258)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-0.1360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1.12e-08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same 11 clumped instruments (11/11 matched)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Second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 2022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APOE-level MR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7.08e-170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contains the FinnGen component -&gt; NOT fully independent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Sensitivity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Kunkle 2019 (N=94,437)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epsilon-4 per-allele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+1.2017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1.17e-881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component of the Bellenguez meta-analysis; includes the APOE region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