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Clumping-robustness grid (APOE → AMD / AD, FinnGen R13): 3 r² thresholds × 2 windows × IVW/MR-Egger/weighted median, with the number of lead instruments per cell.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Clumping-robustness grid (APOE → AMD / AD, FinnGen R13): 3 r² thresholds × 2 windows × IVW/MR-Egger/weighted median, with the number of lead instruments per cell. Source: `revision/76_remake_tables.R`.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TableS6_robustness_grid.csv  (54 data rows x 9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-1.10120260516226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0.370804797000994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0.00298028954525709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-1.11219866598257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0.19556830235142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1.29283760330375e-08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-0.950899038524477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0.0740761844139043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1.02042104122834e-37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-1.1061798429792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0.214653923570641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2.55917984359755e-07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-0.988318348026124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0.123270911089815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1.07963137476676e-15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-1.29067662462713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0.0727751006623498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2.24534914258887e-70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-1.13807262361383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0.822277639729692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0.166343422210179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-1.26025099773366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0.381197365587435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0.000946270065882978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-1.38445331725512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0.0698366420882398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1.84202448084215e-87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0.106382726246169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0.060754876351893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0.0799432513221854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0.177529093735066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0.0402977495301384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1.05572077667566e-05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0.173708901475816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0.0294815257068252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3.81255357595144e-09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0.275319480191399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0.0596429656727036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3.90968502750333e-06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0.194766284753911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0.0366309244812417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1.0549745896783e-07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0.205617598834024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0.0278179545601061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1.45134943910598e-13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0.249283944934205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0.0518215516716519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1.50605969140294e-06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0.17471680192311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0.0337143267900723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2.19199578325255e-07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 (discovery)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0.178372497977775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0.0308759685801196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7.60146251168356e-09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