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S8a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**official scDRS group-level association** (`scdrs.method.downstream_group_analysis`, n_ctrl = 1,000): per-cell-type assoc_mcz, assoc_mcp, hetero_mcz, hetero_mcp and the number of cells at FDR &lt; 0.05/0.1/0.2, for the AD (**FinnGen R13 G6**) and AMD (FinnGen R13 H7) MAGMA gene sets and for the AD set with the APOE-region genes removed (225 → 189 genes; 36 of the 58 genes of the region fall inside that set) — i.e. the same gene sets and labelling as Figure 5E (adult-reference nine types, 524,726 retinal cells, n_ctrl = 1,000); (b) seismic cell-type–trait associations with FDR and driver-gene decompositions. The per-cell-type Mann–Whitney contrasts and rank-biserial column carried in earlier versions of Table S8a are withdrawn (Methods). Source: `revision/results/fig5_frozen/scdrs/retina_{ad,amdr13}.csv` and `revision/results/fig5a_noapoe/scdrs_591k_adultlabels_adr13_noapoe.csv` (scDRS, R13 gene sets on the adult-reference nine-type labelling); `revision/results/fig5_frozen/seismic/retina_{ad,amdr13}.csv` (seismic).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TableS8a_scdrs_celltype.csv  (27 data rows x 13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gene_set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n_cell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n_ctrl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assoc_mcz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hetero_mcz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n_fdr_0.2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geneset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0.034965035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2.9792297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0.71628374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-0.7630086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0.25274727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0.76953363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0.55344653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-0.32310247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0.5154845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-0.18403812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0.9390609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-0.87781966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0.6913087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-0.63853097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0.8741259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-0.9748311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0.9040959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-0.96629596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0.3856144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0.2536117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0.87812185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-1.0317494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0.3096903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0.35090455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0.92007995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-1.1129678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0.5654346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-0.33416942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0.91808194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-1.1247525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0.2917083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0.42488682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0.97902095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-1.2715111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0.58441556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-0.33689192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0.001998002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5.4932475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0.24975026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0.65353787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1397.0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0.17282717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0.91982883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0.6833167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-0.66089445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0.28971028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0.32224774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0.6983017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-0.6133039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0.3836164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0.13581394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0.7282717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-0.7528977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0.5604396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-0.33967736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0.7762238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-0.86339855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38.0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0.62237763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-0.5312654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0.62837166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-0.55307555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0.8211788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-0.89435065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0.83316684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0.86213785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-1.1126012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0.65534467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-0.6676482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 (FinnGen R13 H7 MAGMA)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0.8911089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-1.2663267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0.9230769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-1.2896664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amdr13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4386.0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0.000999001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4.803693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0.02097902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2.5669272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88342.0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0.34665334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0.21779868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-1.6415745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7180.0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0.64835167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-0.5281523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0.4035964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0.04380897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211451.0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0.73926073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-0.7934338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0.045954045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1.9786869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Macroglia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134619.0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0.8381618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-1.0376884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0.33566433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0.29955593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Cones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2494.0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0.973027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-1.1955266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0.06793207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1.6824963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2507.0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0.976024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-1.2199407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0.035964034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2.113045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7613.0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0.97402596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-1.439136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0.021978023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2.5142975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 (FinnGen R13 G6 MAGMA, APOE-region genes removed (225 to 189))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BPs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66134.0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1000.0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0.998002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-1.9249506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0.044955045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1.9270674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retina (591k, adult-reference nine types)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adr13_noapoe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