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S8b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 the same gene sets and labelling as Figure 5C (adult-reference nine types, 524,726 retinal cells, n_ctrl = 1,000); (b) seismic cell-type–trait associations with FDR and driver-gene decompositions. The per-cell-type Mann–Whitney contrasts and rank-biserial column carried in earlier versions of Table S8a are withdrawn (Methods). Source: `revision/results/fig5_frozen/scdrs/retina_{ad,amdr13}.csv` and `revision/results/fig5a_noapoe/scdrs_591k_adultlabels_adr13_noapoe.csv` (scDRS, R13 gene sets on the adult-reference nine-type labelling); `revision/results/fig5_frozen/seismic/retina_{ad,amdr13}.csv` (seismic).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TableS8b_seismic_ct.csv  (18 data rows x 4 columns)  |  manuscript: v168 (00_manuscript_NC_v168_20260927.md)  |  generated 2026-09-27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pvalue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4.91431905333806e-08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4.42288714800425e-07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0.0273922622819615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0.123265180268827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0.667029491687923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0.68021857969195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0.756565466080494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0.792446956857503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0.921611755018471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0.948610342199031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0.995970630623354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4.79672188052449e-05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0.000431704969247204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0.25155785370778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0.336169995534199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0.580931565451283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0.724387258775815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0.893948759061165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0.900587131173868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0.929980500897625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0.948523809273936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