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Single-cell GWAS integration results: (a) scDRS per-cell-type mean z, Mann–Whitney P, rank-biserial and BH-FDR; (b) seismic cell-type–trait associations with FDR and driver-gene decompositions.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scDRS per-cell-type mean z, Mann–Whitney P, rank-biserial and BH-FDR; (b) seismic cell-type–trait associations with FDR and driver-gene decompositions. Source: `revision/results/scdrs_apoe/scdrs_celltype_tests.csv`, seismic results.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TableS10a_scdrs_celltype.csv  (10 data rows x 9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N_rest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MW_U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MW_P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rank_biserial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-0.2147832312346773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419227925.5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3.82e-141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0.1235038368739885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6.37e-141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56787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0.0328771074458224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383046140.5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6.89e-162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-0.1592874282149878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1.72e-161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66821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0.4965300798286338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73995810.5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9.20e-151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-0.3816264349901468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1.84e-150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65537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1.6399250430634225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178263335.5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-0.8843374641069155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-0.1534482676280155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486442390.0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0.1671946853948671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-1.4335921026804317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488684617.0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-0.0217119750988639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9.41e-06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56787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-2.01546621647845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352079932.0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5.27e-29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-0.0655683369152437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6.59e-29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-1.0640163815796813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576269197.0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2.37e-03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0.0134082477786685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2.37e-03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66821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-0.0990362967575858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62916671.5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3.82e-33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-0.1747602460005648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5.46e-33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65537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-1.1934881596731624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61025184.5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6.23e-230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0.3549316179636578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2.08e-229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