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S15a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Per-SNP analysis within the deCODE exposure source (same assay as Supplementary Table S12, not an independent platform; N = 35,367–35,372 per SNP; zero overlap with all outcome cohorts).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Per-SNP analysis within the deCODE exposure source (same assay as Supplementary Table S12, not an independent platform; N = 35,367–35,372 per SNP; zero overlap with all outcome cohorts). (a) 11-instrument set (identical to the clumped primary) → IVW / MR-Egger / weighted median × {FinnGen R13 AMD, FinnGen R13 AD, IAMDGC late}: β, SE, P, N_matched = 11/11, F_mean = 36.7. (b) ε-tag single-SNP Wald (deCODE β/SE; Δ-method SE): rs429358 / rs71352239 / rs7412 × {same three outcomes}: β, SE, P. Directional comparison only; assay scales are not comparable. Source: revision/results/newassay/.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TableS15a_11snp_mr.csv  (12 data rows x 8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label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-0.130115292712067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0.226038475989424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0.564863011544558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0.203228596626261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0.219002633097482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0.353421418579261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0.132115102072102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0.594394168674854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0.824104869804025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0.294338505732999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0.170006645376782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0.0833919796137293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2.68108124253286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0.4131294151085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8.60139885362678e-11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-2.12660519592523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0.942408234144607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0.0240352854326554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0.597812233008591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2.28128234970807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0.793282153022378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-2.54022550733668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0.418660909847625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1.29915774369158e-09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-0.817425328554361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0.285126907798177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0.00414536950555226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0.236430489333495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0.25837767548002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0.360161323840756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-0.375386983265083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0.798636544085782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0.638330141473443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0.265622592983371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0.202923039107296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0.19054046909171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