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S15b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Per-SNP analysis within the deCODE exposure source (same assay as Supplementary Table S12, not an independent platform; N = 35,367–35,372 per SNP; zero overlap with all outcome cohorts).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Per-SNP analysis within the deCODE exposure source (same assay as Supplementary Table S12, not an independent platform; N = 35,367–35,372 per SNP; zero overlap with all outcome cohorts). (a) 11-instrument set (identical to the clumped primary) → IVW / MR-Egger / weighted median × {FinnGen R13 AMD, FinnGen R13 AD, IAMDGC late}: β, SE, P, N_matched = 11/11, F_mean = 36.7. (b) ε-tag single-SNP Wald (deCODE β/SE; Δ-method SE): rs429358 / rs71352239 / rs7412 × {same three outcomes}: β, SE, P. Directional comparison only; assay scales are not comparable. Source: revision/results/newassay/.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TableS15b_tag_wald.csv  (9 data rows x 11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tag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beta_exp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se_exp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beta_old_ref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beta_out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se_out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Wald_P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0.916117594254937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0.0931446161046634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7.92263690714125e-23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0.0136078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-4.46427289048474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0.226996182962173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4.15733081384417e-86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0.0287282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1.72558348294434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0.154165953435585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4.41118988452365e-29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0.0250948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0.0142724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0.101107171635778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0.0576176252156769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0.0792942277148287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-0.291905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0.0134978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-1.17608783239323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0.0687982281163641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1.62418363644494e-65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0.0424032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0.0191527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0.170842868654311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0.0774088060457159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0.0273125849144866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-0.706188405797102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0.144786092763252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1.07460518717495e-06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0.0292934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2.5274347826087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0.254973200737795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3.67150939280247e-23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0.0320748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-0.748632850241546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0.167202097833094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7.55529929642932e-06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