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Cross-cohort PIP audit (SuSiE fine-mapping; three cohorts: FinnGen R13 AD, FinnGen R13 AMD, IAMDGC late AMD): the variants with max PIP = 1.0 across the cohorts, with per-cohort PIPs; neither disease signal resolves to a single causal variant within the APOE block.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Cross-cohort PIP audit (SuSiE fine-mapping; three cohorts: FinnGen R13 AD, FinnGen R13 AMD, IAMDGC late AMD): the variants with max PIP = 1.0 across the cohorts, with per-cohort PIPs; neither disease signal resolves to a single causal variant within the APOE block. Source: pip_cross_cohort_20260905.csv.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TableS16_pip_cross_cohort.csv  (13 data rows x 7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IAMDGC_late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maxPIP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5.91303579207114e-05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rs440446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45409167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9.98821608755307e-08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1.80517822911952e-11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2.02445060715206e-10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1.31794575253252e-12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0.998825671753274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3.68416963603124e-10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1.36080036128305e-12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rs814573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45424351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45424514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rs11673093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6.36445263157981e-09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0.00263424444638949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rs183657985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45742498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0.00216872691743608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rs145605569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45742902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7.2471608714153e-09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0.00372888846087893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