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Proteome-wide GSMR scan in the FinnGen R13 discovery cohort (2,923 proteins assayed; 679 with a GSMR estimate; per-protein β, SE, P, number of cis-pQTL instruments and HEIDI status; Bonferroni hits 8 AMD / 3 AD; BH-FDR hits 16 / 6).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Proteome-wide GSMR scan in the FinnGen R13 discovery cohort (2,923 proteins assayed; 679 with a GSMR estimate; per-protein β, SE, P, number of cis-pQTL instruments and HEIDI status; Bonferroni hits 8 AMD / 3 AD; BH-FDR hits 16 / 6). Source: `pqtl_gsmr_results/pqtl_gsmr_v2_full.csv` (AMD) and `pqtl_gsmr_results/pqtl_gsmr_v2_AD_full.csv` (AD).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TableS1_proteome_gsmr.csv  (679 data rows x 24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PAdj_AMD_Bonf2923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FDR_AMD_BH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PAdj_AD_Bonf2923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FDR_AD_BH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BonfHit_BOTH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Pmin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1.580e-09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2.765e-148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6.423e-149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1.690e-90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3.926e-91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2.137e-64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3.061e-40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3.794e-24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2.938e-25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2.239e-23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1.300e-24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1.027e-10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7.952e-12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4.786e-10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2.224e-11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4.144e-07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2.361e-06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3.499e-03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IL12A_IL12B_P29459_P29460_OID21327_v1_Oncology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IDO1_P14902_OID31474_v1_Oncology_II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IDO1_P14902_OID30563_v1_Inflammation_II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IDO1_P14902_OID31050_v1_Neurology_II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