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IAMDGC first-validation robustness grid (APOE pQTL re-clumped at r² ∈ {0.0001, 0.001, 0.01} × {5, 10} Mb → IAMDGC late AMD; IVW / MR-Egger / weighted median) and the first-validation mediation decomposition (56.1% mediated; residual direct path significant).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IAMDGC first-validation robustness grid (APOE pQTL re-clumped at r² ∈ {0.0001, 0.001, 0.01} × {5, 10} Mb → IAMDGC late AMD; IVW / MR-Egger / weighted median) and the first-validation mediation decomposition (56.1% mediated; residual direct path significant). Source: `revision/results/primary_anchor/`.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TableS22_iamdgc_grid_mediation.csv  (20 data rows x 10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mediation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product of coefficients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-0.215738362363903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0.0403448605130145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8.92479944073742e-08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mediation (direct)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residual direct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-0.168721637636097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0.049527944082655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0.000657786981830596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