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S5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Pharmacovigilance analyses (FAERS 2020 Q1–2026 Q1 and CVARD): report and case counts, suspect-role strata, ROR with 95% CI for AD/AMD PTs, and negative-control drugs.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Pharmacovigilance analyses (FAERS 2020 Q1–2026 Q1 and CVARD): report and case counts, suspect-role strata, ROR with 95% CI for AD/AMD PTs, and negative-control drugs. Source: `revision/results/r13/drug_repurposing_pharmacovigilance_supp.csv`.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TableS5_pharmacovigilance.csv  (12 data rows x 12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database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drug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stratum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n_case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n_drug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n_total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CI_lo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CI_hi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0.724596356410443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0.556223104244807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0.943937559796522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0.0169577570888745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1.27995797691085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1.09120874287588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1.50135566027449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0.0024267497416401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1.00135536692244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0.669840218172636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1.49694291811833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0.994731906489972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0.26811206466277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0.133929309645708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0.536731499683623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0.0002014840388664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1.18978731745565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0.563528901807715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2.51201643116671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0.648559119079014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2.3826587867952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0.889338903604876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6.38346402173659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0.0842118910578961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