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S6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AMD replication consistency: GSMR / IVW / MR-Egger (with intercept) / weighted median for APOE → IAMDGC late AMD and the corresponding discovery-cohort values, with sample-overlap notes.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replication consistency: GSMR / IVW / MR-Egger (with intercept) / weighted median for APOE → IAMDGC late AMD and the corresponding discovery-cohort values, with sample-overlap notes.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TableS6_replication_consistency.csv  (5 data rows x 8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Independence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R8 (N≈305,500)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5.89e-05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Bellenguez 2022 (N≈789,000)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2.48e-80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primary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Independent replication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 late AMD (N=32,339)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GSMR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independent (no UKB, not FinnGen)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Cohort-level consistency (no UKB)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R8 G6 (N=218,792; no UKB participants)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GSMR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UKB -&gt; excludes exposure-overlap path; Bellenguez component -&gt; NOT fully independent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Sensitivity (Bellenguez component)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Kunkle 2019 (N=94,437)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ε4 per-allele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1.00e-300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component of Bellenguez meta-analysis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