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B6E4F"/>
          <w:sz w:val="72"/>
          <w:szCs w:val="72"/>
        </w:rPr>
        <w:t xml:space="preserve">⬡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11827"/>
          <w:sz w:val="72"/>
          <w:szCs w:val="72"/>
        </w:rPr>
        <w:t xml:space="preserve">HedgeAI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AI-Powered Hedge Advisor for Crypto Traders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Product Requirements Document  ·  v1.0  ·  May 2025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Competition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Injective Nova 2025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Track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AI + DeFi Infrastructure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b/>
                <w:bCs/>
                <w:color w:val="0B6E4F"/>
                <w:sz w:val="20"/>
                <w:szCs w:val="20"/>
              </w:rPr>
              <w:t xml:space="preserve">Demo Ready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Network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Injective Testnet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6E4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6E4F"/>
          <w:sz w:val="32"/>
          <w:szCs w:val="32"/>
        </w:rPr>
        <w:t xml:space="preserve">1. 执行摘要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6E4F" w:sz="4"/>
              <w:left w:val="single" w:color="0B6E4F" w:sz="12"/>
              <w:bottom w:val="single" w:color="D1D5DB" w:sz="1"/>
              <w:right w:val="single" w:color="D1D5DB" w:sz="1"/>
            </w:tcBorders>
            <w:shd w:fill="EEF7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6E4F"/>
                <w:sz w:val="20"/>
                <w:szCs w:val="20"/>
              </w:rPr>
              <w:t xml:space="preserve">核心价值主张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HedgeAI 是首个面向普通合约交易者的 AI 对话式对冲助手。用户只需描述仓位情况，AI 即可实时读取账户数据、分析风险敞口，并自动生成包含反向合约、Polymarket 预测市场、Injective 链上期权的组合对冲方案，一键执行上链。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加密货币衍生品市场规模庞大，但绝大多数零售交易者缺乏专业的风险管理知识。当合约仓位持续浮亏时，大多数用户只能「死扛」或「割肉」，不知道还存在期权对冲、预测市场对冲等更优的风险管理手段。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HedgeAI 将专业风控知识封装进一个对话框，让每一个普通合约交易者都能获得机构级别的对冲保护。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B6E4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6E4F"/>
          <w:sz w:val="32"/>
          <w:szCs w:val="32"/>
        </w:rPr>
        <w:t xml:space="preserve">2. 问题陈述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2.1 核心痛点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600"/>
        <w:gridCol w:w="26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当前困境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损失场景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合约交易者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浮亏时只能止损或加仓，不知道对冲工具的存在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BTC 10x 多单 -8%，爆仓在即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中级交易者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了解期权概念但不懂行权价/到期日选择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买错期权反而亏损权利金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活跃交易者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管理多账户（币安/Hyperliquid/OKX）风险敞口难以汇总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跨平台仓位叠加导致隐性超杠杆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2.2 市场规模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全球加密衍生品日均交易量超过 $1,000 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永续合约占衍生品交易量约 80%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据估计，散户合约交易者年均爆仓损失超过 $50 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目前市场上无一款产品提供跨平台 AI 对冲建议 + 自动执行的完整解决方案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B6E4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6E4F"/>
          <w:sz w:val="32"/>
          <w:szCs w:val="32"/>
        </w:rPr>
        <w:t xml:space="preserve">3. 产品定义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3.1 产品一句话定位</w:t>
      </w:r>
    </w:p>
    <w:p>
      <w:pPr>
        <w:pBdr>
          <w:left w:val="single" w:color="0B6E4F" w:sz="16"/>
        </w:pBdr>
        <w:shd w:fill="EEF7F3" w:val="clear"/>
        <w:spacing w:after="160" w:before="160"/>
        <w:ind w:left="360" w:right="360"/>
        <w:jc w:val="center"/>
      </w:pPr>
      <w:r>
        <w:rPr>
          <w:rFonts w:ascii="Arial" w:cs="Arial" w:eastAsia="Arial" w:hAnsi="Arial"/>
          <w:b/>
          <w:bCs/>
          <w:i/>
          <w:iCs/>
          <w:color w:val="0B6E4F"/>
          <w:sz w:val="24"/>
          <w:szCs w:val="24"/>
        </w:rPr>
        <w:t xml:space="preserve">"HedgeAI = 你的 AI 风控经理，合约浮亏时自动建议并执行跨平台对冲方案"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3.2 核心功能模块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① 账户绑定层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用户通过设置页面绑定各交易平台，支持同时接入多个账户：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000"/>
        <w:gridCol w:w="17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接入方式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支持能力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Hyperliquid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Key (只读+交易)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读仓位、执行反向对冲合约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Injective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Keplr 钱包连接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链上期权购买、永续合约对冲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Polymarket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私钥 / API Key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预测市场对冲下单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币安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Key (只读+交易)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读仓位、期权下单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OKX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Key (只读+交易)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读仓位、下单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Bybit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Key (只读+交易)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读仓位、下单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② AI 对话核心层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产品主界面是一个全功能对话框。AI 具备以下能力：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实时读取所有绑定账户的当前仓位与风险指标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计算综合风险敞口（跨平台汇总保证金占用、总杠杆）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主动检测高危仓位并在对话中直接告警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根据仓位生成个性化对冲方案（含具体参数）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向用户解释每种对冲工具的原理（教育功能）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用户确认后调用对应平台 API 自动执行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执行后持续监控，条件触发时主动提醒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③ 模型选择层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用户可在设置中自由切换底层 AI 模型，满足不同需求：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 Sonnet（默认）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分析深度强，解释清晰，Injective 原生集成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复杂对冲方案生成、教育讲解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GPT-4o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反应速度快，多模态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快速问答、图表分析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DeepSeek V3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成本极低，中文优化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中文用户日常使用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Grok 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实时市场数据接入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结合市场情绪的对冲决策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④ 对冲执行层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HedgeAI 支持三种对冲策略，AI 根据仓位情况自动组合推荐：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6E4F" w:sz="4"/>
              <w:left w:val="single" w:color="0B6E4F" w:sz="12"/>
              <w:bottom w:val="single" w:color="D1D5DB" w:sz="1"/>
              <w:right w:val="single" w:color="D1D5DB" w:sz="1"/>
            </w:tcBorders>
            <w:shd w:fill="EEF7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6E4F"/>
                <w:sz w:val="20"/>
                <w:szCs w:val="20"/>
              </w:rPr>
              <w:t xml:space="preserve">策略 A：反向合约锁仓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在同平台或 Injective 开反向仓位，按 AI 计算的最优对冲比例（通常 30-50%）锁定当前亏损区间。优势：执行最快，成本仅手续费，无到期限制。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12"/>
              <w:bottom w:val="single" w:color="D1D5DB" w:sz="1"/>
              <w:right w:val="single" w:color="D1D5DB" w:sz="1"/>
            </w:tcBorders>
            <w:shd w:fill="EF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策略 B：Polymarket 预测市场对冲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自动搜索 Polymarket 上与当前仓位相关的事件市场（如「BTC 本月低于 $X」），计算期望收益并推荐下注金额。优势：独立于主仓位，不占用保证金，潜在赔率高。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7C3AED" w:sz="12"/>
              <w:bottom w:val="single" w:color="D1D5DB" w:sz="1"/>
              <w:right w:val="single" w:color="D1D5DB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策略 C：Injective 链上期权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在 Injective 期权模块购买对应的 Put/Call 期权，AI 自动计算最优行权价和到期日。优势：保护最完整，下跌风险完全封顶，同时保留上涨空间。去中心化，不依赖 CEX。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B6E4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6E4F"/>
          <w:sz w:val="32"/>
          <w:szCs w:val="32"/>
        </w:rPr>
        <w:t xml:space="preserve">4. 用户核心流程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4.1 主场景：浮亏对冲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5640"/>
      </w:tblGrid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用户动作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系统响应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连接 Keplr 钱包 + 绑定 Hyperliquid API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验证权限，读取当前所有仓位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进入对话界面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检测到 BTC 10x 多单浮亏 -8.3%，主动推送风险告警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阅读 AI 告警，询问「该怎么办」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生成三套对冲方案，附带参数计算和收益预期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选择方案 C：Injective 期权对冲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展示具体期权参数（行权价/到期日/成本）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输入「执行」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调用 Injective MCP Server，在测试网广播交易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查看执行结果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返回 TxHash，可在 Testnet Explorer 验证上链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设置监控条件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持续监控，价格触达阈值时主动提醒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B6E4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6E4F"/>
          <w:sz w:val="32"/>
          <w:szCs w:val="32"/>
        </w:rPr>
        <w:t xml:space="preserve">5. 技术架构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5.1 系统架构图（文字版）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│               前端：对话界面 (React)                 │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│    账户状态栏 | AI 对话框 | 模型选择 | 执行确认       │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└───────────────────┬─────────────────────────────────┘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│ HTTP / WebSocket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┌───────────────────▼─────────────────────────────────┐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│              后端：Python FastAPI                    │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│   仓位聚合层 | AI 分析层 | 风险计算 | 执行路由       │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└──┬──────────┬──────────┬──────────┬─────────────────┘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│          │          │          │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B6E4F"/>
                <w:sz w:val="18"/>
                <w:szCs w:val="18"/>
              </w:rPr>
              <w:t xml:space="preserve"> Claude    Injective  Hyperliquid Polymarket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API    MCP Server    API v2      CLOB 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5.2 技术栈选型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+ Vite + TailwindCSS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快速开发，组件生态丰富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钱包连接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Keplr Wallet SDK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Injective 官方推荐钱包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模型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 API (主) + 多模型路由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Injective MCP 原生集成，分析质量最优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链上执行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Injective MCP Server + injective-py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官方开源，支持自然语言执行链上操作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async 支持好，AI/区块链 SDK 生态丰富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CEX 数据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Hyperliquid API v2 / 币安 REST API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官方 API，支持实时仓位读取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预测市场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Polymarket py-clob-client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官方 Python SDK，支持自动化交易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测试网络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Injective Testnet (Chain ID: 888)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比赛演示用，链上数据真实可查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5.3 Injective 深度集成说明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HedgeAI 在以下层面深度使用 Injective 生态：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执行层：通过 Injective MCP Server 执行永续合约对冲单和期权购买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数据层：读取 Injective 链上期权价格、资金费率、深度数据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结算层：对冲交易结果全程上链，TxHash 可在 Testnet Explorer 公开验证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AI 集成：利用 Injective 与 Anthropic 的原生集成，Claude 可直接调用链上操作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B6E4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6E4F"/>
          <w:sz w:val="32"/>
          <w:szCs w:val="32"/>
        </w:rPr>
        <w:t xml:space="preserve">6. Demo 演示方案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6.1 Demo 核心流程（3分钟）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560"/>
        <w:gridCol w:w="3360"/>
      </w:tblGrid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时间段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演示内容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技术验证点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0:00 – 0:30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痛点呈现：展示合约爆仓数据，引出问题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0:30 – 1:00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账户连接：绑定 Hyperliquid + Keplr，AI 自动检测浮亏仓位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Hyperliquid API 实时数据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1:00 – 2:00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分析：三套对冲方案生成，附参数与收益预测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 API 分析结果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2:00 – 2:40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一键执行：选择 Injective 期权方案，AI 自动上链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Injective Testnet TxHash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2:40 – 3:00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结果展示：Explorer 验证，AI 设置持仓监控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链上数据公开可查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6.2 Demo 简化说明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12"/>
              <w:bottom w:val="single" w:color="D1D5DB" w:sz="1"/>
              <w:right w:val="single" w:color="D1D5DB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注意：Demo 阶段合理简化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为确保 Demo 稳定性，部分功能采用简化实现：Hyperliquid 仓位支持手动输入模拟（避免 API 密钥展示风险）；Injective 链上执行使用测试网，非真实资产；Polymarket 对冲方案仅展示计划，不实际执行下单。核心技术验证点（AI 分析 + 链上执行 + TxHash 可查）均为真实实现。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B6E4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6E4F"/>
          <w:sz w:val="32"/>
          <w:szCs w:val="32"/>
        </w:rPr>
        <w:t xml:space="preserve">7. 产品路线图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4320"/>
        <w:gridCol w:w="2400"/>
      </w:tblGrid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功能范围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0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（比赛版）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当前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对话 + 单账户 + Injective 执行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Testnet Demo 可演示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1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（MVP）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1-2 个月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 Hyperliquid/币安多账户 + Polymarket 自动执行 + 监控告警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首批 100 用户内测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2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（增长）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3-4 个月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 模型自由切换 + 策略回测 + 对冲效果跟踪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月活 1,000+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3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（商业化）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 个月+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 B2B API + 机构版 + 自动化对冲 Agent 托管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SaaS 收费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B6E4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6E4F"/>
          <w:sz w:val="32"/>
          <w:szCs w:val="32"/>
        </w:rPr>
        <w:t xml:space="preserve">8. 商业模式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8.1 收费模式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1560"/>
        <w:gridCol w:w="3840"/>
      </w:tblGrid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核心权益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散户交易者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免费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每月 20 次 AI 分析，基础对冲建议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活跃交易者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$29/月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无限分析，自动执行，多账户绑定，优先模型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机构/基金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定制</w:t>
            </w:r>
          </w:p>
        </w:tc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接入，私有化部署，专属风控模型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8.2 额外收入来源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执行手续费分润：与 Injective、Polymarket 的交易量分润协议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数据服务：匿名对冲策略数据 API 提供给机构研究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模型 API 转售：企业用户使用 HedgeAI 的风控模型 API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B6E4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6E4F"/>
          <w:sz w:val="32"/>
          <w:szCs w:val="32"/>
        </w:rPr>
        <w:t xml:space="preserve">9. 竞争分析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对冲建议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自动执行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链上集成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6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对话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HedgeAI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对冲助手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跨平台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一键执行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Injective 原生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多模型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Deribit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期权交易所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 无建议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 手动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 CEX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eToro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跟单平台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 无对冲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跟单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 CEX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DeFi Saver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链上风控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⚠️ 仅清算保护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自动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多链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Polymarket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预测市场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 无建议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 手动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Polygon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6E4F" w:sz="4"/>
              <w:left w:val="single" w:color="0B6E4F" w:sz="12"/>
              <w:bottom w:val="single" w:color="D1D5DB" w:sz="1"/>
              <w:right w:val="single" w:color="D1D5DB" w:sz="1"/>
            </w:tcBorders>
            <w:shd w:fill="EEF7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6E4F"/>
                <w:sz w:val="20"/>
                <w:szCs w:val="20"/>
              </w:rPr>
              <w:t xml:space="preserve">核心差异化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HedgeAI 是唯一同时具备：①跨平台仓位聚合、②AI 智能对冲方案生成、③多工具自动执行（合约+期权+预测市场）、④链上透明记录 四项能力的产品。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B6E4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6E4F"/>
          <w:sz w:val="32"/>
          <w:szCs w:val="32"/>
        </w:rPr>
        <w:t xml:space="preserve">10. 团队与支持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10.1 生态资源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Injective MCP Server：官方开源工具，AI 与链直接集成，免开发成本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Injective iAgent SDK v2.0：支持多 Agent 协作、跨链执行、预测分析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Anthropic Claude API：Injective 的官方 AI 集成合作方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Polymarket Python SDK：官方开源，支持自动化对冲执行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10.2 外部导师支持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感谢 Injective Nova 计划提供的 Web3Labs、Injective、Microsoft 导师团队支持，在产品落地路径、合规策略、技术架构上提供专业指导。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B6E4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6E4F"/>
          <w:sz w:val="32"/>
          <w:szCs w:val="32"/>
        </w:rPr>
        <w:t xml:space="preserve">11. 附录：关键 API 参考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Injective MCP Server 核心调用示例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4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# 通过自然语言执行对冲交易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response = injective_mcp.execute(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command="Open BTC-USDT-PERP short 2x $500 at market on testnet",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wallet=user_keplr_address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Returns: { txhash: '0x...', explorer_url: '...' 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Polymarket 对冲下单示例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4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from py_clob_client.client import ClobClient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client = ClobClient(host, key=PRIVATE_KEY, chain_id=137)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order = client.create_order({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    "token_id": btc_below_82k_token_id,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"price": 0.42,  # 42% implied probability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"size": 300     # USDC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top w:val="single" w:color="D1D5DB" w:sz="4" w:space="8"/>
        </w:pBdr>
        <w:spacing w:after="0" w:before="4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HedgeAI  ·  Injective Nova 2025  ·  Built with Claude + Injective MCP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9CA3AF"/>
        <w:sz w:val="16"/>
        <w:szCs w:val="16"/>
      </w:rPr>
      <w:t xml:space="preserve">Confidential — Injective Nova Competition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6E4F" w:sz="4" w:space="4"/>
      </w:pBdr>
      <w:spacing w:after="120" w:before="0"/>
    </w:pPr>
    <w:r>
      <w:rPr>
        <w:rFonts w:ascii="Arial" w:cs="Arial" w:eastAsia="Arial" w:hAnsi="Arial"/>
        <w:b/>
        <w:bCs/>
        <w:color w:val="0B6E4F"/>
        <w:sz w:val="18"/>
        <w:szCs w:val="18"/>
      </w:rPr>
      <w:t xml:space="preserve">HedgeAI</w:t>
    </w:r>
    <w:r>
      <w:rPr>
        <w:rFonts w:ascii="Arial" w:cs="Arial" w:eastAsia="Arial" w:hAnsi="Arial"/>
        <w:color w:val="9CA3AF"/>
        <w:sz w:val="18"/>
        <w:szCs w:val="18"/>
      </w:rPr>
      <w:t xml:space="preserve">  |  Product Requirements Document  |  Injective Nova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B6E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2026-05-24T11:50:19.144Z</dcterms:created>
  <dcterms:modified xsi:type="dcterms:W3CDTF">2026-05-24T11:50:19.144Z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