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C290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研究背景：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大语言模型（LLMs）在知识密集型任务中的规模化应用，检索增强生成（RAG）技术因能有效解决LLMs上下文窗口有限、知识时效性滞后及生成内容“幻觉”等核心痛点，已成为提升LLM实用价值的核心技术路径；然而，当前RAG领域研究多聚焦于检索算法革新与生成阶段prompt工程改进，对RAG系统全链路关键特征与最终生成质量的量化关联分析存在明显缺口，且现有RAG相关数据集多为单一领域静态文档-查询-回答三元组，既未系统标注文档复杂度、来源可靠性、文档时效性等核心属性，也未提供基于业务逻辑的可量化生成质量标签，导致无法支撑特征重要性评估、性能预测模型训练等深度研究，进而制约RAG系统从经验化调优向数据驱动的智能化优化转型。在此背景下，本研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旨在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为RAG系统性能优化、领域适配及相关预测模型训练提供支撑，推动RAG技术研究从定性分析向定量验证迈进。</w:t>
      </w:r>
    </w:p>
    <w:p w14:paraId="609FFA5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数据集介绍</w:t>
      </w:r>
    </w:p>
    <w:p w14:paraId="0079167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该数据集是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RAG（检索增强生成）系统性能评估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数据集，共包含728条样本，涵盖特征变量、文本信息与预测变量三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模块，可用于RAG模型训练、性能优化及特征重要性分析。特征变量层面，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包括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RAG系统关键影响因素：文档维度、查询维度、检索维度及回答维度，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包含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技术、医学、法律等7个领域；文本信息层面，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包含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文档标题和查询文本；预测变量为回答质量分数（0-10分）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。下面是各个变量的箱线图分析：</w:t>
      </w:r>
    </w:p>
    <w:p w14:paraId="7C3742E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845" cy="5236845"/>
            <wp:effectExtent l="0" t="0" r="8255" b="8255"/>
            <wp:docPr id="2" name="图片 2" descr="664f56bf-5101-450f-a17a-6976ba757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64f56bf-5101-450f-a17a-6976ba7575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BA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下文是相关性热力图，反应了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回答质量分数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与其他各个变量之间的相关性。</w:t>
      </w:r>
    </w:p>
    <w:p w14:paraId="077D6D6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2720" cy="4683760"/>
            <wp:effectExtent l="0" t="0" r="5080" b="2540"/>
            <wp:docPr id="3" name="图片 3" descr="cca9fcfd-d583-4d29-afe2-6b60f609a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a9fcfd-d583-4d29-afe2-6b60f609ad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39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对比实验分析</w:t>
      </w:r>
    </w:p>
    <w:tbl>
      <w:tblPr>
        <w:tblStyle w:val="2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12"/>
        <w:gridCol w:w="1415"/>
        <w:gridCol w:w="1412"/>
        <w:gridCol w:w="1415"/>
        <w:gridCol w:w="1413"/>
      </w:tblGrid>
      <w:tr w14:paraId="44223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vAlign w:val="center"/>
          </w:tcPr>
          <w:p w14:paraId="775BC5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Model</w:t>
            </w:r>
          </w:p>
        </w:tc>
        <w:tc>
          <w:tcPr>
            <w:tcW w:w="828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vAlign w:val="center"/>
          </w:tcPr>
          <w:p w14:paraId="5252BB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MSE</w:t>
            </w:r>
          </w:p>
        </w:tc>
        <w:tc>
          <w:tcPr>
            <w:tcW w:w="830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vAlign w:val="center"/>
          </w:tcPr>
          <w:p w14:paraId="44555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RMSE</w:t>
            </w:r>
          </w:p>
        </w:tc>
        <w:tc>
          <w:tcPr>
            <w:tcW w:w="828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vAlign w:val="center"/>
          </w:tcPr>
          <w:p w14:paraId="435FD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MAE</w:t>
            </w:r>
          </w:p>
        </w:tc>
        <w:tc>
          <w:tcPr>
            <w:tcW w:w="830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vAlign w:val="center"/>
          </w:tcPr>
          <w:p w14:paraId="109D37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MAPE</w:t>
            </w:r>
          </w:p>
        </w:tc>
        <w:tc>
          <w:tcPr>
            <w:tcW w:w="829" w:type="pct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vAlign w:val="center"/>
          </w:tcPr>
          <w:p w14:paraId="5DD788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R²</w:t>
            </w:r>
          </w:p>
        </w:tc>
      </w:tr>
      <w:tr w14:paraId="2B04E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6C5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ExtraTrees</w:t>
            </w:r>
          </w:p>
        </w:tc>
        <w:tc>
          <w:tcPr>
            <w:tcW w:w="828" w:type="pct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83A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1.877</w:t>
            </w:r>
          </w:p>
        </w:tc>
        <w:tc>
          <w:tcPr>
            <w:tcW w:w="830" w:type="pct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2A36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1.37</w:t>
            </w:r>
          </w:p>
        </w:tc>
        <w:tc>
          <w:tcPr>
            <w:tcW w:w="828" w:type="pct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31FC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1.119</w:t>
            </w:r>
          </w:p>
        </w:tc>
        <w:tc>
          <w:tcPr>
            <w:tcW w:w="830" w:type="pct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D007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28.858</w:t>
            </w:r>
          </w:p>
        </w:tc>
        <w:tc>
          <w:tcPr>
            <w:tcW w:w="829" w:type="pct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C6C1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</w:tr>
      <w:tr w14:paraId="6F8D3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49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CatBoost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651F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1.124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CE99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1.06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E38A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0.846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90C0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19.664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33DC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0.521</w:t>
            </w:r>
          </w:p>
        </w:tc>
      </w:tr>
      <w:tr w14:paraId="72C32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3CC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2178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1.203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010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1.097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83C2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0.858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690B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20.009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734A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0.516</w:t>
            </w:r>
          </w:p>
        </w:tc>
      </w:tr>
      <w:tr w14:paraId="2760A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5CC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5FA7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1.237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66DE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1.112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125D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0.868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870D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21.099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3487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0.524</w:t>
            </w:r>
          </w:p>
        </w:tc>
      </w:tr>
      <w:tr w14:paraId="3D546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D8A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GBDT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EA11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1.162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5CB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1.078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3BDE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0.855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EA35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19.598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B5E1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0.48</w:t>
            </w:r>
          </w:p>
        </w:tc>
      </w:tr>
      <w:tr w14:paraId="683FC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320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KNN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71E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1.184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D8DB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1.088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018A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0.849</w:t>
            </w:r>
          </w:p>
        </w:tc>
        <w:tc>
          <w:tcPr>
            <w:tcW w:w="8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4187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21.372</w:t>
            </w: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5E9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0.485</w:t>
            </w:r>
          </w:p>
        </w:tc>
      </w:tr>
      <w:tr w14:paraId="0DB6E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2" w:type="pct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auto"/>
            <w:noWrap/>
            <w:vAlign w:val="center"/>
          </w:tcPr>
          <w:p w14:paraId="50CBA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Our model</w:t>
            </w:r>
          </w:p>
        </w:tc>
        <w:tc>
          <w:tcPr>
            <w:tcW w:w="828" w:type="pct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noWrap/>
            <w:vAlign w:val="center"/>
          </w:tcPr>
          <w:p w14:paraId="0D0D70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0.919</w:t>
            </w:r>
          </w:p>
        </w:tc>
        <w:tc>
          <w:tcPr>
            <w:tcW w:w="830" w:type="pct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noWrap/>
            <w:vAlign w:val="center"/>
          </w:tcPr>
          <w:p w14:paraId="3C43D5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0.959</w:t>
            </w:r>
          </w:p>
        </w:tc>
        <w:tc>
          <w:tcPr>
            <w:tcW w:w="828" w:type="pct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noWrap/>
            <w:vAlign w:val="center"/>
          </w:tcPr>
          <w:p w14:paraId="68372B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0.762</w:t>
            </w:r>
          </w:p>
        </w:tc>
        <w:tc>
          <w:tcPr>
            <w:tcW w:w="830" w:type="pct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noWrap/>
            <w:vAlign w:val="center"/>
          </w:tcPr>
          <w:p w14:paraId="56EDD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17.731</w:t>
            </w:r>
          </w:p>
        </w:tc>
        <w:tc>
          <w:tcPr>
            <w:tcW w:w="829" w:type="pct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/>
            <w:noWrap/>
            <w:vAlign w:val="center"/>
          </w:tcPr>
          <w:p w14:paraId="43F694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0.562</w:t>
            </w:r>
          </w:p>
        </w:tc>
      </w:tr>
    </w:tbl>
    <w:p w14:paraId="276AF046"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135F673"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实验结果分析：在各项模型评估指标中，Our model 的表现均优于 ExtraTrees、CatBoost、XGBoost、LightGBM、GBDT 和 KNN 这六种模型。具体来看，Our model 的 MSE 为 0.919，显著低于其他模型中最小的 CatBoost 的 1.124 以及最大的 ExtraTrees 的 1.877；RMSE 为 0.959，低于其他模型中最小的 CatBoost 的 1.06；MAE 为 0.762，小于其他模型中最小的 CatBoost 的 0.846；MAPE 为 17.731，低于其他模型中最小的 GBDT 的 19.598；R² 为 0.562，高于其他模型中最大的 LightGBM 的 0.524。整体而言，Our model 在误差类指标（MSE、RMSE、MAE、MAPE）上均实现了最小化，在拟合优度指标（R²）上实现了最大化，综合性能更优。</w:t>
      </w:r>
    </w:p>
    <w:p w14:paraId="04F4E555"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900" cy="3743960"/>
            <wp:effectExtent l="0" t="0" r="0" b="254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781C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预测值与实际值的折线图</w:t>
      </w:r>
    </w:p>
    <w:p w14:paraId="7FB2120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2700020"/>
            <wp:effectExtent l="0" t="0" r="9525" b="508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B1790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 w14:paraId="6519CBA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原理：该算法将群智能优化算法与BiLSTM-Attention模型结合实现回归任务。群智能优化算法通过初始化种群生成候选超参数组合，经迭代搜索优化L2正则化系数、初始学习率和隐藏层节点数，搜索过程中通过边界检查确保参数在合理范围，并借助食物存储机制保留更优解。BiLSTM-Attention模型以优化后的参数构建，通过序列输入层接收预处理数据，双向LSTM层捕捉时序特征，ReLU激活层引入非线性，自注意力层强化关键特征权重，dropout层抑制过拟合，全连接层和softmax层输出回归结果。群智能优化算法通过最小化1-准确率的适应度函数引导参数寻优，最终使模型在优化后的参数配置下实现高效回归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541D5"/>
    <w:rsid w:val="5577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1099</Words>
  <Characters>1544</Characters>
  <Lines>0</Lines>
  <Paragraphs>0</Paragraphs>
  <TotalTime>20</TotalTime>
  <ScaleCrop>false</ScaleCrop>
  <LinksUpToDate>false</LinksUpToDate>
  <CharactersWithSpaces>1585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2025-08-28T15:31:00Z</dcterms:created>
  <dc:creator>m</dc:creator>
  <cp:lastModifiedBy>遥不可及</cp:lastModifiedBy>
  <dcterms:modified xsi:type="dcterms:W3CDTF">2025-08-29T15:53:38Z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A7ED168ECEDA4575AB2F1E783059C2D5_13</vt:lpwstr>
  </property>
</Properties>
</file>