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幼年特发性关节炎全身型合并巨噬细胞活化综合征预警平台研发方案（v1.0）——sJIA守护者联盟</w:t>
      </w:r>
    </w:p>
    <w:p>
      <w:pPr>
        <w:spacing w:before="120" w:after="120" w:line="288" w:lineRule="auto"/>
        <w:ind w:left="0" w:firstLine="0"/>
        <w:jc w:val="center"/>
      </w:pPr>
      <w:r>
        <w:rPr>
          <w:rFonts w:eastAsia="等线" w:ascii="Arial" w:cs="Arial" w:hAnsi="Arial"/>
          <w:b w:val="true"/>
          <w:sz w:val="22"/>
        </w:rPr>
        <w:t>幼年特发性关节炎全身型合并巨噬细胞活化综合征预警平台研发方案（v1.0）</w:t>
      </w:r>
    </w:p>
    <w:p>
      <w:pPr>
        <w:spacing w:before="120" w:after="120" w:line="288" w:lineRule="auto"/>
        <w:ind w:left="0" w:firstLine="0"/>
        <w:jc w:val="center"/>
      </w:pPr>
      <w:r>
        <w:rPr>
          <w:rFonts w:eastAsia="等线" w:ascii="Arial" w:cs="Arial" w:hAnsi="Arial"/>
          <w:b w:val="true"/>
          <w:sz w:val="22"/>
        </w:rPr>
        <w:t>sJIA守护者联盟发起</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幼年特发性关节炎全身型</w:t>
      </w:r>
      <w:bookmarkEnd w:id="0"/>
    </w:p>
    <w:p>
      <w:pPr>
        <w:spacing w:before="120" w:after="120" w:line="288" w:lineRule="auto"/>
        <w:ind w:left="0" w:firstLine="420"/>
        <w:jc w:val="left"/>
      </w:pPr>
      <w:r>
        <w:rPr>
          <w:rFonts w:eastAsia="等线" w:ascii="Arial" w:cs="Arial" w:hAnsi="Arial"/>
          <w:sz w:val="22"/>
        </w:rPr>
        <w:t>幼年特发性关节炎全身型（systemic juvenile idiopathic arthritis,sJIA）是儿童期最复杂的疾病之一。此类疾病多继发于细菌或病毒感染、恶性肿瘤或其他炎症性疾病，也可能缺乏明确的诱因。目前sJIA主要通过临床表现进行诊断，但往往需要长期随访并根据疾病的后续发展得以最终确诊。在儿童各类慢性关节炎中，sJIA具有典型的关节外表现特点，这表明sJIA是一种全身性疾病。16岁以上的儿童或成人也可以发生同样的疾病，称为成人斯蒂尔病（adult-onset Still disease, AOSD)。</w:t>
      </w:r>
    </w:p>
    <w:p>
      <w:pPr>
        <w:spacing w:before="120" w:after="120" w:line="288" w:lineRule="auto"/>
        <w:ind w:left="0" w:firstLine="420"/>
        <w:jc w:val="left"/>
      </w:pPr>
      <w:r>
        <w:rPr>
          <w:rFonts w:eastAsia="等线" w:ascii="Arial" w:cs="Arial" w:hAnsi="Arial"/>
          <w:sz w:val="22"/>
        </w:rPr>
        <w:t>患者主要会出现发热、皮疹、关节炎三大主要临床表现，以弛张热为突出表现，且易并发巨噬细胞活化综合征，危及生命。</w:t>
      </w:r>
    </w:p>
    <w:p>
      <w:pPr>
        <w:spacing w:before="120" w:after="120" w:line="288" w:lineRule="auto"/>
        <w:ind w:left="0" w:firstLine="420"/>
        <w:jc w:val="left"/>
      </w:pPr>
      <w:r>
        <w:rPr>
          <w:rFonts w:eastAsia="等线" w:ascii="Arial" w:cs="Arial" w:hAnsi="Arial"/>
          <w:sz w:val="22"/>
        </w:rPr>
        <w:t>目前确切的患病率尚不清楚，来自欧洲的研究表明sJIA 的年发病率约为0.3/10万-0.8/10万，已被纳入中国第二批罕见病目录。</w:t>
      </w:r>
    </w:p>
    <w:p>
      <w:pPr>
        <w:spacing w:before="120" w:after="120" w:line="288" w:lineRule="auto"/>
        <w:ind w:left="0" w:firstLine="420"/>
        <w:jc w:val="left"/>
      </w:pPr>
      <w:r>
        <w:rPr>
          <w:rFonts w:eastAsia="等线" w:ascii="Arial" w:cs="Arial" w:hAnsi="Arial"/>
          <w:sz w:val="22"/>
        </w:rPr>
        <w:t>诊断标准：</w:t>
      </w:r>
    </w:p>
    <w:p>
      <w:pPr>
        <w:spacing w:before="120" w:after="120" w:line="288" w:lineRule="auto"/>
        <w:ind w:left="0"/>
        <w:jc w:val="center"/>
      </w:pPr>
      <w:r>
        <w:drawing>
          <wp:inline distT="0" distR="0" distB="0" distL="0">
            <wp:extent cx="4657725" cy="81153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657725" cy="81153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在诊断前需排除感染性疾病、血液肿瘤疾病、风湿免疫性疾病、自身炎症性疾病等疾病。</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巨噬细胞活化综合征（MAS）</w:t>
      </w:r>
      <w:bookmarkEnd w:id="1"/>
    </w:p>
    <w:p>
      <w:pPr>
        <w:spacing w:before="120" w:after="120" w:line="288" w:lineRule="auto"/>
        <w:ind w:left="0" w:firstLine="420"/>
        <w:jc w:val="left"/>
      </w:pPr>
      <w:r>
        <w:rPr>
          <w:rFonts w:eastAsia="等线" w:ascii="Arial" w:cs="Arial" w:hAnsi="Arial"/>
          <w:sz w:val="22"/>
        </w:rPr>
        <w:t>巨噬细胞活化综合征（MAS）属于继发性嗜血细胞性淋巴组织细胞增多症（HLH），是一种严重且危及生命的过度炎症反应综合征，可继发于多种儿童风湿性疾病，包括sJIA、系统性红斑狼疮、幼年皮肌炎、川崎病及自身炎症性疾病，其中以sJIA最为常见，是sJIA后果最严重的并发症。预计预计有至少7%的sJIA患者的病程中出现MAS，并有很多患者仅表现出MAS的部分临床特点而未得到诊断。合并MAS的sJIA患者病死率较高，在一项纳入超过350名sJIA相关的MAS患者的队列中，致死率可达8%。</w:t>
      </w:r>
    </w:p>
    <w:p>
      <w:pPr>
        <w:spacing w:before="120" w:after="120" w:line="288" w:lineRule="auto"/>
        <w:ind w:left="0" w:firstLine="420"/>
        <w:jc w:val="left"/>
      </w:pPr>
      <w:r>
        <w:rPr>
          <w:rFonts w:eastAsia="等线" w:ascii="Arial" w:cs="Arial" w:hAnsi="Arial"/>
          <w:sz w:val="22"/>
        </w:rPr>
        <w:t xml:space="preserve">MAS的典型临床特征是快速进展的持续发热、肝脾肿大、淋巴结肿大、肝功能异常（可伴有黄疸，甚至表现为肝功能衰竭）、脑病、紫癜、瘀斑和黏膜出血。重症患者会出现多器官受累，可能会出现呼吸窘迫、肾衰竭、定向障碍、癫痫发作、意识改变、低血压和休克。 </w:t>
      </w:r>
    </w:p>
    <w:p>
      <w:pPr>
        <w:spacing w:before="120" w:after="120" w:line="288" w:lineRule="auto"/>
        <w:ind w:left="0" w:firstLine="420"/>
        <w:jc w:val="left"/>
      </w:pPr>
      <w:r>
        <w:rPr>
          <w:rFonts w:eastAsia="等线" w:ascii="Arial" w:cs="Arial" w:hAnsi="Arial"/>
          <w:sz w:val="22"/>
        </w:rPr>
        <w:t>MAS的不同阶段，临床表现缺乏特异性，尤其是早期表现与sJIA不易区分，易错失最佳治疗时机，应用评分标准进行早期诊断尤其困难。根据最新2023年EULAR和PReS推荐，将持续发热、脾大、SF升高或上升、血细胞计数异常降低、肝功能异常、血管内凝血激活、血清甘油三酯升高或上升的患者，均应考虑早期或亚临床MAS。</w:t>
      </w:r>
    </w:p>
    <w:p>
      <w:pPr>
        <w:spacing w:before="120" w:after="120" w:line="288" w:lineRule="auto"/>
        <w:ind w:left="0"/>
        <w:jc w:val="center"/>
      </w:pPr>
      <w:r>
        <w:drawing>
          <wp:inline distT="0" distR="0" distB="0" distL="0">
            <wp:extent cx="4638675" cy="7372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4638675" cy="7372350"/>
                    </a:xfrm>
                    <a:prstGeom prst="rect">
                      <a:avLst/>
                    </a:prstGeom>
                  </pic:spPr>
                </pic:pic>
              </a:graphicData>
            </a:graphic>
          </wp:inline>
        </w:drawing>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主流诊断标准：</w:t>
      </w:r>
    </w:p>
    <w:p>
      <w:pPr>
        <w:spacing w:before="120" w:after="120" w:line="288" w:lineRule="auto"/>
        <w:ind w:left="0" w:firstLine="420"/>
        <w:jc w:val="left"/>
      </w:pPr>
      <w:r>
        <w:rPr>
          <w:rFonts w:eastAsia="等线" w:ascii="Arial" w:cs="Arial" w:hAnsi="Arial"/>
          <w:sz w:val="22"/>
        </w:rPr>
        <w:t>2016年国际儿童风湿病试验组织（PRINTO)、美国风湿病学会（ACR）和以及欧洲抗风湿病联盟（EULAR）联合推出了sJIA 相关MAS的实验室诊断标准：</w:t>
      </w:r>
    </w:p>
    <w:p>
      <w:pPr>
        <w:spacing w:before="120" w:after="120" w:line="288" w:lineRule="auto"/>
        <w:ind w:left="0" w:firstLine="420"/>
        <w:jc w:val="left"/>
      </w:pPr>
      <w:r>
        <w:rPr>
          <w:rFonts w:eastAsia="等线" w:ascii="Arial" w:cs="Arial" w:hAnsi="Arial"/>
          <w:sz w:val="22"/>
        </w:rPr>
        <w:t>当确诊或疑似sJIA的患者出现发热的同时具备以下实验室指标时可分类为MAS：</w:t>
      </w:r>
    </w:p>
    <w:p>
      <w:pPr>
        <w:spacing w:before="120" w:after="120" w:line="288" w:lineRule="auto"/>
        <w:ind w:left="0" w:firstLine="420"/>
        <w:jc w:val="left"/>
      </w:pPr>
      <w:r>
        <w:rPr>
          <w:rFonts w:eastAsia="等线" w:ascii="Arial" w:cs="Arial" w:hAnsi="Arial"/>
          <w:sz w:val="22"/>
        </w:rPr>
        <w:t>铁蛋白＞684ng/mL</w:t>
      </w:r>
    </w:p>
    <w:p>
      <w:pPr>
        <w:spacing w:before="120" w:after="120" w:line="288" w:lineRule="auto"/>
        <w:ind w:left="0" w:firstLine="420"/>
        <w:jc w:val="left"/>
      </w:pPr>
      <w:r>
        <w:rPr>
          <w:rFonts w:eastAsia="等线" w:ascii="Arial" w:cs="Arial" w:hAnsi="Arial"/>
          <w:sz w:val="22"/>
        </w:rPr>
        <w:t>具有以下任意2条以上：</w:t>
      </w:r>
    </w:p>
    <w:p>
      <w:pPr>
        <w:numPr>
          <w:numId w:val="1"/>
        </w:numPr>
        <w:spacing w:before="120" w:after="120" w:line="288" w:lineRule="auto"/>
        <w:ind w:left="453"/>
        <w:jc w:val="left"/>
      </w:pPr>
      <w:r>
        <w:rPr>
          <w:rFonts w:eastAsia="等线" w:ascii="Arial" w:cs="Arial" w:hAnsi="Arial"/>
          <w:sz w:val="22"/>
        </w:rPr>
        <w:t>血小板＜181*109/L</w:t>
      </w:r>
    </w:p>
    <w:p>
      <w:pPr>
        <w:numPr>
          <w:numId w:val="2"/>
        </w:numPr>
        <w:spacing w:before="120" w:after="120" w:line="288" w:lineRule="auto"/>
        <w:ind w:left="453"/>
        <w:jc w:val="left"/>
      </w:pPr>
      <w:r>
        <w:rPr>
          <w:rFonts w:eastAsia="等线" w:ascii="Arial" w:cs="Arial" w:hAnsi="Arial"/>
          <w:sz w:val="22"/>
        </w:rPr>
        <w:t>天门冬氨酸氨基转移酶＞48U/L</w:t>
      </w:r>
    </w:p>
    <w:p>
      <w:pPr>
        <w:numPr>
          <w:numId w:val="3"/>
        </w:numPr>
        <w:spacing w:before="120" w:after="120" w:line="288" w:lineRule="auto"/>
        <w:ind w:left="453"/>
        <w:jc w:val="left"/>
      </w:pPr>
      <w:r>
        <w:rPr>
          <w:rFonts w:eastAsia="等线" w:ascii="Arial" w:cs="Arial" w:hAnsi="Arial"/>
          <w:sz w:val="22"/>
        </w:rPr>
        <w:t>甘油三酯＞156mg/mL</w:t>
      </w:r>
    </w:p>
    <w:p>
      <w:pPr>
        <w:numPr>
          <w:numId w:val="4"/>
        </w:numPr>
        <w:spacing w:before="120" w:after="120" w:line="288" w:lineRule="auto"/>
        <w:ind w:left="453"/>
        <w:jc w:val="left"/>
      </w:pPr>
      <w:r>
        <w:rPr>
          <w:rFonts w:eastAsia="等线" w:ascii="Arial" w:cs="Arial" w:hAnsi="Arial"/>
          <w:sz w:val="22"/>
        </w:rPr>
        <w:t>纤维蛋白原＜3.6mg/dL</w:t>
      </w:r>
    </w:p>
    <w:p>
      <w:pPr>
        <w:spacing w:before="120" w:after="120" w:line="288" w:lineRule="auto"/>
        <w:ind w:left="0" w:firstLine="420"/>
        <w:jc w:val="left"/>
      </w:pPr>
      <w:r>
        <w:rPr>
          <w:rFonts w:eastAsia="等线" w:ascii="Arial" w:cs="Arial" w:hAnsi="Arial"/>
          <w:b w:val="true"/>
          <w:sz w:val="22"/>
        </w:rPr>
        <w:t>其他诊断标准：</w:t>
      </w:r>
    </w:p>
    <w:p>
      <w:pPr>
        <w:spacing w:before="120" w:after="120" w:line="288" w:lineRule="auto"/>
        <w:ind w:left="0" w:firstLine="420"/>
        <w:jc w:val="left"/>
      </w:pPr>
      <w:r>
        <w:rPr>
          <w:rFonts w:eastAsia="等线" w:ascii="Arial" w:cs="Arial" w:hAnsi="Arial"/>
          <w:sz w:val="22"/>
        </w:rPr>
        <w:t>（1）HLH诊断标准（2004）：</w:t>
      </w:r>
    </w:p>
    <w:p>
      <w:pPr>
        <w:spacing w:before="120" w:after="120" w:line="288" w:lineRule="auto"/>
        <w:ind w:left="0" w:firstLine="420"/>
        <w:jc w:val="left"/>
      </w:pPr>
      <w:r>
        <w:rPr>
          <w:rFonts w:eastAsia="等线" w:ascii="Arial" w:cs="Arial" w:hAnsi="Arial"/>
          <w:sz w:val="22"/>
        </w:rPr>
        <w:t>符合8条中的5条：</w:t>
      </w:r>
    </w:p>
    <w:p>
      <w:pPr>
        <w:numPr>
          <w:numId w:val="5"/>
        </w:numPr>
        <w:spacing w:before="120" w:after="120" w:line="288" w:lineRule="auto"/>
        <w:ind w:left="453"/>
        <w:jc w:val="left"/>
      </w:pPr>
      <w:r>
        <w:rPr>
          <w:rFonts w:eastAsia="等线" w:ascii="Arial" w:cs="Arial" w:hAnsi="Arial"/>
          <w:sz w:val="22"/>
        </w:rPr>
        <w:t>特殊检查：NK细胞活性↓、sCD25↑</w:t>
      </w:r>
    </w:p>
    <w:p>
      <w:pPr>
        <w:numPr>
          <w:numId w:val="6"/>
        </w:numPr>
        <w:spacing w:before="120" w:after="120" w:line="288" w:lineRule="auto"/>
        <w:ind w:left="453"/>
        <w:jc w:val="left"/>
      </w:pPr>
      <w:r>
        <w:rPr>
          <w:rFonts w:eastAsia="等线" w:ascii="Arial" w:cs="Arial" w:hAnsi="Arial"/>
          <w:sz w:val="22"/>
        </w:rPr>
        <w:t>病理：骨髓、肝脾、淋巴结中发现噬血现象</w:t>
      </w:r>
    </w:p>
    <w:p>
      <w:pPr>
        <w:numPr>
          <w:numId w:val="7"/>
        </w:numPr>
        <w:spacing w:before="120" w:after="120" w:line="288" w:lineRule="auto"/>
        <w:ind w:left="453"/>
        <w:jc w:val="left"/>
      </w:pPr>
      <w:r>
        <w:rPr>
          <w:rFonts w:eastAsia="等线" w:ascii="Arial" w:cs="Arial" w:hAnsi="Arial"/>
          <w:sz w:val="22"/>
        </w:rPr>
        <w:t>临床：发热＞38.5℃（持续＞1周）、脾大</w:t>
      </w:r>
    </w:p>
    <w:p>
      <w:pPr>
        <w:numPr>
          <w:numId w:val="8"/>
        </w:numPr>
        <w:spacing w:before="120" w:after="120" w:line="288" w:lineRule="auto"/>
        <w:ind w:left="453"/>
        <w:jc w:val="left"/>
      </w:pPr>
      <w:r>
        <w:rPr>
          <w:rFonts w:eastAsia="等线" w:ascii="Arial" w:cs="Arial" w:hAnsi="Arial"/>
          <w:sz w:val="22"/>
        </w:rPr>
        <w:t>常规检查：血细胞减少（累及外周血两系或三系）、甘油三酯（TG）＞3mmol/L或纤维蛋白原（Fbg）＜1.5g/L、铁蛋白＞500ug/L</w:t>
      </w:r>
    </w:p>
    <w:p>
      <w:pPr>
        <w:spacing w:before="120" w:after="120" w:line="288" w:lineRule="auto"/>
        <w:ind w:left="0" w:firstLine="0"/>
        <w:jc w:val="left"/>
      </w:pPr>
      <w:r>
        <w:rPr>
          <w:rFonts w:eastAsia="等线" w:ascii="Arial" w:cs="Arial" w:hAnsi="Arial"/>
          <w:sz w:val="22"/>
        </w:rPr>
        <w:t>（2）MAS/sJIA（MS）评分表：</w:t>
      </w:r>
    </w:p>
    <w:p>
      <w:pPr>
        <w:spacing w:before="120" w:after="120" w:line="288" w:lineRule="auto"/>
        <w:ind w:left="0" w:firstLine="0"/>
        <w:jc w:val="left"/>
      </w:pPr>
      <w:r>
        <w:rPr>
          <w:rFonts w:eastAsia="等线" w:ascii="Arial" w:cs="Arial" w:hAnsi="Arial"/>
          <w:sz w:val="22"/>
        </w:rPr>
        <w:t>若公式计算后MS值≥-2.1，则sJIA合并MAS的可能性大，由于将发热作为病情活动的强制指标，因此未被列入公式所含项目中。</w:t>
      </w:r>
    </w:p>
    <w:p>
      <w:pPr>
        <w:spacing w:before="120" w:after="120" w:line="288" w:lineRule="auto"/>
        <w:ind w:left="0"/>
        <w:jc w:val="center"/>
      </w:pPr>
      <w:r>
        <w:drawing>
          <wp:inline distT="0" distR="0" distB="0" distL="0">
            <wp:extent cx="4438650" cy="2571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438650" cy="2571750"/>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预警平台研发设想</w:t>
      </w:r>
      <w:bookmarkEnd w:id="2"/>
    </w:p>
    <w:p>
      <w:pPr>
        <w:spacing w:before="120" w:after="120" w:line="288" w:lineRule="auto"/>
        <w:ind w:left="0" w:firstLine="0"/>
        <w:jc w:val="left"/>
      </w:pPr>
      <w:r>
        <w:rPr>
          <w:rFonts w:eastAsia="等线" w:ascii="Arial" w:cs="Arial" w:hAnsi="Arial"/>
          <w:sz w:val="22"/>
        </w:rPr>
        <w:t>早期监测sJIA合并MAS并非依赖某一次检查结果，而是需要密切观察指标动态变化，以尽早诊断、尽早干预。地方医生常因缺乏经验，等待指标完全符合诊断标准后再进行干预，在一定程度上延缓了治疗，增加了治疗难度，因此搭建MAS预警平台有助于患者或医生提高警惕，抓住时机。因此该项目目的在于动态监测及连续预警。</w:t>
      </w:r>
    </w:p>
    <w:p>
      <w:pPr>
        <w:spacing w:before="120" w:after="120" w:line="288" w:lineRule="auto"/>
        <w:ind w:left="0" w:firstLine="0"/>
        <w:jc w:val="left"/>
      </w:pPr>
      <w:r>
        <w:rPr>
          <w:rFonts w:eastAsia="等线" w:ascii="Arial" w:cs="Arial" w:hAnsi="Arial"/>
          <w:sz w:val="22"/>
        </w:rPr>
        <w:t>预警平台搭建框架：</w:t>
      </w:r>
    </w:p>
    <w:p>
      <w:pPr>
        <w:spacing w:before="120" w:after="120" w:line="288" w:lineRule="auto"/>
        <w:ind w:left="0"/>
        <w:jc w:val="left"/>
      </w:pPr>
      <w:r>
        <w:drawing>
          <wp:inline distT="0" distR="0" distB="0" distL="0">
            <wp:extent cx="5257800" cy="2200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2002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参考文献：《儿童风湿病学》第8版</w:t>
      </w:r>
    </w:p>
    <w:p>
      <w:pPr>
        <w:spacing w:before="120" w:after="120" w:line="288" w:lineRule="auto"/>
        <w:ind w:left="0" w:firstLine="0"/>
        <w:jc w:val="left"/>
      </w:pPr>
      <w:r>
        <w:rPr>
          <w:rFonts w:eastAsia="等线" w:ascii="Arial" w:cs="Arial" w:hAnsi="Arial"/>
          <w:sz w:val="22"/>
        </w:rPr>
        <w:t xml:space="preserve">          全身型幼年特发性关节炎及合并巨噬细胞活化综合征诊疗专家共识（2022版）</w:t>
      </w:r>
    </w:p>
    <w:p>
      <w:pPr>
        <w:spacing w:before="120" w:after="120" w:line="288" w:lineRule="auto"/>
        <w:ind w:left="0" w:firstLine="0"/>
        <w:jc w:val="left"/>
      </w:pPr>
      <w:r>
        <w:rPr>
          <w:rFonts w:eastAsia="等线" w:ascii="Arial" w:cs="Arial" w:hAnsi="Arial"/>
          <w:sz w:val="22"/>
        </w:rPr>
        <w:t xml:space="preserve">          全身型幼年特发性关节炎合并巨噬细胞活化综合征诊疗专家共识（2025版）</w:t>
      </w:r>
    </w:p>
    <w:p>
      <w:pPr>
        <w:spacing w:before="120" w:after="120" w:line="288" w:lineRule="auto"/>
        <w:ind w:left="0" w:firstLine="0"/>
        <w:jc w:val="left"/>
      </w:pPr>
      <w:r>
        <w:rPr>
          <w:rFonts w:eastAsia="等线" w:ascii="Arial" w:cs="Arial" w:hAnsi="Arial"/>
          <w:sz w:val="22"/>
        </w:rPr>
        <w:t xml:space="preserve">          全身型幼年特发性关节炎诊断与治疗中国专家共识（2023年版）</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55827">
    <w:lvl>
      <w:numFmt w:val="bullet"/>
      <w:suff w:val="tab"/>
      <w:lvlText w:val="￮"/>
      <w:rPr>
        <w:color w:val="3370ff"/>
      </w:rPr>
    </w:lvl>
  </w:abstractNum>
  <w:abstractNum w:abstractNumId="1055828">
    <w:lvl>
      <w:numFmt w:val="bullet"/>
      <w:suff w:val="tab"/>
      <w:lvlText w:val="￮"/>
      <w:rPr>
        <w:color w:val="3370ff"/>
      </w:rPr>
    </w:lvl>
  </w:abstractNum>
  <w:abstractNum w:abstractNumId="1055829">
    <w:lvl>
      <w:numFmt w:val="bullet"/>
      <w:suff w:val="tab"/>
      <w:lvlText w:val="￮"/>
      <w:rPr>
        <w:color w:val="3370ff"/>
      </w:rPr>
    </w:lvl>
  </w:abstractNum>
  <w:abstractNum w:abstractNumId="1055830">
    <w:lvl>
      <w:numFmt w:val="bullet"/>
      <w:suff w:val="tab"/>
      <w:lvlText w:val="￮"/>
      <w:rPr>
        <w:color w:val="3370ff"/>
      </w:rPr>
    </w:lvl>
  </w:abstractNum>
  <w:abstractNum w:abstractNumId="1055831">
    <w:lvl>
      <w:numFmt w:val="bullet"/>
      <w:suff w:val="tab"/>
      <w:lvlText w:val="￮"/>
      <w:rPr>
        <w:color w:val="3370ff"/>
      </w:rPr>
    </w:lvl>
  </w:abstractNum>
  <w:abstractNum w:abstractNumId="1055832">
    <w:lvl>
      <w:numFmt w:val="bullet"/>
      <w:suff w:val="tab"/>
      <w:lvlText w:val="￮"/>
      <w:rPr>
        <w:color w:val="3370ff"/>
      </w:rPr>
    </w:lvl>
  </w:abstractNum>
  <w:abstractNum w:abstractNumId="1055833">
    <w:lvl>
      <w:numFmt w:val="bullet"/>
      <w:suff w:val="tab"/>
      <w:lvlText w:val="￮"/>
      <w:rPr>
        <w:color w:val="3370ff"/>
      </w:rPr>
    </w:lvl>
  </w:abstractNum>
  <w:abstractNum w:abstractNumId="1055834">
    <w:lvl>
      <w:numFmt w:val="bullet"/>
      <w:suff w:val="tab"/>
      <w:lvlText w:val="￮"/>
      <w:rPr>
        <w:color w:val="3370ff"/>
      </w:rPr>
    </w:lvl>
  </w:abstractNum>
  <w:num w:numId="1">
    <w:abstractNumId w:val="1055827"/>
  </w:num>
  <w:num w:numId="2">
    <w:abstractNumId w:val="1055828"/>
  </w:num>
  <w:num w:numId="3">
    <w:abstractNumId w:val="1055829"/>
  </w:num>
  <w:num w:numId="4">
    <w:abstractNumId w:val="1055830"/>
  </w:num>
  <w:num w:numId="5">
    <w:abstractNumId w:val="1055831"/>
  </w:num>
  <w:num w:numId="6">
    <w:abstractNumId w:val="1055832"/>
  </w:num>
  <w:num w:numId="7">
    <w:abstractNumId w:val="1055833"/>
  </w:num>
  <w:num w:numId="8">
    <w:abstractNumId w:val="10558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png" Type="http://schemas.openxmlformats.org/officeDocument/2006/relationships/image"/><Relationship Id="rId8" Target="media/image4.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2026-09-24T01:25:34Z</dcterms:created>
  <dc:creator>Apache POI</dc:creator>
</cp:coreProperties>
</file>