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553DBC6B">
      <w:pPr>
        <w:spacing w:before="0" w:after="0" w:line="408"/>
        <w:jc w:val="center"/>
        <w:rPr>
          <w:color w:val="2e7d5b"/>
        </w:rPr>
      </w:pPr>
      <w:r>
        <w:rPr>
          <w:rFonts w:hint="eastAsia" w:ascii="黑体" w:hAnsi="黑体" w:eastAsia="黑体" w:cs="黑体"/>
          <w:color w:val="2e7d5b"/>
          <w:spacing w:val="40"/>
          <w:sz w:val="20"/>
        </w:rPr>
        <w:t>OHCP 一小时智能编程大赛 · 接口契约文档</w:t>
      </w:r>
    </w:p>
    <w:p w14:paraId="3193DA44">
      <w:pPr>
        <w:spacing w:before="920" w:after="200" w:line="324"/>
        <w:jc w:val="center"/>
        <w:rPr>
          <w:color w:val="1f5f4b"/>
        </w:rPr>
      </w:pPr>
      <w:r>
        <w:rPr>
          <w:rFonts w:hint="eastAsia" w:ascii="黑体" w:hAnsi="黑体" w:eastAsia="黑体" w:cs="黑体"/>
          <w:b w:val="1"/>
          <w:color w:val="1f5f4b"/>
          <w:sz w:val="48"/>
        </w:rPr>
        <w:t>农作物缺素症识别与</w:t>
      </w:r>
      <w:r>
        <w:br w:type="textWrapping"/>
      </w:r>
      <w:r>
        <w:rPr>
          <w:rFonts w:hint="eastAsia" w:ascii="黑体" w:hAnsi="黑体" w:eastAsia="黑体" w:cs="黑体"/>
          <w:b w:val="1"/>
          <w:color w:val="1f5f4b"/>
          <w:sz w:val="48"/>
        </w:rPr>
        <w:t>科学施肥建议智能体</w:t>
      </w:r>
    </w:p>
    <w:p w14:paraId="5F92F2B5">
      <w:pPr>
        <w:spacing w:after="680" w:line="408"/>
        <w:jc w:val="center"/>
        <w:rPr>
          <w:color w:val="2e7d5b"/>
        </w:rPr>
      </w:pPr>
      <w:r>
        <w:rPr>
          <w:rFonts w:hint="eastAsia" w:ascii="黑体" w:hAnsi="黑体" w:eastAsia="黑体" w:cs="黑体"/>
          <w:color w:val="2e7d5b"/>
          <w:spacing w:val="20"/>
          <w:sz w:val="30"/>
        </w:rPr>
        <w:t>前后端对接架构设计</w:t>
      </w:r>
    </w:p>
    <w:tbl>
      <w:tblPr>
        <w:tblW w:w="6236" w:type="dxa"/>
        <w:shd w:color="1a1a1a"/>
        <w:tblLayout w:type="autofit"/>
        <w:tblCellMar/>
      </w:tblPr>
      <w:tblGrid>
        <w:gridCol w:w="2120"/>
        <w:gridCol w:w="4116"/>
      </w:tblGrid>
      <w:tr>
        <w:trPr/>
        <w:tc>
          <w:tcPr>
            <w:tcW w:w="2120" w:type="dxa"/>
            <w:tcBorders>
              <w:top w:val="none" w:sz="8"/>
              <w:left w:val="none" w:sz="8"/>
              <w:bottom w:val="single" w:color="cfded6" w:sz="4"/>
              <w:right w:val="none" w:sz="8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525925C">
            <w:pPr>
              <w:jc w:val="left"/>
              <w:rPr>
                <w:color w:val="1f5f4b"/>
              </w:rPr>
            </w:pPr>
            <w:r>
              <w:rPr>
                <w:rFonts w:hint="eastAsia" w:ascii="黑体" w:hAnsi="黑体" w:eastAsia="黑体" w:cs="黑体"/>
                <w:color w:val="1f5f4b"/>
                <w:sz w:val="20"/>
              </w:rPr>
              <w:t>文档类型</w:t>
            </w:r>
          </w:p>
        </w:tc>
        <w:tc>
          <w:tcPr>
            <w:tcW w:w="4116" w:type="dxa"/>
            <w:tcBorders>
              <w:top w:val="none" w:sz="8"/>
              <w:left w:val="none" w:sz="8"/>
              <w:bottom w:val="single" w:color="cfded6" w:sz="4"/>
              <w:right w:val="none" w:sz="8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C249373">
            <w:pPr>
              <w:jc w:val="center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接口契约与对接架构说明书</w:t>
            </w:r>
          </w:p>
        </w:tc>
      </w:tr>
      <w:tr>
        <w:trPr/>
        <w:tc>
          <w:tcPr>
            <w:tcW w:w="2120" w:type="dxa"/>
            <w:tcBorders>
              <w:top w:val="none" w:sz="8"/>
              <w:left w:val="none" w:sz="8"/>
              <w:bottom w:val="single" w:color="cfded6" w:sz="4"/>
              <w:right w:val="none" w:sz="8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FBF8C04">
            <w:pPr>
              <w:jc w:val="left"/>
              <w:rPr>
                <w:color w:val="1f5f4b"/>
              </w:rPr>
            </w:pPr>
            <w:r>
              <w:rPr>
                <w:rFonts w:hint="eastAsia" w:ascii="黑体" w:hAnsi="黑体" w:eastAsia="黑体" w:cs="黑体"/>
                <w:color w:val="1f5f4b"/>
                <w:sz w:val="20"/>
              </w:rPr>
              <w:t>文档版本</w:t>
            </w:r>
          </w:p>
        </w:tc>
        <w:tc>
          <w:tcPr>
            <w:tcW w:w="4116" w:type="dxa"/>
            <w:tcBorders>
              <w:top w:val="none" w:sz="8"/>
              <w:left w:val="none" w:sz="8"/>
              <w:bottom w:val="single" w:color="cfded6" w:sz="4"/>
              <w:right w:val="none" w:sz="8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44EF9905">
            <w:pPr>
              <w:jc w:val="center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V1.0</w:t>
            </w:r>
          </w:p>
        </w:tc>
      </w:tr>
      <w:tr>
        <w:trPr/>
        <w:tc>
          <w:tcPr>
            <w:tcW w:w="2120" w:type="dxa"/>
            <w:tcBorders>
              <w:top w:val="none" w:sz="8"/>
              <w:left w:val="none" w:sz="8"/>
              <w:bottom w:val="single" w:color="cfded6" w:sz="4"/>
              <w:right w:val="none" w:sz="8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864A9B0">
            <w:pPr>
              <w:jc w:val="left"/>
              <w:rPr>
                <w:color w:val="1f5f4b"/>
              </w:rPr>
            </w:pPr>
            <w:r>
              <w:rPr>
                <w:rFonts w:hint="eastAsia" w:ascii="黑体" w:hAnsi="黑体" w:eastAsia="黑体" w:cs="黑体"/>
                <w:color w:val="1f5f4b"/>
                <w:sz w:val="20"/>
              </w:rPr>
              <w:t>编写日期</w:t>
            </w:r>
          </w:p>
        </w:tc>
        <w:tc>
          <w:tcPr>
            <w:tcW w:w="4116" w:type="dxa"/>
            <w:tcBorders>
              <w:top w:val="none" w:sz="8"/>
              <w:left w:val="none" w:sz="8"/>
              <w:bottom w:val="single" w:color="cfded6" w:sz="4"/>
              <w:right w:val="none" w:sz="8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380078B5">
            <w:pPr>
              <w:jc w:val="center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2026 年 10 月 21 日</w:t>
            </w:r>
          </w:p>
        </w:tc>
      </w:tr>
      <w:tr>
        <w:trPr/>
        <w:tc>
          <w:tcPr>
            <w:tcW w:w="2120" w:type="dxa"/>
            <w:tcBorders>
              <w:top w:val="none" w:sz="8"/>
              <w:left w:val="none" w:sz="8"/>
              <w:bottom w:val="single" w:color="cfded6" w:sz="4"/>
              <w:right w:val="none" w:sz="8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0B801F36">
            <w:pPr>
              <w:jc w:val="left"/>
              <w:rPr>
                <w:color w:val="1f5f4b"/>
              </w:rPr>
            </w:pPr>
            <w:r>
              <w:rPr>
                <w:rFonts w:hint="eastAsia" w:ascii="黑体" w:hAnsi="黑体" w:eastAsia="黑体" w:cs="黑体"/>
                <w:color w:val="1f5f4b"/>
                <w:sz w:val="20"/>
              </w:rPr>
              <w:t>通信方式</w:t>
            </w:r>
          </w:p>
        </w:tc>
        <w:tc>
          <w:tcPr>
            <w:tcW w:w="4116" w:type="dxa"/>
            <w:tcBorders>
              <w:top w:val="none" w:sz="8"/>
              <w:left w:val="none" w:sz="8"/>
              <w:bottom w:val="single" w:color="cfded6" w:sz="4"/>
              <w:right w:val="none" w:sz="8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515B67DF">
            <w:pPr>
              <w:jc w:val="center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REST 加 SSE 流式</w:t>
            </w:r>
          </w:p>
        </w:tc>
      </w:tr>
      <w:tr>
        <w:trPr/>
        <w:tc>
          <w:tcPr>
            <w:tcW w:w="2120" w:type="dxa"/>
            <w:tcBorders>
              <w:top w:val="none" w:sz="8"/>
              <w:left w:val="none" w:sz="8"/>
              <w:bottom w:val="single" w:color="cfded6" w:sz="4"/>
              <w:right w:val="none" w:sz="8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24D92E6B">
            <w:pPr>
              <w:jc w:val="left"/>
              <w:rPr>
                <w:color w:val="1f5f4b"/>
              </w:rPr>
            </w:pPr>
            <w:r>
              <w:rPr>
                <w:rFonts w:hint="eastAsia" w:ascii="黑体" w:hAnsi="黑体" w:eastAsia="黑体" w:cs="黑体"/>
                <w:color w:val="1f5f4b"/>
                <w:sz w:val="20"/>
              </w:rPr>
              <w:t>契约版本</w:t>
            </w:r>
          </w:p>
        </w:tc>
        <w:tc>
          <w:tcPr>
            <w:tcW w:w="4116" w:type="dxa"/>
            <w:tcBorders>
              <w:top w:val="none" w:sz="8"/>
              <w:left w:val="none" w:sz="8"/>
              <w:bottom w:val="single" w:color="cfded6" w:sz="4"/>
              <w:right w:val="none" w:sz="8"/>
            </w:tcBorders>
            <w:tcMar>
              <w:top w:w="100" w:type="dxa"/>
              <w:left w:w="80" w:type="dxa"/>
              <w:bottom w:w="100" w:type="dxa"/>
              <w:right w:w="80" w:type="dxa"/>
            </w:tcMar>
            <w:vAlign w:val="top"/>
          </w:tcPr>
          <w:p w14:paraId="1615CEE4">
            <w:pPr>
              <w:jc w:val="center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api/v1</w:t>
            </w:r>
          </w:p>
        </w:tc>
      </w:tr>
    </w:tbl>
    <w:p w14:paraId="220013DD">
      <w:pPr>
        <w:spacing w:before="840" w:after="132" w:line="408"/>
        <w:jc w:val="center"/>
        <w:rPr>
          <w:color w:val="5a6b62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a6b62"/>
          <w:sz w:val="19"/>
        </w:rPr>
        <w:t>契约先行 · 降级不报错 · 前端不做业务判断</w:t>
      </w:r>
      <w:r>
        <w:br w:type="textWrapping"/>
      </w:r>
      <w:r>
        <w:rPr>
          <w:rFonts w:hint="eastAsia" w:ascii="SimSun" w:hAnsi="SimSun" w:eastAsia="SimSun" w:cs="SimSun"/>
          <w:color w:val="5a6b62"/>
          <w:sz w:val="19"/>
        </w:rPr>
        <w:t>本文件是前后端双方开工前的唯一对齐依据</w:t>
      </w:r>
    </w:p>
    <w:p w14:paraId="1B2C83DF">
      <w:pPr>
        <w:spacing w:before="240" w:after="120"/>
      </w:pPr>
      <w:r>
        <w:rPr>
          <w:rFonts w:hint="eastAsia"/>
          <w:b w:val="1"/>
        </w:rPr>
        <w:t>目 录</w:t>
      </w:r>
    </w:p>
    <w:p w14:paraId="7ED90E4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一、文档说明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A4F26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二、对接总体结构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24D68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三、契约规范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8E4C8E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四、接口清单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300EEC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五、核心接口详细定义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DE4C2DA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六、前后端状态映射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4807C8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七、异常、超时与重试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65B8B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八、联调与 Mock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73B8D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九、安全与边界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B79B8F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十、附录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4581CCCE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9004443">
      <w:pPr>
        <w:pStyle w:val="000004"/>
        <w:keepNext w:val="1"/>
        <w:keepLines w:val="1"/>
        <w:pBdr>
          <w:bottom w:val="single" w:color="1f5f4b" w:sz="12" w:space="4"/>
        </w:pBdr>
        <w:spacing w:before="440" w:beforeAutospacing="1" w:after="200" w:afterAutospacing="1" w:line="312"/>
        <w:outlineLvl w:val="0"/>
        <w:rPr>
          <w:color w:val="1f5f4b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1f5f4b"/>
          <w:spacing w:val="10"/>
          <w:sz w:val="34"/>
        </w:rPr>
        <w:t>一、文档说明</w:t>
      </w:r>
      <w:bookmarkEnd w:id="1"/>
    </w:p>
    <w:p w14:paraId="29320DF7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1.1 编写目的</w:t>
      </w:r>
    </w:p>
    <w:p w14:paraId="1C7B5BE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本文档只解决一件事：前端页面与后端服务之间怎么对上。包括通信协议怎么选、接口怎么切、字段怎么定、异常怎么传、降级怎么表现、联调怎么并行。系统内部的分层架构、检索算法、知识库构造不在本文档展开。</w:t>
      </w:r>
    </w:p>
    <w:p w14:paraId="2C652370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1.2 适用范围</w:t>
      </w:r>
    </w:p>
    <w:p w14:paraId="73AB272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适用于参赛队伍中同时负责前端与后端的两名（或两名以上）同学在开工前对齐契约，也适用于现场联调时快速定位“是前端渲染错了还是后端字段变了”。</w:t>
      </w:r>
    </w:p>
    <w:p w14:paraId="5948D16D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1.3 对接设计三原则</w:t>
      </w:r>
    </w:p>
    <w:p w14:paraId="36DD2ACA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第一，契约先行。接口字段在写代码之前先定死，双方各自按契约开发，用样例报文做 Mock，最后一天只做一次真实联调。</w:t>
      </w:r>
    </w:p>
    <w:p w14:paraId="59F559C9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第二，降级不报错。后端任何内部降级（模型超时、向量不可用）都不返回 HTTP 错误，而是在正常响应里带降级标记，前端据此显示角标。演示时页面永远有结果，只是换个质量档位。</w:t>
      </w:r>
    </w:p>
    <w:p w14:paraId="1CC97F4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第三，前端不做业务判断。前端不计算置信度、不拼接施肥文案、不判断元素归属，只负责渲染后端给的结论与证据。所有需要“长脑子”的逻辑都在后端，避免前后端双份实现导致口径不一致。</w:t>
      </w:r>
    </w:p>
    <w:p w14:paraId="2CFB07FB">
      <w:pPr>
        <w:pStyle w:val="000004"/>
        <w:keepNext w:val="1"/>
        <w:keepLines w:val="1"/>
        <w:pBdr>
          <w:bottom w:val="single" w:color="1f5f4b" w:sz="12" w:space="4"/>
        </w:pBdr>
        <w:spacing w:before="440" w:beforeAutospacing="1" w:after="200" w:afterAutospacing="1" w:line="312"/>
        <w:outlineLvl w:val="0"/>
        <w:rPr>
          <w:color w:val="1f5f4b"/>
          <w:kern w:val="44"/>
          <w:sz w:val="44"/>
          <w:szCs w:val="44"/>
        </w:rPr>
      </w:pPr>
      <w:bookmarkStart w:id="2" w:name="section-2"/>
      <w:r>
        <w:rPr>
          <w:rFonts w:hint="eastAsia" w:ascii="黑体" w:hAnsi="黑体" w:eastAsia="黑体" w:cs="黑体"/>
          <w:b w:val="1"/>
          <w:color w:val="1f5f4b"/>
          <w:spacing w:val="10"/>
          <w:sz w:val="34"/>
        </w:rPr>
        <w:t>二、对接总体结构</w:t>
      </w:r>
      <w:bookmarkEnd w:id="2"/>
    </w:p>
    <w:p w14:paraId="3CF3D077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2.1 通信拓扑</w:t>
      </w:r>
    </w:p>
    <w:p w14:paraId="0C5F1E1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浏览器单页应用通过 HTTP 调用后端 REST 接口，唯一的长连接是对话接口的 SSE 流。开发期前端 5173 端口、后端 8080 端口，通过 Vite 代理同源；交付期前端构建产物拷进后端静态目录，单端口 8080，无跨域。</w:t>
      </w:r>
    </w:p>
    <w:p w14:paraId="68FEF8C6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2.2 为什么是 REST 加 SSE</w:t>
      </w:r>
    </w:p>
    <w:p w14:paraId="14F9A09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识别是一问一答的短请求，REST 足够；多轮对话需要“边想边出字”的观感，用 SSE 而非 WebSocket，因为 SSE 是单向文本流、浏览器原生支持、断线自动重连、后端实现只要一个 Emitter，成本最低。演示场景不需要双向实时，WebSocket 属于过度设计。</w:t>
      </w:r>
    </w:p>
    <w:p w14:paraId="24F95829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2.3 对接分层</w:t>
      </w:r>
    </w:p>
    <w:p w14:paraId="097F1051">
      <w:pPr>
        <w:jc w:val="center"/>
      </w:pPr>
      <w:r>
        <w:rPr>
          <w:rFonts w:hint="eastAsia"/>
          <w:color w:val="888888"/>
          <w:sz w:val="18"/>
        </w:rPr>
        <w:t>表 2-1 前后端对接分层职责</w:t>
      </w:r>
    </w:p>
    <w:tbl>
      <w:tblPr>
        <w:tblW w:w="8306" w:type="dxa"/>
        <w:shd w:color="1a1a1a"/>
        <w:tblLayout w:type="autofit"/>
        <w:tblCellMar/>
      </w:tblPr>
      <w:tblGrid>
        <w:gridCol w:w="1162"/>
        <w:gridCol w:w="1827"/>
        <w:gridCol w:w="5317"/>
      </w:tblGrid>
      <w:tr>
        <w:trPr>
          <w:tblHeader w:val="1"/>
        </w:trPr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D662D7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侧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E730C4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层次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5008342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职责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FD585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前端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AC33F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页面组件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3BDC9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只负责展示与交互，不参与数据加工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5A5A1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前端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64118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接口层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77A05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封装请求函数与 TypeScript 类型，一个接口一个文件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4FB7C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前端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A43FB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传输层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93C1B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统一拦截器、超时、错误码到提示文案的映射、traceId 注入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83880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后端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1D523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Controller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B75C6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只做参数绑定与响应包装，禁止写业务分支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AF22D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后端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7EB04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DTO 与转换器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32C4E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承载对外契约，与领域模型互转，领域模型不外泄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D037E3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后端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CBCF0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业务编排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6E48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返回领域结果，不感知 HTTP 与 JSON</w:t>
            </w:r>
          </w:p>
        </w:tc>
      </w:tr>
    </w:tbl>
    <w:p w14:paraId="3383FB3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契约只存在于 DTO 这一层，这是本设计的硬边界。领域模型一旦直接序列化给前端，后续任何内部重构都会变成接口变更。</w:t>
      </w:r>
    </w:p>
    <w:p w14:paraId="0E00AA86">
      <w:pPr>
        <w:pStyle w:val="000004"/>
        <w:keepNext w:val="1"/>
        <w:keepLines w:val="1"/>
        <w:pBdr>
          <w:bottom w:val="single" w:color="1f5f4b" w:sz="12" w:space="4"/>
        </w:pBdr>
        <w:spacing w:before="440" w:beforeAutospacing="1" w:after="200" w:afterAutospacing="1" w:line="312"/>
        <w:outlineLvl w:val="0"/>
        <w:rPr>
          <w:color w:val="1f5f4b"/>
          <w:kern w:val="44"/>
          <w:sz w:val="44"/>
          <w:szCs w:val="44"/>
        </w:rPr>
      </w:pPr>
      <w:bookmarkStart w:id="3" w:name="section-3"/>
      <w:r>
        <w:rPr>
          <w:rFonts w:hint="eastAsia" w:ascii="黑体" w:hAnsi="黑体" w:eastAsia="黑体" w:cs="黑体"/>
          <w:b w:val="1"/>
          <w:color w:val="1f5f4b"/>
          <w:spacing w:val="10"/>
          <w:sz w:val="34"/>
        </w:rPr>
        <w:t>三、契约规范</w:t>
      </w:r>
      <w:bookmarkEnd w:id="3"/>
    </w:p>
    <w:p w14:paraId="1E327D30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3.1 基本约定</w:t>
      </w:r>
    </w:p>
    <w:p w14:paraId="63B645A0">
      <w:pPr>
        <w:jc w:val="center"/>
      </w:pPr>
      <w:r>
        <w:rPr>
          <w:rFonts w:hint="eastAsia"/>
          <w:color w:val="888888"/>
          <w:sz w:val="18"/>
        </w:rPr>
        <w:t>表 3-1 全局约定</w:t>
      </w:r>
    </w:p>
    <w:tbl>
      <w:tblPr>
        <w:tblW w:w="8306" w:type="dxa"/>
        <w:shd w:color="1a1a1a"/>
        <w:tblLayout w:type="autofit"/>
        <w:tblCellMar/>
      </w:tblPr>
      <w:tblGrid>
        <w:gridCol w:w="1495"/>
        <w:gridCol w:w="6811"/>
      </w:tblGrid>
      <w:tr>
        <w:trPr>
          <w:tblHeader w:val="1"/>
        </w:trPr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1ECE6D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项</w:t>
            </w:r>
          </w:p>
        </w:tc>
        <w:tc>
          <w:tcPr>
            <w:tcW w:w="681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3ECC2B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约定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B7C4B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基础路径</w:t>
            </w:r>
          </w:p>
        </w:tc>
        <w:tc>
          <w:tcPr>
            <w:tcW w:w="681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4897C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/api/v1，版本号进路径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C9FF5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数据格式</w:t>
            </w:r>
          </w:p>
        </w:tc>
        <w:tc>
          <w:tcPr>
            <w:tcW w:w="681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65D0A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JSON，UTF-8，Content-Type 为 application/json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FD302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字段命名</w:t>
            </w:r>
          </w:p>
        </w:tc>
        <w:tc>
          <w:tcPr>
            <w:tcW w:w="681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A4135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一律小驼峰，禁止下划线混用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2C12C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时间格式</w:t>
            </w:r>
          </w:p>
        </w:tc>
        <w:tc>
          <w:tcPr>
            <w:tcW w:w="681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E43F8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ISO-8601 字符串，如 2026-10-21T08:30:00+08:00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6C17F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重量单位</w:t>
            </w:r>
          </w:p>
        </w:tc>
        <w:tc>
          <w:tcPr>
            <w:tcW w:w="681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DE35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统一 kg/亩，后端在字段注释与文案中写全，前端不做换算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56DD3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面积单位</w:t>
            </w:r>
          </w:p>
        </w:tc>
        <w:tc>
          <w:tcPr>
            <w:tcW w:w="681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EDDAE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统一亩，不出现公顷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C9832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空值</w:t>
            </w:r>
          </w:p>
        </w:tc>
        <w:tc>
          <w:tcPr>
            <w:tcW w:w="681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A5CD6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统一返回 null 表示“无”；数组无内容返回空数组，不返回 null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2D45D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布尔字段</w:t>
            </w:r>
          </w:p>
        </w:tc>
        <w:tc>
          <w:tcPr>
            <w:tcW w:w="681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EEC75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以 is 或 has 开头，如 isDegraded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653FE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未知字段</w:t>
            </w:r>
          </w:p>
        </w:tc>
        <w:tc>
          <w:tcPr>
            <w:tcW w:w="681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80B1F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前端必须忽略响应中未定义的字段，后端新增字段不视为破坏性变更</w:t>
            </w:r>
          </w:p>
        </w:tc>
      </w:tr>
    </w:tbl>
    <w:p w14:paraId="0A49EABF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3.2 统一响应体</w:t>
      </w:r>
    </w:p>
    <w:p w14:paraId="1C2F7CCC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所有接口（含流式接口的首帧）都使用同一外层结构。code 为 0 表示成功，非 0 见错误码表；data 为业务数据；traceId 用于日志串联；costMs 为后端耗时，前端可直接展示在调试角标上。</w:t>
      </w:r>
    </w:p>
    <w:p w14:paraId="453ECDB7">
      <w:pPr>
        <w:jc w:val="center"/>
      </w:pPr>
      <w:r>
        <w:rPr>
          <w:rFonts w:hint="eastAsia"/>
          <w:color w:val="888888"/>
          <w:sz w:val="18"/>
        </w:rPr>
        <w:t>表 3-2 统一响应体字段</w:t>
      </w:r>
    </w:p>
    <w:tbl>
      <w:tblPr>
        <w:tblW w:w="8306" w:type="dxa"/>
        <w:shd w:color="1a1a1a"/>
        <w:tblLayout w:type="autofit"/>
        <w:tblCellMar/>
      </w:tblPr>
      <w:tblGrid>
        <w:gridCol w:w="1162"/>
        <w:gridCol w:w="996"/>
        <w:gridCol w:w="830"/>
        <w:gridCol w:w="5318"/>
      </w:tblGrid>
      <w:tr>
        <w:trPr>
          <w:tblHeader w:val="1"/>
        </w:trPr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C00CDF8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字段</w:t>
            </w:r>
          </w:p>
        </w:tc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7C69A2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类型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59EA7C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必有</w:t>
            </w:r>
          </w:p>
        </w:tc>
        <w:tc>
          <w:tcPr>
            <w:tcW w:w="531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BD0CBE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说明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350B0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code</w:t>
            </w:r>
          </w:p>
        </w:tc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DB528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int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4A230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</w:t>
            </w:r>
          </w:p>
        </w:tc>
        <w:tc>
          <w:tcPr>
            <w:tcW w:w="531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930B6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0 成功，非 0 失败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499AE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message</w:t>
            </w:r>
          </w:p>
        </w:tc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969A7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FD18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</w:t>
            </w:r>
          </w:p>
        </w:tc>
        <w:tc>
          <w:tcPr>
            <w:tcW w:w="531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2756D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面向开发者的简述，不直接展示给用户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AEACA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data</w:t>
            </w:r>
          </w:p>
        </w:tc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6DEFA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object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0147F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531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93860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业务数据，失败时为 null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B3356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traceId</w:t>
            </w:r>
          </w:p>
        </w:tc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4A79E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318DA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</w:t>
            </w:r>
          </w:p>
        </w:tc>
        <w:tc>
          <w:tcPr>
            <w:tcW w:w="531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6F7BF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全链路追踪标识，前端在错误提示中展示后 8 位便于排查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75136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costMs</w:t>
            </w:r>
          </w:p>
        </w:tc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5DAAA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int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4A14F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531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E4390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服务端耗时，单位毫秒</w:t>
            </w:r>
          </w:p>
        </w:tc>
      </w:tr>
    </w:tbl>
    <w:p w14:paraId="3ECA10D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响应体示例（单段结构，便于双方对照）：</w:t>
      </w:r>
    </w:p>
    <w:p w14:paraId="37937A3B">
      <w:pPr>
        <w:spacing w:after="132" w:line="408"/>
        <w:ind w:firstLine="480"/>
        <w:jc w:val="both"/>
        <w:rPr>
          <w:color w:val="1a1a1a"/>
        </w:rPr>
      </w:pPr>
      <w:r>
        <w:rPr>
          <w:rFonts w:ascii="SimSun" w:hAnsi="SimSun" w:eastAsia="SimSun" w:cs="SimSun"/>
          <w:color w:val="1a1a1a"/>
          <w:sz w:val="24"/>
        </w:rPr>
        <w:t>{ "code": 0, "message": "ok", "traceId": "b3f1c2d4f7a9e0c1", "costMs": 842,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fded6" w:sz="4"/>
              <w:bottom w:val="none" w:sz="8"/>
              <w:right w:val="single" w:color="cfded6" w:sz="4"/>
            </w:tcBorders>
            <w:shd w:val="clear" w:fill="f7faf8"/>
            <w:vAlign w:val="center"/>
          </w:tcPr>
          <w:p w14:paraId="5894DA01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 "data": { "requestId": "d-20261021-0001", "decision": "CONFIRMED",    "candidates": [ { "element": "N", "elementName": "氮", "confidence": 0.86 } ] } }</w:t>
            </w:r>
          </w:p>
        </w:tc>
      </w:tr>
    </w:tbl>
    <w:p w14:paraId="4FFBF032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3.3 错误码表</w:t>
      </w:r>
    </w:p>
    <w:p w14:paraId="7E11774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错误码分五段，前端按段做统一提示，特殊码做个别处理。</w:t>
      </w:r>
    </w:p>
    <w:p w14:paraId="392F8F56">
      <w:pPr>
        <w:jc w:val="center"/>
      </w:pPr>
      <w:r>
        <w:rPr>
          <w:rFonts w:hint="eastAsia"/>
          <w:color w:val="888888"/>
          <w:sz w:val="18"/>
        </w:rPr>
        <w:t>表 3-3 错误码与前端处理</w:t>
      </w:r>
    </w:p>
    <w:tbl>
      <w:tblPr>
        <w:tblW w:w="8306" w:type="dxa"/>
        <w:shd w:color="1a1a1a"/>
        <w:tblLayout w:type="autofit"/>
        <w:tblCellMar/>
      </w:tblPr>
      <w:tblGrid>
        <w:gridCol w:w="996"/>
        <w:gridCol w:w="2491"/>
        <w:gridCol w:w="1162"/>
        <w:gridCol w:w="3657"/>
      </w:tblGrid>
      <w:tr>
        <w:trPr>
          <w:tblHeader w:val="1"/>
        </w:trPr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484759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错误码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1736E0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含义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011E6F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HTTP 状态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44A098A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前端处理</w:t>
            </w:r>
          </w:p>
        </w:tc>
      </w:tr>
      <w:tr>
        <w:trPr/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2A8D8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0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00ED8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成功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33551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200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63F2F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正常渲染</w:t>
            </w:r>
          </w:p>
        </w:tc>
      </w:tr>
      <w:tr>
        <w:trPr/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24529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1001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4843F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参数缺失或格式错误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561B5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400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7F50D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定位到对应表单项并高亮</w:t>
            </w:r>
          </w:p>
        </w:tc>
      </w:tr>
      <w:tr>
        <w:trPr/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F7F16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1002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6F51E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枚举值非法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26852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400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49C4F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重置为默认选项并提示</w:t>
            </w:r>
          </w:p>
        </w:tc>
      </w:tr>
      <w:tr>
        <w:trPr/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C8DE8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1003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334F6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症状描述过长（超过 500 字）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DA862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400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31BC5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输入框下方提示字数超限</w:t>
            </w:r>
          </w:p>
        </w:tc>
      </w:tr>
      <w:tr>
        <w:trPr/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BEE5C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2001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FF80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知识库未就绪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ED7DA2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503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DD838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显示“知识库加载中”，3 秒后自动重试一次</w:t>
            </w:r>
          </w:p>
        </w:tc>
      </w:tr>
      <w:tr>
        <w:trPr/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AA830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2002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933AA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检索无有效证据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BB847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200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BF344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走 decision 为 NO_MATCH 的空态，不算错误</w:t>
            </w:r>
          </w:p>
        </w:tc>
      </w:tr>
      <w:tr>
        <w:trPr/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071FD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3001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94FF1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模型不可用（已降级）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0FE889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200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58559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不报错，显示降级角标</w:t>
            </w:r>
          </w:p>
        </w:tc>
      </w:tr>
      <w:tr>
        <w:trPr/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C83DF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3002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1342A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模型超时（已降级）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F2ABCF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200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49DB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不报错，显示降级角标</w:t>
            </w:r>
          </w:p>
        </w:tc>
      </w:tr>
      <w:tr>
        <w:trPr/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C87BC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4001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870B7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触发限流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BF44D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429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0105A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提示“操作过于频繁，请稍候”</w:t>
            </w:r>
          </w:p>
        </w:tc>
      </w:tr>
      <w:tr>
        <w:trPr/>
        <w:tc>
          <w:tcPr>
            <w:tcW w:w="996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D810D3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5000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C8690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系统内部错误</w:t>
            </w:r>
          </w:p>
        </w:tc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DAE6F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500</w:t>
            </w:r>
          </w:p>
        </w:tc>
        <w:tc>
          <w:tcPr>
            <w:tcW w:w="3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92D77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通用错误卡片加重试按钮，展示 traceId</w:t>
            </w:r>
          </w:p>
        </w:tc>
      </w:tr>
    </w:tbl>
    <w:p w14:paraId="488100C8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f5f4b" w:sz="24"/>
              <w:bottom w:val="none" w:sz="8"/>
              <w:right w:val="none" w:sz="8"/>
            </w:tcBorders>
            <w:shd w:val="clear" w:fill="f4f8f5"/>
            <w:vAlign w:val="center"/>
          </w:tcPr>
          <w:p w14:paraId="4ABE2C5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必须双方都记住的约定：3001 与 3002 不产生错误响应。后端降级后照常返回 200 与完整结果，只是在 data.degraded 中说明。前端看到的是“结果稍简”，不是“请求失败”。</w:t>
            </w:r>
          </w:p>
        </w:tc>
      </w:tr>
    </w:tbl>
    <w:p w14:paraId="78EF40A5">
      <w:pPr>
        <w:pStyle w:val="000004"/>
        <w:keepNext w:val="1"/>
        <w:keepLines w:val="1"/>
        <w:pBdr>
          <w:bottom w:val="single" w:color="1f5f4b" w:sz="12" w:space="4"/>
        </w:pBdr>
        <w:spacing w:before="440" w:beforeAutospacing="1" w:after="200" w:afterAutospacing="1" w:line="312"/>
        <w:outlineLvl w:val="0"/>
        <w:rPr>
          <w:color w:val="1f5f4b"/>
          <w:kern w:val="44"/>
          <w:sz w:val="44"/>
          <w:szCs w:val="44"/>
        </w:rPr>
      </w:pPr>
      <w:bookmarkStart w:id="4" w:name="section-4"/>
      <w:r>
        <w:rPr>
          <w:rFonts w:hint="eastAsia" w:ascii="黑体" w:hAnsi="黑体" w:eastAsia="黑体" w:cs="黑体"/>
          <w:b w:val="1"/>
          <w:color w:val="1f5f4b"/>
          <w:spacing w:val="10"/>
          <w:sz w:val="34"/>
        </w:rPr>
        <w:t>四、接口清单</w:t>
      </w:r>
      <w:bookmarkEnd w:id="4"/>
    </w:p>
    <w:p w14:paraId="355657EC">
      <w:pPr>
        <w:jc w:val="center"/>
      </w:pPr>
      <w:r>
        <w:rPr>
          <w:rFonts w:hint="eastAsia"/>
          <w:color w:val="888888"/>
          <w:sz w:val="18"/>
        </w:rPr>
        <w:t>表 4-1 接口清单</w:t>
      </w:r>
    </w:p>
    <w:tbl>
      <w:tblPr>
        <w:tblW w:w="8306" w:type="dxa"/>
        <w:shd w:color="1a1a1a"/>
        <w:tblLayout w:type="autofit"/>
        <w:tblCellMar/>
      </w:tblPr>
      <w:tblGrid>
        <w:gridCol w:w="747"/>
        <w:gridCol w:w="2159"/>
        <w:gridCol w:w="1993"/>
        <w:gridCol w:w="3407"/>
      </w:tblGrid>
      <w:tr>
        <w:trPr>
          <w:tblHeader w:val="1"/>
        </w:trPr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A6E40E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方法</w:t>
            </w:r>
          </w:p>
        </w:tc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811608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路径</w:t>
            </w:r>
          </w:p>
        </w:tc>
        <w:tc>
          <w:tcPr>
            <w:tcW w:w="1993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E5B802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用途</w:t>
            </w:r>
          </w:p>
        </w:tc>
        <w:tc>
          <w:tcPr>
            <w:tcW w:w="340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A5A508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调用时机</w:t>
            </w:r>
          </w:p>
        </w:tc>
      </w:tr>
      <w:tr>
        <w:trPr/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82AFE7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POST</w:t>
            </w:r>
          </w:p>
        </w:tc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030D7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/api/v1/diagnose</w:t>
            </w:r>
          </w:p>
        </w:tc>
        <w:tc>
          <w:tcPr>
            <w:tcW w:w="1993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3144C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症状识别主接口</w:t>
            </w:r>
          </w:p>
        </w:tc>
        <w:tc>
          <w:tcPr>
            <w:tcW w:w="340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8113D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用户点击“开始诊断”</w:t>
            </w:r>
          </w:p>
        </w:tc>
      </w:tr>
      <w:tr>
        <w:trPr/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07333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POST</w:t>
            </w:r>
          </w:p>
        </w:tc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96C93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/api/v1/advice</w:t>
            </w:r>
          </w:p>
        </w:tc>
        <w:tc>
          <w:tcPr>
            <w:tcW w:w="1993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39FDF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按元素获取完整施肥方案</w:t>
            </w:r>
          </w:p>
        </w:tc>
        <w:tc>
          <w:tcPr>
            <w:tcW w:w="340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BA7CE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用户切换候选项或切换输出模板</w:t>
            </w:r>
          </w:p>
        </w:tc>
      </w:tr>
      <w:tr>
        <w:trPr/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2BA75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POST</w:t>
            </w:r>
          </w:p>
        </w:tc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5A663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/api/v1/chat</w:t>
            </w:r>
          </w:p>
        </w:tc>
        <w:tc>
          <w:tcPr>
            <w:tcW w:w="1993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314CF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多轮对话，SSE 流式</w:t>
            </w:r>
          </w:p>
        </w:tc>
        <w:tc>
          <w:tcPr>
            <w:tcW w:w="340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872E2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用户在追问框继续提问</w:t>
            </w:r>
          </w:p>
        </w:tc>
      </w:tr>
      <w:tr>
        <w:trPr/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D65D1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GET</w:t>
            </w:r>
          </w:p>
        </w:tc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02EB9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/api/v1/knowledge/{element}</w:t>
            </w:r>
          </w:p>
        </w:tc>
        <w:tc>
          <w:tcPr>
            <w:tcW w:w="1993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E39B6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查询单元素知识条目</w:t>
            </w:r>
          </w:p>
        </w:tc>
        <w:tc>
          <w:tcPr>
            <w:tcW w:w="340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4A414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用户点击科普卡片“了解更多”</w:t>
            </w:r>
          </w:p>
        </w:tc>
      </w:tr>
      <w:tr>
        <w:trPr/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3DA5D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GET</w:t>
            </w:r>
          </w:p>
        </w:tc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E7EEE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/api/v1/stats/hot</w:t>
            </w:r>
          </w:p>
        </w:tc>
        <w:tc>
          <w:tcPr>
            <w:tcW w:w="1993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248F7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高频查询统计</w:t>
            </w:r>
          </w:p>
        </w:tc>
        <w:tc>
          <w:tcPr>
            <w:tcW w:w="340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AC978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看板页加载</w:t>
            </w:r>
          </w:p>
        </w:tc>
      </w:tr>
      <w:tr>
        <w:trPr/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7DD78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GET</w:t>
            </w:r>
          </w:p>
        </w:tc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FC98A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/api/v1/health</w:t>
            </w:r>
          </w:p>
        </w:tc>
        <w:tc>
          <w:tcPr>
            <w:tcW w:w="1993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0321D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服务与依赖自检</w:t>
            </w:r>
          </w:p>
        </w:tc>
        <w:tc>
          <w:tcPr>
            <w:tcW w:w="340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CA4A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页面加载时、演示前自检</w:t>
            </w:r>
          </w:p>
        </w:tc>
      </w:tr>
      <w:tr>
        <w:trPr/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5DDAF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POST</w:t>
            </w:r>
          </w:p>
        </w:tc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EF729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/api/v1/knowledge/reload</w:t>
            </w:r>
          </w:p>
        </w:tc>
        <w:tc>
          <w:tcPr>
            <w:tcW w:w="1993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01648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手动触发知识重载</w:t>
            </w:r>
          </w:p>
        </w:tc>
        <w:tc>
          <w:tcPr>
            <w:tcW w:w="340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9C91E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数据同学现场补数据后</w:t>
            </w:r>
          </w:p>
        </w:tc>
      </w:tr>
    </w:tbl>
    <w:p w14:paraId="35F390AD">
      <w:pPr>
        <w:pStyle w:val="000004"/>
        <w:keepNext w:val="1"/>
        <w:keepLines w:val="1"/>
        <w:pBdr>
          <w:bottom w:val="single" w:color="1f5f4b" w:sz="12" w:space="4"/>
        </w:pBdr>
        <w:spacing w:before="440" w:beforeAutospacing="1" w:after="200" w:afterAutospacing="1" w:line="312"/>
        <w:outlineLvl w:val="0"/>
        <w:rPr>
          <w:color w:val="1f5f4b"/>
          <w:kern w:val="44"/>
          <w:sz w:val="44"/>
          <w:szCs w:val="44"/>
        </w:rPr>
      </w:pPr>
      <w:bookmarkStart w:id="5" w:name="section-5"/>
      <w:r>
        <w:rPr>
          <w:rFonts w:hint="eastAsia" w:ascii="黑体" w:hAnsi="黑体" w:eastAsia="黑体" w:cs="黑体"/>
          <w:b w:val="1"/>
          <w:color w:val="1f5f4b"/>
          <w:spacing w:val="10"/>
          <w:sz w:val="34"/>
        </w:rPr>
        <w:t>五、核心接口详细定义</w:t>
      </w:r>
      <w:bookmarkEnd w:id="5"/>
    </w:p>
    <w:p w14:paraId="0012EE44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5.1 症状识别接口</w:t>
      </w:r>
    </w:p>
    <w:p w14:paraId="78CAB366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请求字段如下表。crop 与 symptomText 必填，其余可选，缺失时后端用默认值兜底而不是报错，这是为了降低现场的输入门槛。</w:t>
      </w:r>
    </w:p>
    <w:p w14:paraId="73138B4A">
      <w:pPr>
        <w:jc w:val="center"/>
      </w:pPr>
      <w:r>
        <w:rPr>
          <w:rFonts w:hint="eastAsia"/>
          <w:color w:val="888888"/>
          <w:sz w:val="18"/>
        </w:rPr>
        <w:t>表 5-1 诊断请求字段</w:t>
      </w:r>
    </w:p>
    <w:tbl>
      <w:tblPr>
        <w:tblW w:w="8306" w:type="dxa"/>
        <w:shd w:color="1a1a1a"/>
        <w:tblLayout w:type="autofit"/>
        <w:tblCellMar/>
      </w:tblPr>
      <w:tblGrid>
        <w:gridCol w:w="1162"/>
        <w:gridCol w:w="747"/>
        <w:gridCol w:w="664"/>
        <w:gridCol w:w="2491"/>
        <w:gridCol w:w="3242"/>
      </w:tblGrid>
      <w:tr>
        <w:trPr>
          <w:tblHeader w:val="1"/>
        </w:trPr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332B4C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字段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5AD2CE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类型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7A40C8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必填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81D132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约束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A5A574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说明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2CEDE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crop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6F896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C7F41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B81C8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见作物枚举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0ECE8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作物名称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81D61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part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58162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FCDF6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7A597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叶片、茎、根系、果实、生长点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948D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症状部位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F8117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leafAge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B11CE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6C80E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5813B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新叶、老叶、全株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DE4A8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叶龄，缺氮与缺铁的关键区分项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AA5C6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symptomText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E359F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03463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是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E4A8D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8 至 500 字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815C7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自然语言症状描述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75AFD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env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86CF2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EE37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873E0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不超过 200 字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58259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发生环境，如连作、基肥不足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C82D7A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soil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1308F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6C8AA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B823C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砂质、壤质、黏质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81425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土壤类型，影响风险等级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5822EE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stage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1EFA6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B4BD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24DD0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苗期、分蘖期、拔节期、开花期、结果期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3104B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生育期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B13F2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mode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6AFFD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CAB45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48244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farmer（默认）、pro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14756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输出模板，农户简易版或农技专业版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A6631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sessionId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E74B0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0F5B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E55A7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不超过 64 字符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EA20B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会话标识，用于多轮合并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83D1C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imageUrl</w:t>
            </w:r>
          </w:p>
        </w:tc>
        <w:tc>
          <w:tcPr>
            <w:tcW w:w="7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D85E45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6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24C54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否</w:t>
            </w:r>
          </w:p>
        </w:tc>
        <w:tc>
          <w:tcPr>
            <w:tcW w:w="2491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75A8E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合法 URL</w:t>
            </w:r>
          </w:p>
        </w:tc>
        <w:tc>
          <w:tcPr>
            <w:tcW w:w="324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94E61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图片识别扩展点启用时使用</w:t>
            </w:r>
          </w:p>
        </w:tc>
      </w:tr>
    </w:tbl>
    <w:p w14:paraId="6674610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响应中的 candidates 是数组，按置信度降序，前端只展示前 3 条。每条候选带匹配特征列表，这是“可解释”的前端落点，用来渲染“因为你说：老叶、均匀黄化”这样的提示。</w:t>
      </w:r>
    </w:p>
    <w:p w14:paraId="070163E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decision 有三个取值，直接决定前端渲染哪个分支：CONFIRMED 渲染结论卡片与六段式方案；NEED_MORE_INFO 渲染追问卡片，此时 followUp 不为空；NO_MATCH 渲染空态与建议。</w:t>
      </w:r>
    </w:p>
    <w:p w14:paraId="49C8C690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followUp 结构固定为“一个问题加若干选项加期望补全的字段名”，前端把它渲染成按钮组，用户点选后带着期望字段重新请求诊断接口，不需要前端自己拼语义。</w:t>
      </w:r>
    </w:p>
    <w:p w14:paraId="0293B247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{ "question": "发黄是从新叶还是老叶开始的？",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cfded6" w:sz="4"/>
              <w:bottom w:val="none" w:sz="8"/>
              <w:right w:val="single" w:color="cfded6" w:sz="4"/>
            </w:tcBorders>
            <w:shd w:val="clear" w:fill="f7faf8"/>
            <w:vAlign w:val="center"/>
          </w:tcPr>
          <w:p w14:paraId="721C4961">
            <w:pPr>
              <w:jc w:val="left"/>
              <w:rPr>
                <w:color w:val="1a1a1a"/>
              </w:rPr>
            </w:pPr>
            <w:r>
              <w:rPr>
                <w:rFonts w:hint="eastAsia" w:ascii="Consolas" w:hAnsi="Consolas" w:eastAsia="Consolas" w:cs="Consolas"/>
                <w:color w:val="1a1a1a"/>
                <w:sz w:val="18"/>
              </w:rPr>
              <w:t xml:space="preserve">  "options": ["新叶", "老叶", "全株"], "expectedField": "leafAge" }</w:t>
            </w:r>
          </w:p>
        </w:tc>
      </w:tr>
    </w:tbl>
    <w:p w14:paraId="2BECF8BA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5.2 施肥方案接口</w:t>
      </w:r>
    </w:p>
    <w:p w14:paraId="1365E3DE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请求只有作物、元素、模板三个字段。设计成独立接口而不是塞进识别响应，是为了支持“用户切换候选元素”和“切换农户版与专业版”两种局部刷新，避免整页重算。</w:t>
      </w:r>
    </w:p>
    <w:p w14:paraId="08332C44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5.3 六段式方案结构</w:t>
      </w:r>
    </w:p>
    <w:p w14:paraId="21337D72">
      <w:pPr>
        <w:jc w:val="center"/>
      </w:pPr>
      <w:r>
        <w:rPr>
          <w:rFonts w:hint="eastAsia"/>
          <w:color w:val="888888"/>
          <w:sz w:val="18"/>
        </w:rPr>
        <w:t>表 5-2 六段式方案字段</w:t>
      </w:r>
    </w:p>
    <w:tbl>
      <w:tblPr>
        <w:tblW w:w="8306" w:type="dxa"/>
        <w:shd w:color="1a1a1a"/>
        <w:tblLayout w:type="autofit"/>
        <w:tblCellMar/>
      </w:tblPr>
      <w:tblGrid>
        <w:gridCol w:w="1328"/>
        <w:gridCol w:w="830"/>
        <w:gridCol w:w="6148"/>
      </w:tblGrid>
      <w:tr>
        <w:trPr>
          <w:tblHeader w:val="1"/>
        </w:trPr>
        <w:tc>
          <w:tcPr>
            <w:tcW w:w="132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CA9DA8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字段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EA39EE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类型</w:t>
            </w:r>
          </w:p>
        </w:tc>
        <w:tc>
          <w:tcPr>
            <w:tcW w:w="614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8199AC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说明</w:t>
            </w:r>
          </w:p>
        </w:tc>
      </w:tr>
      <w:tr>
        <w:trPr/>
        <w:tc>
          <w:tcPr>
            <w:tcW w:w="132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FE88F9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elementName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3FAF7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14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8FBF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缺素名称</w:t>
            </w:r>
          </w:p>
        </w:tc>
      </w:tr>
      <w:tr>
        <w:trPr/>
        <w:tc>
          <w:tcPr>
            <w:tcW w:w="132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C8FF9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intro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113EA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14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10CD4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缺素简介，2 至 3 句</w:t>
            </w:r>
          </w:p>
        </w:tc>
      </w:tr>
      <w:tr>
        <w:trPr/>
        <w:tc>
          <w:tcPr>
            <w:tcW w:w="132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1CBE15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agronomy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4AA228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array</w:t>
            </w:r>
          </w:p>
        </w:tc>
        <w:tc>
          <w:tcPr>
            <w:tcW w:w="614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55E31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农艺调控手段，纯文本数组</w:t>
            </w:r>
          </w:p>
        </w:tc>
      </w:tr>
      <w:tr>
        <w:trPr/>
        <w:tc>
          <w:tcPr>
            <w:tcW w:w="132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36A40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organicPlan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BFFC9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array</w:t>
            </w:r>
          </w:p>
        </w:tc>
        <w:tc>
          <w:tcPr>
            <w:tcW w:w="614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5D595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有机与生物肥方案，对象数组，含措施、用量、时期、方法</w:t>
            </w:r>
          </w:p>
        </w:tc>
      </w:tr>
      <w:tr>
        <w:trPr/>
        <w:tc>
          <w:tcPr>
            <w:tcW w:w="132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83877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chemicalPlan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028FE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array</w:t>
            </w:r>
          </w:p>
        </w:tc>
        <w:tc>
          <w:tcPr>
            <w:tcW w:w="614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C7E21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化学施肥方案，对象数组，含肥料、养分含量、用量、时期、方法、注意事项</w:t>
            </w:r>
          </w:p>
        </w:tc>
      </w:tr>
      <w:tr>
        <w:trPr/>
        <w:tc>
          <w:tcPr>
            <w:tcW w:w="132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EE1AA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safety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666AD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array</w:t>
            </w:r>
          </w:p>
        </w:tc>
        <w:tc>
          <w:tcPr>
            <w:tcW w:w="614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4AD3D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施肥安全与减量提醒，纯文本数组</w:t>
            </w:r>
          </w:p>
        </w:tc>
      </w:tr>
      <w:tr>
        <w:trPr/>
        <w:tc>
          <w:tcPr>
            <w:tcW w:w="132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2DBB27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mode</w:t>
            </w:r>
          </w:p>
        </w:tc>
        <w:tc>
          <w:tcPr>
            <w:tcW w:w="83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028AE7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string</w:t>
            </w:r>
          </w:p>
        </w:tc>
        <w:tc>
          <w:tcPr>
            <w:tcW w:w="6148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91C5F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本次使用的模板，便于前端打标</w:t>
            </w:r>
          </w:p>
        </w:tc>
      </w:tr>
    </w:tbl>
    <w:p w14:paraId="242C2CB6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organicPlan 与 chemicalPlan 用对象数组而非纯文本数组，目的是让前端能用统一的三列表格渲染（措施、用量、时期），比长句更易读，也便于后续导出。</w:t>
      </w:r>
    </w:p>
    <w:p w14:paraId="7990CA09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5.4 流式对话接口</w:t>
      </w:r>
    </w:p>
    <w:p w14:paraId="04FA3949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SSE 事件共六种，事件名固定，前端按事件名分发，不解析事件内部的自由文本判定类型。</w:t>
      </w:r>
    </w:p>
    <w:p w14:paraId="41231F60">
      <w:pPr>
        <w:jc w:val="center"/>
      </w:pPr>
      <w:r>
        <w:rPr>
          <w:rFonts w:hint="eastAsia"/>
          <w:color w:val="888888"/>
          <w:sz w:val="18"/>
        </w:rPr>
        <w:t>表 5-3 SSE 事件定义</w:t>
      </w:r>
    </w:p>
    <w:tbl>
      <w:tblPr>
        <w:tblW w:w="8306" w:type="dxa"/>
        <w:shd w:color="1a1a1a"/>
        <w:tblLayout w:type="autofit"/>
        <w:tblCellMar/>
      </w:tblPr>
      <w:tblGrid>
        <w:gridCol w:w="1162"/>
        <w:gridCol w:w="1827"/>
        <w:gridCol w:w="5317"/>
      </w:tblGrid>
      <w:tr>
        <w:trPr>
          <w:tblHeader w:val="1"/>
        </w:trPr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C8FFAA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事件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026F91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触发时机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CDDF88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数据内容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56C60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meta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14253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连接建立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6AD35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sessionId、traceId、capabilities（当前可用能力）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CB8B5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candidate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30EA9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候选元素确定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5F3EA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element、confidence，前端可先渲染候选条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61C7EA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token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6D107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正文增量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E2F6C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delta 文本片段，前端追加到方案区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03E46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sizheng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F8819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思政引导就绪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EC108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story、value 两段短句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74F01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done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A71B3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正常结束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E5394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requestId、costMs，前端收尾并解锁输入</w:t>
            </w:r>
          </w:p>
        </w:tc>
      </w:tr>
      <w:tr>
        <w:trPr/>
        <w:tc>
          <w:tcPr>
            <w:tcW w:w="1162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14F5F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error</w:t>
            </w:r>
          </w:p>
        </w:tc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E369A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流内错误</w:t>
            </w:r>
          </w:p>
        </w:tc>
        <w:tc>
          <w:tcPr>
            <w:tcW w:w="531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943E0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code、message，前端在气泡内展示但不关闭页面</w:t>
            </w:r>
          </w:p>
        </w:tc>
      </w:tr>
    </w:tbl>
    <w:p w14:paraId="544D6888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另有 ping 心跳，默认 15 秒一次，前端静默忽略。帧格式为标准 SSE：event 行写事件名，data 行写 JSON，帧与帧之间空行分隔。</w:t>
      </w:r>
    </w:p>
    <w:p w14:paraId="1201FF7B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关于前端实现有一条容易被忽略的坑：浏览器原生 EventSource 只支持 GET 且不能带请求体，而对话必须 POST 传上下文。因此前端要用 fetch 加 ReadableStream 手工解析 SSE 帧，按双换行切分、按 event 与 data 前缀取值，不要用 EventSource。这一点必须在对接前说清，否则联调时会白耗半小时。</w:t>
      </w:r>
    </w:p>
    <w:p w14:paraId="402EEF94">
      <w:pPr>
        <w:pStyle w:val="000004"/>
        <w:keepNext w:val="1"/>
        <w:keepLines w:val="1"/>
        <w:pBdr>
          <w:bottom w:val="single" w:color="1f5f4b" w:sz="12" w:space="4"/>
        </w:pBdr>
        <w:spacing w:before="440" w:beforeAutospacing="1" w:after="200" w:afterAutospacing="1" w:line="312"/>
        <w:outlineLvl w:val="0"/>
        <w:rPr>
          <w:color w:val="1f5f4b"/>
          <w:kern w:val="44"/>
          <w:sz w:val="44"/>
          <w:szCs w:val="44"/>
        </w:rPr>
      </w:pPr>
      <w:bookmarkStart w:id="6" w:name="section-6"/>
      <w:r>
        <w:rPr>
          <w:rFonts w:hint="eastAsia" w:ascii="黑体" w:hAnsi="黑体" w:eastAsia="黑体" w:cs="黑体"/>
          <w:b w:val="1"/>
          <w:color w:val="1f5f4b"/>
          <w:spacing w:val="10"/>
          <w:sz w:val="34"/>
        </w:rPr>
        <w:t>六、前后端状态映射</w:t>
      </w:r>
      <w:bookmarkEnd w:id="6"/>
    </w:p>
    <w:p w14:paraId="18EA78EF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前端只需要实现一个状态机，状态由后端返回的 decision 与降级级别决定，不由前端自己推断。</w:t>
      </w:r>
    </w:p>
    <w:p w14:paraId="3882CB86">
      <w:pPr>
        <w:jc w:val="center"/>
      </w:pPr>
      <w:r>
        <w:rPr>
          <w:rFonts w:hint="eastAsia"/>
          <w:color w:val="888888"/>
          <w:sz w:val="18"/>
        </w:rPr>
        <w:t>表 6-1 前端状态与后端字段映射</w:t>
      </w:r>
    </w:p>
    <w:tbl>
      <w:tblPr>
        <w:tblW w:w="8306" w:type="dxa"/>
        <w:shd w:color="1a1a1a"/>
        <w:tblLayout w:type="autofit"/>
        <w:tblCellMar/>
      </w:tblPr>
      <w:tblGrid>
        <w:gridCol w:w="1495"/>
        <w:gridCol w:w="2824"/>
        <w:gridCol w:w="3987"/>
      </w:tblGrid>
      <w:tr>
        <w:trPr>
          <w:tblHeader w:val="1"/>
        </w:trPr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CD3C83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前端状态</w:t>
            </w:r>
          </w:p>
        </w:tc>
        <w:tc>
          <w:tcPr>
            <w:tcW w:w="282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7C109C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触发条件</w:t>
            </w:r>
          </w:p>
        </w:tc>
        <w:tc>
          <w:tcPr>
            <w:tcW w:w="398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8AEDABD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界面表现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274A2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IDLE</w:t>
            </w:r>
          </w:p>
        </w:tc>
        <w:tc>
          <w:tcPr>
            <w:tcW w:w="282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C7E5E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初始</w:t>
            </w:r>
          </w:p>
        </w:tc>
        <w:tc>
          <w:tcPr>
            <w:tcW w:w="398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ED78C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输入区可用，结果区显示示例提示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2AA7B4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SUBMITTING</w:t>
            </w:r>
          </w:p>
        </w:tc>
        <w:tc>
          <w:tcPr>
            <w:tcW w:w="282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9087E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点击诊断</w:t>
            </w:r>
          </w:p>
        </w:tc>
        <w:tc>
          <w:tcPr>
            <w:tcW w:w="398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302549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按钮禁用，显示加载态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9C7982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ANALYZING</w:t>
            </w:r>
          </w:p>
        </w:tc>
        <w:tc>
          <w:tcPr>
            <w:tcW w:w="282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1429F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请求已发出</w:t>
            </w:r>
          </w:p>
        </w:tc>
        <w:tc>
          <w:tcPr>
            <w:tcW w:w="398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66A12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骨架屏，置信度条占位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C76B51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CONFIRMED</w:t>
            </w:r>
          </w:p>
        </w:tc>
        <w:tc>
          <w:tcPr>
            <w:tcW w:w="282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F078B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decision 为 CONFIRMED</w:t>
            </w:r>
          </w:p>
        </w:tc>
        <w:tc>
          <w:tcPr>
            <w:tcW w:w="398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E3411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结论卡片、置信度条、证据折叠区、六段式方案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EFD788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ASKING</w:t>
            </w:r>
          </w:p>
        </w:tc>
        <w:tc>
          <w:tcPr>
            <w:tcW w:w="282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E97FF5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decision 为 NEED_MORE_INFO</w:t>
            </w:r>
          </w:p>
        </w:tc>
        <w:tc>
          <w:tcPr>
            <w:tcW w:w="398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59555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追问卡片与选项按钮，输入区保留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1191D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EMPTY</w:t>
            </w:r>
          </w:p>
        </w:tc>
        <w:tc>
          <w:tcPr>
            <w:tcW w:w="282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F3B09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decision 为 NO_MATCH</w:t>
            </w:r>
          </w:p>
        </w:tc>
        <w:tc>
          <w:tcPr>
            <w:tcW w:w="398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35DC1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空态插画、补充建议、农技站引导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9092A3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DEGRADED</w:t>
            </w:r>
          </w:p>
        </w:tc>
        <w:tc>
          <w:tcPr>
            <w:tcW w:w="282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AFDA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降级级别大于 0</w:t>
            </w:r>
          </w:p>
        </w:tc>
        <w:tc>
          <w:tcPr>
            <w:tcW w:w="398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B0757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顶部小角标“当前为离线规则模式”</w:t>
            </w:r>
          </w:p>
        </w:tc>
      </w:tr>
      <w:tr>
        <w:trPr/>
        <w:tc>
          <w:tcPr>
            <w:tcW w:w="1495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F9B0FC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ERROR</w:t>
            </w:r>
          </w:p>
        </w:tc>
        <w:tc>
          <w:tcPr>
            <w:tcW w:w="2824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3B1FF2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code 非 0 且不属于降级</w:t>
            </w:r>
          </w:p>
        </w:tc>
        <w:tc>
          <w:tcPr>
            <w:tcW w:w="398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29B46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错误卡片、重试按钮、traceId 后 8 位</w:t>
            </w:r>
          </w:p>
        </w:tc>
      </w:tr>
    </w:tbl>
    <w:p w14:paraId="4DA2D500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注意 DEGRADED 是叠加态而非独立态，它可以和 CONFIRMED 同时存在。前端实现时应把它做成一个布尔标记而不是状态枚举值。</w:t>
      </w:r>
    </w:p>
    <w:p w14:paraId="01C9DC77">
      <w:pPr>
        <w:pStyle w:val="000004"/>
        <w:keepNext w:val="1"/>
        <w:keepLines w:val="1"/>
        <w:pBdr>
          <w:bottom w:val="single" w:color="1f5f4b" w:sz="12" w:space="4"/>
        </w:pBdr>
        <w:spacing w:before="440" w:beforeAutospacing="1" w:after="200" w:afterAutospacing="1" w:line="312"/>
        <w:outlineLvl w:val="0"/>
        <w:rPr>
          <w:color w:val="1f5f4b"/>
          <w:kern w:val="44"/>
          <w:sz w:val="44"/>
          <w:szCs w:val="44"/>
        </w:rPr>
      </w:pPr>
      <w:bookmarkStart w:id="7" w:name="section-7"/>
      <w:r>
        <w:rPr>
          <w:rFonts w:hint="eastAsia" w:ascii="黑体" w:hAnsi="黑体" w:eastAsia="黑体" w:cs="黑体"/>
          <w:b w:val="1"/>
          <w:color w:val="1f5f4b"/>
          <w:spacing w:val="10"/>
          <w:sz w:val="34"/>
        </w:rPr>
        <w:t>七、异常、超时与重试</w:t>
      </w:r>
      <w:bookmarkEnd w:id="7"/>
    </w:p>
    <w:p w14:paraId="7D2E9C7E">
      <w:pPr>
        <w:jc w:val="center"/>
      </w:pPr>
      <w:r>
        <w:rPr>
          <w:rFonts w:hint="eastAsia"/>
          <w:color w:val="888888"/>
          <w:sz w:val="18"/>
        </w:rPr>
        <w:t>表 7-1 异常场景下双方行为</w:t>
      </w:r>
    </w:p>
    <w:tbl>
      <w:tblPr>
        <w:tblW w:w="8306" w:type="dxa"/>
        <w:shd w:color="1a1a1a"/>
        <w:tblLayout w:type="autofit"/>
        <w:tblCellMar/>
      </w:tblPr>
      <w:tblGrid>
        <w:gridCol w:w="2159"/>
        <w:gridCol w:w="2657"/>
        <w:gridCol w:w="3490"/>
      </w:tblGrid>
      <w:tr>
        <w:trPr>
          <w:tblHeader w:val="1"/>
        </w:trPr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0E3FB0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场景</w:t>
            </w:r>
          </w:p>
        </w:tc>
        <w:tc>
          <w:tcPr>
            <w:tcW w:w="2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DF0FDB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后端行为</w:t>
            </w:r>
          </w:p>
        </w:tc>
        <w:tc>
          <w:tcPr>
            <w:tcW w:w="349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ACDC46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前端行为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11E6D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模型超时 6 秒</w:t>
            </w:r>
          </w:p>
        </w:tc>
        <w:tc>
          <w:tcPr>
            <w:tcW w:w="2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022D3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中止调用，走模板输出，降级级别 1</w:t>
            </w:r>
          </w:p>
        </w:tc>
        <w:tc>
          <w:tcPr>
            <w:tcW w:w="349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5B128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正常渲染，显示降级角标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31ABA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向量服务不可用</w:t>
            </w:r>
          </w:p>
        </w:tc>
        <w:tc>
          <w:tcPr>
            <w:tcW w:w="2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0610D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只用规则与关键词检索，降级级别 2</w:t>
            </w:r>
          </w:p>
        </w:tc>
        <w:tc>
          <w:tcPr>
            <w:tcW w:w="349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1C5DFD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正常渲染，证据区提示语义检索不可用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DD197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知识库为空</w:t>
            </w:r>
          </w:p>
        </w:tc>
        <w:tc>
          <w:tcPr>
            <w:tcW w:w="2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62BF2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返回错误码 2001</w:t>
            </w:r>
          </w:p>
        </w:tc>
        <w:tc>
          <w:tcPr>
            <w:tcW w:w="349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FB3F0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显示加载中，3 秒后重试一次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39DC6E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全链路 8 秒未完成</w:t>
            </w:r>
          </w:p>
        </w:tc>
        <w:tc>
          <w:tcPr>
            <w:tcW w:w="2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EC41A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返回已完成部分的降级结果</w:t>
            </w:r>
          </w:p>
        </w:tc>
        <w:tc>
          <w:tcPr>
            <w:tcW w:w="349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0E38C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渲染结果并提示部分内容已简化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8608B0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网络中断</w:t>
            </w:r>
          </w:p>
        </w:tc>
        <w:tc>
          <w:tcPr>
            <w:tcW w:w="2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598B5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无</w:t>
            </w:r>
          </w:p>
        </w:tc>
        <w:tc>
          <w:tcPr>
            <w:tcW w:w="349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9CC31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请求超时 15 秒后展示重试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2BC4B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触发限流</w:t>
            </w:r>
          </w:p>
        </w:tc>
        <w:tc>
          <w:tcPr>
            <w:tcW w:w="265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AAF27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返回错误码 4001</w:t>
            </w:r>
          </w:p>
        </w:tc>
        <w:tc>
          <w:tcPr>
            <w:tcW w:w="3490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659E63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提示稍候，5 秒后允许重试</w:t>
            </w:r>
          </w:p>
        </w:tc>
      </w:tr>
    </w:tbl>
    <w:p w14:paraId="324D685C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前端统一超时 15 秒，因为后端总预算 8 秒，留出网络与渲染余量。重试策略：只对错误码 5000 与网络超时自动重试一次，其余错误不自动重试，避免把限流打成雪崩。</w:t>
      </w:r>
    </w:p>
    <w:p w14:paraId="7EA76A4C">
      <w:pPr>
        <w:pStyle w:val="000004"/>
        <w:keepNext w:val="1"/>
        <w:keepLines w:val="1"/>
        <w:pBdr>
          <w:bottom w:val="single" w:color="1f5f4b" w:sz="12" w:space="4"/>
        </w:pBdr>
        <w:spacing w:before="440" w:beforeAutospacing="1" w:after="200" w:afterAutospacing="1" w:line="312"/>
        <w:outlineLvl w:val="0"/>
        <w:rPr>
          <w:color w:val="1f5f4b"/>
          <w:kern w:val="44"/>
          <w:sz w:val="44"/>
          <w:szCs w:val="44"/>
        </w:rPr>
      </w:pPr>
      <w:bookmarkStart w:id="8" w:name="section-8"/>
      <w:r>
        <w:rPr>
          <w:rFonts w:hint="eastAsia" w:ascii="黑体" w:hAnsi="黑体" w:eastAsia="黑体" w:cs="黑体"/>
          <w:b w:val="1"/>
          <w:color w:val="1f5f4b"/>
          <w:spacing w:val="10"/>
          <w:sz w:val="34"/>
        </w:rPr>
        <w:t>八、联调与 Mock</w:t>
      </w:r>
      <w:bookmarkEnd w:id="8"/>
    </w:p>
    <w:p w14:paraId="05E6B8D6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8.1 契约文件是唯一真相</w:t>
      </w:r>
    </w:p>
    <w:p w14:paraId="21F4B81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接口定义写在 OpenAPI 文档中随代码提交，同时导出样例报文放在 examples 目录，包含诊断成功、诊断追问、诊断空态、专业版方案、对话流五种样例。前端用 Mock 服务直接读这些样例，后端用同一份样例写单元测试断言，字段一旦漂移，两边同时报警。</w:t>
      </w:r>
    </w:p>
    <w:p w14:paraId="6D903962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8.2 并行开发节奏</w:t>
      </w:r>
    </w:p>
    <w:p w14:paraId="54C773DC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第一阶段只定契约与样例报文，前端按样例渲染静态页面，后端按契约搭空壳返回样例。第二阶段各自填充真实逻辑，互不阻塞。第三阶段合并联调，只处理真实差异。这样即使后端还没写完，前端也能先出可看的页面用于答辩预演。</w:t>
      </w:r>
    </w:p>
    <w:p w14:paraId="006C624D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8.3 联调自检清单</w:t>
      </w:r>
    </w:p>
    <w:p w14:paraId="0965B8A7">
      <w:pPr>
        <w:jc w:val="center"/>
      </w:pPr>
      <w:r>
        <w:rPr>
          <w:rFonts w:hint="eastAsia"/>
          <w:color w:val="888888"/>
          <w:sz w:val="18"/>
        </w:rPr>
        <w:t>表 8-1 联调自检清单</w:t>
      </w:r>
    </w:p>
    <w:tbl>
      <w:tblPr>
        <w:tblW w:w="8306" w:type="dxa"/>
        <w:shd w:color="1a1a1a"/>
        <w:tblLayout w:type="autofit"/>
        <w:tblCellMar/>
      </w:tblPr>
      <w:tblGrid>
        <w:gridCol w:w="1827"/>
        <w:gridCol w:w="6479"/>
      </w:tblGrid>
      <w:tr>
        <w:trPr>
          <w:tblHeader w:val="1"/>
        </w:trPr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703118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检查项</w:t>
            </w:r>
          </w:p>
        </w:tc>
        <w:tc>
          <w:tcPr>
            <w:tcW w:w="647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C93DF2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通过标准</w:t>
            </w:r>
          </w:p>
        </w:tc>
      </w:tr>
      <w:tr>
        <w:trPr/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E3890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字段名是否一致</w:t>
            </w:r>
          </w:p>
        </w:tc>
        <w:tc>
          <w:tcPr>
            <w:tcW w:w="647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74CF6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前后端逐字段对齐，无拼写差异</w:t>
            </w:r>
          </w:p>
        </w:tc>
      </w:tr>
      <w:tr>
        <w:trPr/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7907D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单位是否一致</w:t>
            </w:r>
          </w:p>
        </w:tc>
        <w:tc>
          <w:tcPr>
            <w:tcW w:w="647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6FA8C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用量统一 kg/亩，前端不做换算</w:t>
            </w:r>
          </w:p>
        </w:tc>
      </w:tr>
      <w:tr>
        <w:trPr/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BF7985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空值处理</w:t>
            </w:r>
          </w:p>
        </w:tc>
        <w:tc>
          <w:tcPr>
            <w:tcW w:w="647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F05B8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null 与空数组按约定处理，页面不出现 undefined</w:t>
            </w:r>
          </w:p>
        </w:tc>
      </w:tr>
      <w:tr>
        <w:trPr/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73FBFB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枚举越界</w:t>
            </w:r>
          </w:p>
        </w:tc>
        <w:tc>
          <w:tcPr>
            <w:tcW w:w="647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B5BD77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后端返回未知枚举值时前端不崩，降级为原文展示</w:t>
            </w:r>
          </w:p>
        </w:tc>
      </w:tr>
      <w:tr>
        <w:trPr/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2C95D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降级表现</w:t>
            </w:r>
          </w:p>
        </w:tc>
        <w:tc>
          <w:tcPr>
            <w:tcW w:w="647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DCF739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手动关闭模型后，页面正常出结果并显示角标</w:t>
            </w:r>
          </w:p>
        </w:tc>
      </w:tr>
      <w:tr>
        <w:trPr/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555FA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追问闭环</w:t>
            </w:r>
          </w:p>
        </w:tc>
        <w:tc>
          <w:tcPr>
            <w:tcW w:w="647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A2960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点选追问选项后能重新请求并刷新结论</w:t>
            </w:r>
          </w:p>
        </w:tc>
      </w:tr>
      <w:tr>
        <w:trPr/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23EEB4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流式体验</w:t>
            </w:r>
          </w:p>
        </w:tc>
        <w:tc>
          <w:tcPr>
            <w:tcW w:w="647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7E5F87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首字 1.2 秒内出现，结束时输入解锁</w:t>
            </w:r>
          </w:p>
        </w:tc>
      </w:tr>
      <w:tr>
        <w:trPr/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B7EA8C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错误可读</w:t>
            </w:r>
          </w:p>
        </w:tc>
        <w:tc>
          <w:tcPr>
            <w:tcW w:w="647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ACBA3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四类常见错误均有人话提示，不出现英文堆栈</w:t>
            </w:r>
          </w:p>
        </w:tc>
      </w:tr>
      <w:tr>
        <w:trPr/>
        <w:tc>
          <w:tcPr>
            <w:tcW w:w="182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149AA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窄屏适配</w:t>
            </w:r>
          </w:p>
        </w:tc>
        <w:tc>
          <w:tcPr>
            <w:tcW w:w="647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148988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手机宽度下卡片不横向溢出</w:t>
            </w:r>
          </w:p>
        </w:tc>
      </w:tr>
    </w:tbl>
    <w:p w14:paraId="7890260B">
      <w:pPr>
        <w:pStyle w:val="000004"/>
        <w:keepNext w:val="1"/>
        <w:keepLines w:val="1"/>
        <w:pBdr>
          <w:bottom w:val="single" w:color="1f5f4b" w:sz="12" w:space="4"/>
        </w:pBdr>
        <w:spacing w:before="440" w:beforeAutospacing="1" w:after="200" w:afterAutospacing="1" w:line="312"/>
        <w:outlineLvl w:val="0"/>
        <w:rPr>
          <w:color w:val="1f5f4b"/>
          <w:kern w:val="44"/>
          <w:sz w:val="44"/>
          <w:szCs w:val="44"/>
        </w:rPr>
      </w:pPr>
      <w:bookmarkStart w:id="9" w:name="section-9"/>
      <w:r>
        <w:rPr>
          <w:rFonts w:hint="eastAsia" w:ascii="黑体" w:hAnsi="黑体" w:eastAsia="黑体" w:cs="黑体"/>
          <w:b w:val="1"/>
          <w:color w:val="1f5f4b"/>
          <w:spacing w:val="10"/>
          <w:sz w:val="34"/>
        </w:rPr>
        <w:t>九、安全与边界</w:t>
      </w:r>
      <w:bookmarkEnd w:id="9"/>
    </w:p>
    <w:p w14:paraId="06025A8A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前端不接触任何模型密钥，所有模型调用由后端代理；密钥只通过环境变量注入后端进程。前端提交的症状文本在后端作为数据而非指令处理，包裹在明确分隔符内，防止提示词注入。</w:t>
      </w:r>
    </w:p>
    <w:p w14:paraId="0C0643A5">
      <w:pPr>
        <w:spacing w:after="132" w:line="408"/>
        <w:ind w:firstLine="480"/>
        <w:jc w:val="both"/>
        <w:rPr>
          <w:color w:val="1a1a1a"/>
        </w:rPr>
      </w:pPr>
      <w:r>
        <w:rPr>
          <w:rFonts w:hint="eastAsia" w:ascii="SimSun" w:hAnsi="SimSun" w:eastAsia="SimSun" w:cs="SimSun"/>
          <w:color w:val="1a1a1a"/>
          <w:sz w:val="24"/>
        </w:rPr>
        <w:t>响应中不返回系统提示词、不返回内部知识库路径、不返回堆栈信息。跨域方面，开发期由 Vite 代理规避，交付期同源部署，不开放通配符跨域。缓存方面，知识查询接口允许强缓存，诊断与对话接口一律不缓存（响应头 Cache-Control 为 no-store），避免演示时拿到旧结论。</w:t>
      </w:r>
    </w:p>
    <w:p w14:paraId="24EC8BE7">
      <w:pPr>
        <w:pStyle w:val="000004"/>
        <w:keepNext w:val="1"/>
        <w:keepLines w:val="1"/>
        <w:pBdr>
          <w:bottom w:val="single" w:color="1f5f4b" w:sz="12" w:space="4"/>
        </w:pBdr>
        <w:spacing w:before="440" w:beforeAutospacing="1" w:after="200" w:afterAutospacing="1" w:line="312"/>
        <w:outlineLvl w:val="0"/>
        <w:rPr>
          <w:color w:val="1f5f4b"/>
          <w:kern w:val="44"/>
          <w:sz w:val="44"/>
          <w:szCs w:val="44"/>
        </w:rPr>
      </w:pPr>
      <w:bookmarkStart w:id="10" w:name="section-10"/>
      <w:r>
        <w:rPr>
          <w:rFonts w:hint="eastAsia" w:ascii="黑体" w:hAnsi="黑体" w:eastAsia="黑体" w:cs="黑体"/>
          <w:b w:val="1"/>
          <w:color w:val="1f5f4b"/>
          <w:spacing w:val="10"/>
          <w:sz w:val="34"/>
        </w:rPr>
        <w:t>十、附录</w:t>
      </w:r>
      <w:bookmarkEnd w:id="10"/>
    </w:p>
    <w:p w14:paraId="7139E312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10.1 枚举字典</w:t>
      </w:r>
    </w:p>
    <w:p w14:paraId="5FDCF90C">
      <w:pPr>
        <w:jc w:val="center"/>
      </w:pPr>
      <w:r>
        <w:rPr>
          <w:rFonts w:hint="eastAsia"/>
          <w:color w:val="888888"/>
          <w:sz w:val="18"/>
        </w:rPr>
        <w:t>表 10-1 枚举字典</w:t>
      </w:r>
    </w:p>
    <w:tbl>
      <w:tblPr>
        <w:tblW w:w="8306" w:type="dxa"/>
        <w:shd w:color="1a1a1a"/>
        <w:tblLayout w:type="autofit"/>
        <w:tblCellMar/>
      </w:tblPr>
      <w:tblGrid>
        <w:gridCol w:w="2159"/>
        <w:gridCol w:w="6147"/>
      </w:tblGrid>
      <w:tr>
        <w:trPr>
          <w:tblHeader w:val="1"/>
        </w:trPr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BB5D0A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枚举</w:t>
            </w:r>
          </w:p>
        </w:tc>
        <w:tc>
          <w:tcPr>
            <w:tcW w:w="61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shd w:val="clear" w:fill="eaf3ee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D83BD30">
            <w:pPr>
              <w:jc w:val="left"/>
              <w:rPr>
                <w:b w:val="1"/>
                <w:bCs w:val="1"/>
                <w:color w:val="1f5f4b"/>
              </w:rPr>
            </w:pPr>
            <w:r>
              <w:rPr>
                <w:rFonts w:hint="eastAsia" w:ascii="黑体" w:hAnsi="黑体" w:eastAsia="黑体" w:cs="黑体"/>
                <w:b w:val="1"/>
                <w:color w:val="1f5f4b"/>
                <w:sz w:val="20"/>
              </w:rPr>
              <w:t>取值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AB2E60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element</w:t>
            </w:r>
          </w:p>
        </w:tc>
        <w:tc>
          <w:tcPr>
            <w:tcW w:w="61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864E51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N、P、K、Mg、Fe、Zn、Ca、B、Mn、Cu、Mo、S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3EB4FF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decision</w:t>
            </w:r>
          </w:p>
        </w:tc>
        <w:tc>
          <w:tcPr>
            <w:tcW w:w="61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E3F89F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CONFIRMED、NEED_MORE_INFO、NO_MATCH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0D92BB6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confidenceLevel</w:t>
            </w:r>
          </w:p>
        </w:tc>
        <w:tc>
          <w:tcPr>
            <w:tcW w:w="61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10063E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HIGH（大于等于 0.65）、MEDIUM（0.40 至 0.65）、LOW（小于 0.40）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E90FF8B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mode</w:t>
            </w:r>
          </w:p>
        </w:tc>
        <w:tc>
          <w:tcPr>
            <w:tcW w:w="61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03DF65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farmer、pro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82B72A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降级级别</w:t>
            </w:r>
          </w:p>
        </w:tc>
        <w:tc>
          <w:tcPr>
            <w:tcW w:w="61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E34A456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0 正常、1 模型降级、2 向量降级、3 全降级</w:t>
            </w:r>
          </w:p>
        </w:tc>
      </w:tr>
      <w:tr>
        <w:trPr/>
        <w:tc>
          <w:tcPr>
            <w:tcW w:w="2159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47D0FD">
            <w:pPr>
              <w:jc w:val="left"/>
              <w:rPr>
                <w:color w:val="1a1a1a"/>
              </w:rPr>
            </w:pPr>
            <w:r>
              <w:rPr>
                <w:rFonts w:ascii="SimSun" w:hAnsi="SimSun" w:eastAsia="SimSun" w:cs="SimSun"/>
                <w:color w:val="1a1a1a"/>
                <w:sz w:val="20"/>
              </w:rPr>
              <w:t>leafAge</w:t>
            </w:r>
          </w:p>
        </w:tc>
        <w:tc>
          <w:tcPr>
            <w:tcW w:w="6147" w:type="dxa"/>
            <w:tcBorders>
              <w:top w:val="single" w:color="cfded6" w:sz="4"/>
              <w:left w:val="single" w:color="cfded6" w:sz="4"/>
              <w:bottom w:val="single" w:color="cfded6" w:sz="4"/>
              <w:right w:val="single" w:color="cfded6" w:sz="4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66C39C">
            <w:pPr>
              <w:jc w:val="left"/>
              <w:rPr>
                <w:color w:val="1a1a1a"/>
              </w:rPr>
            </w:pPr>
            <w:r>
              <w:rPr>
                <w:rFonts w:hint="eastAsia" w:ascii="SimSun" w:hAnsi="SimSun" w:eastAsia="SimSun" w:cs="SimSun"/>
                <w:color w:val="1a1a1a"/>
                <w:sz w:val="20"/>
              </w:rPr>
              <w:t>新叶、老叶、全株</w:t>
            </w:r>
          </w:p>
        </w:tc>
      </w:tr>
    </w:tbl>
    <w:p w14:paraId="7C9D6305">
      <w:pPr>
        <w:pStyle w:val="000005"/>
        <w:keepNext w:val="1"/>
        <w:keepLines w:val="1"/>
        <w:pBdr>
          <w:left w:val="single" w:color="2e7d5b" w:sz="24" w:space="7"/>
        </w:pBdr>
        <w:spacing w:before="280" w:beforeAutospacing="1" w:after="120" w:afterAutospacing="1" w:line="336"/>
        <w:outlineLvl w:val="2"/>
        <w:rPr>
          <w:color w:val="2e7d5b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2e7d5b"/>
          <w:sz w:val="26"/>
        </w:rPr>
        <w:t>10.2 对接约定小结</w:t>
      </w:r>
    </w:p>
    <w:p w14:paraId="1ED94EF2">
      <w:pPr>
        <w:spacing w:after="132" w:line="408"/>
        <w:ind w:firstLine="480"/>
        <w:jc w:val="both"/>
        <w:rPr>
          <w:color w:val="1a1a1a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a1a1a"/>
          <w:sz w:val="24"/>
        </w:rPr>
        <w:t>一句话总结这份契约：前端只管把后端给的结构画出来，后端只管在契约里把话说全，任何一方都不替对方做判断。只要守住这一条，两小时的活不会拖成四小时。</w:t>
      </w:r>
    </w:p>
    <w:p w14:paraId="389016FC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A82AD11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footnote reference" w:semiHidden="1" w:unhideWhenUsed="1"/>
    <w:lsdException w:name="Body Text Indent 2" w:semiHidden="1" w:unhideWhenUsed="1"/>
    <w:lsdException w:name="Body Text" w:semiHidden="1" w:unhideWhenUsed="1"/>
    <w:lsdException w:name="index 8" w:semiHidden="1" w:unhideWhenUsed="1"/>
    <w:lsdException w:name="List 5" w:semiHidden="1" w:unhideWhenUsed="1"/>
    <w:lsdException w:name="List Bullet" w:semiHidden="1" w:unhideWhenUsed="1"/>
    <w:lsdException w:name="envelope address" w:semiHidden="1" w:unhideWhenUsed="1"/>
    <w:lsdException w:name="List Bullet 5" w:semiHidden="1" w:unhideWhenUsed="1"/>
    <w:lsdException w:name="footer" w:semiHidden="1" w:unhideWhenUsed="1"/>
    <w:lsdException w:name="List 4" w:semiHidden="1" w:unhideWhenUsed="1"/>
    <w:lsdException w:name="List Number 3" w:semiHidden="1" w:unhideWhenUsed="1"/>
    <w:lsdException w:name="index 1" w:semiHidden="1" w:unhideWhenUsed="1"/>
    <w:lsdException w:name="List 2" w:semiHidden="1" w:unhideWhenUsed="1"/>
    <w:lsdException w:name="index 5" w:semiHidden="1" w:unhideWhenUsed="1"/>
    <w:lsdException w:name="List Continue 3" w:semiHidden="1" w:unhideWhenUsed="1"/>
    <w:lsdException w:name="List Number 2" w:semiHidden="1" w:unhideWhenUsed="1"/>
    <w:lsdException w:name="Subtitle" w:uiPriority="11" w:qFormat="1"/>
    <w:lsdException w:name="List 3" w:semiHidden="1" w:unhideWhenUsed="1"/>
    <w:lsdException w:name="index 6" w:semiHidden="1" w:unhideWhenUsed="1"/>
    <w:lsdException w:name="List Continue 2" w:semiHidden="1" w:unhideWhenUsed="1"/>
    <w:lsdException w:name="toc 3" w:uiPriority="39" w:semiHidden="1" w:unhideWhenUsed="1"/>
    <w:lsdException w:name="table of figures" w:semiHidden="1" w:unhideWhenUsed="1"/>
    <w:lsdException w:name="Normal" w:uiPriority="0" w:qFormat="1"/>
    <w:lsdException w:name="Strong" w:uiPriority="22" w:qFormat="1"/>
    <w:lsdException w:name="index heading" w:semiHidden="1" w:unhideWhenUsed="1"/>
    <w:lsdException w:name="Note Heading" w:semiHidden="1" w:unhideWhenUsed="1"/>
    <w:lsdException w:name="index 3" w:semiHidden="1" w:unhideWhenUsed="1"/>
    <w:lsdException w:name="FollowedHyperlink" w:semiHidden="1" w:unhideWhenUsed="1"/>
    <w:lsdException w:name="annotation text" w:semiHidden="1" w:unhideWhenUsed="1"/>
    <w:lsdException w:name="toc 8" w:uiPriority="39" w:semiHidden="1" w:unhideWhenUsed="1"/>
    <w:lsdException w:name="index 9" w:semiHidden="1" w:unhideWhenUsed="1"/>
    <w:lsdException w:name="Salutation" w:semiHidden="1" w:unhideWhenUsed="1"/>
    <w:lsdException w:name="Default Paragraph Font" w:uiPriority="1" w:semiHidden="1" w:unhideWhenUsed="1"/>
    <w:lsdException w:name="caption" w:uiPriority="35" w:semiHidden="1" w:unhideWhenUsed="1" w:qFormat="1"/>
    <w:lsdException w:name="Body Text Indent" w:semiHidden="1" w:unhideWhenUsed="1"/>
    <w:lsdException w:name="heading 4" w:uiPriority="9" w:semiHidden="1" w:unhideWhenUsed="1" w:qFormat="1"/>
    <w:lsdException w:name="header" w:semiHidden="1" w:unhideWhenUsed="1"/>
    <w:lsdException w:name="macro" w:semiHidden="1" w:unhideWhenUsed="1"/>
    <w:lsdException w:name="index 2" w:semiHidden="1" w:unhideWhenUsed="1"/>
    <w:lsdException w:name="endnote text" w:semiHidden="1" w:unhideWhenUsed="1"/>
    <w:lsdException w:name="List Number 5" w:semiHidden="1" w:unhideWhenUsed="1"/>
    <w:lsdException w:name="Date" w:semiHidden="1" w:unhideWhenUsed="1"/>
    <w:lsdException w:name="Block Text" w:semiHidden="1" w:unhideWhenUsed="1"/>
    <w:lsdException w:name="index 7" w:semiHidden="1" w:unhideWhenUsed="1"/>
    <w:lsdException w:name="heading 9" w:uiPriority="9" w:semiHidden="1" w:unhideWhenUsed="1" w:qFormat="1"/>
    <w:lsdException w:name="endnote reference" w:semiHidden="1" w:unhideWhenUsed="1"/>
    <w:lsdException w:name="List Continue 5" w:semiHidden="1" w:unhideWhenUsed="1"/>
    <w:lsdException w:name="Body Text 3" w:semiHidden="1" w:unhideWhenUsed="1"/>
    <w:lsdException w:name="heading 5" w:uiPriority="9" w:semiHidden="1" w:unhideWhenUsed="1" w:qFormat="1"/>
    <w:lsdException w:name="Hyperlink" w:semiHidden="1" w:unhideWhenUsed="1"/>
    <w:lsdException w:name="toc 4" w:uiPriority="39" w:semiHidden="1" w:unhideWhenUsed="1"/>
    <w:lsdException w:name="page number" w:semiHidden="1" w:unhideWhenUsed="1"/>
    <w:lsdException w:name="Signature" w:semiHidden="1" w:unhideWhenUsed="1"/>
    <w:lsdException w:name="heading 2" w:uiPriority="9" w:semiHidden="1" w:unhideWhenUsed="1" w:qFormat="1"/>
    <w:lsdException w:name="toc 1" w:uiPriority="39" w:semiHidden="1" w:unhideWhenUsed="1"/>
    <w:lsdException w:name="index 4" w:semiHidden="1" w:unhideWhenUsed="1"/>
    <w:lsdException w:name="Body Text 2" w:semiHidden="1" w:unhideWhenUsed="1"/>
    <w:lsdException w:name="List Continue 4" w:semiHidden="1" w:unhideWhenUsed="1"/>
    <w:lsdException w:name="toc 9" w:uiPriority="39" w:semiHidden="1" w:unhideWhenUsed="1"/>
    <w:lsdException w:name="Normal Indent" w:semiHidden="1" w:unhideWhenUsed="1"/>
    <w:lsdException w:name="toc 5" w:uiPriority="39" w:semiHidden="1" w:unhideWhenUsed="1"/>
    <w:lsdException w:name="table of authorities" w:semiHidden="1" w:unhideWhenUsed="1"/>
    <w:lsdException w:name="Body Text First Indent" w:semiHidden="1" w:unhideWhenUsed="1"/>
    <w:lsdException w:name="List Bullet 2" w:semiHidden="1" w:unhideWhenUsed="1"/>
    <w:lsdException w:name="List Continue" w:semiHidden="1" w:unhideWhenUsed="1"/>
    <w:lsdException w:name="toc 6" w:uiPriority="39" w:semiHidden="1" w:unhideWhenUsed="1"/>
    <w:lsdException w:name="toc 2" w:uiPriority="39" w:semiHidden="1" w:unhideWhenUsed="1"/>
    <w:lsdException w:name="line number" w:semiHidden="1" w:unhideWhenUsed="1"/>
    <w:lsdException w:name="footnote text" w:semiHidden="1" w:unhideWhenUsed="1"/>
    <w:lsdException w:name="heading 1" w:uiPriority="9" w:qFormat="1"/>
    <w:lsdException w:name="Title" w:uiPriority="10" w:qFormat="1"/>
    <w:lsdException w:name="List Bullet 3" w:semiHidden="1" w:unhideWhenUsed="1"/>
    <w:lsdException w:name="annotation reference" w:semiHidden="1" w:unhideWhenUsed="1"/>
    <w:lsdException w:name="heading 6" w:uiPriority="9" w:semiHidden="1" w:unhideWhenUsed="1" w:qFormat="1"/>
    <w:lsdException w:name="Body Text First Indent 2" w:semiHidden="1" w:unhideWhenUsed="1"/>
    <w:lsdException w:name="List Number 4" w:semiHidden="1" w:unhideWhenUsed="1"/>
    <w:lsdException w:name="List Bullet 4" w:semiHidden="1" w:unhideWhenUsed="1"/>
    <w:lsdException w:name="Closing" w:semiHidden="1" w:unhideWhenUsed="1"/>
    <w:lsdException w:name="toa heading" w:semiHidden="1" w:unhideWhenUsed="1"/>
    <w:lsdException w:name="heading 7" w:uiPriority="9" w:semiHidden="1" w:unhideWhenUsed="1" w:qFormat="1"/>
    <w:lsdException w:name="heading 3" w:uiPriority="9" w:semiHidden="1" w:unhideWhenUsed="1" w:qFormat="1"/>
    <w:lsdException w:name="List" w:semiHidden="1" w:unhideWhenUsed="1"/>
    <w:lsdException w:name="List Number" w:semiHidden="1" w:unhideWhenUsed="1"/>
    <w:lsdException w:name="envelope return" w:semiHidden="1" w:unhideWhenUsed="1"/>
    <w:lsdException w:name="heading 8" w:uiPriority="9" w:semiHidden="1" w:unhideWhenUsed="1" w:qFormat="1"/>
    <w:lsdException w:name="toc 7" w:uiPriority="39" w:semiHidden="1" w:unhideWhenUsed="1"/>
    <w:lsdException w:name="Message Header" w:semiHidden="1" w:unhideWhenUsed="1"/>
    <w:lsdException w:name="Body Text Indent 3" w:semiHidden="1" w:unhideWhenUsed="1"/>
  </w:latentStyles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4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2026-10-21T08:22:36Z</dcterms:created>
  <dcterms:modified xsi:type="dcterms:W3CDTF">2026-10-21T08:22:36Z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"01a15bce9f1c706a9c490b8410a4be37", "ReservedCode1": "", "ContentPropagator": "00119111010856365494821B355", "PropagateID": "01a15bce9f1c706a9c490b8410a4be37", "ReservedCode2": ""}}</vt:lpwstr>
  </property>
</Properties>
</file>