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480" w:after="120" w:line="360" w:lineRule="auto"/>
        <w:ind w:left="425" w:firstLine="0" w:firstLineChars="0"/>
        <w:jc w:val="center"/>
        <w:outlineLvl w:val="0"/>
        <w:rPr>
          <w:rFonts w:ascii="宋体" w:hAnsi="宋体"/>
          <w:b/>
          <w:bCs/>
          <w:sz w:val="28"/>
          <w:szCs w:val="28"/>
        </w:rPr>
      </w:pPr>
      <w:bookmarkStart w:id="0" w:name="_Toc54189443"/>
      <w:bookmarkStart w:id="1" w:name="_Toc52209448"/>
      <w:r>
        <w:rPr>
          <w:rFonts w:hint="eastAsia" w:ascii="宋体" w:hAnsi="宋体"/>
          <w:b/>
          <w:bCs/>
          <w:sz w:val="28"/>
          <w:szCs w:val="28"/>
        </w:rPr>
        <w:t>一、</w:t>
      </w:r>
      <w:bookmarkEnd w:id="0"/>
      <w:r>
        <w:rPr>
          <w:rFonts w:hint="eastAsia" w:ascii="宋体" w:hAnsi="宋体"/>
          <w:b/>
          <w:bCs/>
          <w:sz w:val="28"/>
          <w:szCs w:val="28"/>
        </w:rPr>
        <w:t>课题综述</w:t>
      </w:r>
    </w:p>
    <w:bookmarkEnd w:id="1"/>
    <w:p>
      <w:pPr>
        <w:pStyle w:val="15"/>
        <w:numPr>
          <w:ilvl w:val="1"/>
          <w:numId w:val="2"/>
        </w:numPr>
        <w:spacing w:before="120" w:after="120" w:line="360" w:lineRule="auto"/>
        <w:ind w:firstLineChars="0"/>
        <w:outlineLvl w:val="1"/>
        <w:rPr>
          <w:b/>
          <w:bCs/>
          <w:sz w:val="24"/>
        </w:rPr>
      </w:pPr>
      <w:bookmarkStart w:id="2" w:name="_Hlk120051760"/>
      <w:r>
        <w:rPr>
          <w:rFonts w:hint="eastAsia"/>
          <w:b/>
          <w:bCs/>
          <w:sz w:val="24"/>
        </w:rPr>
        <w:t>课题说明</w:t>
      </w:r>
    </w:p>
    <w:p>
      <w:pPr>
        <w:bidi w:val="0"/>
      </w:pPr>
      <w:r>
        <w:rPr>
          <w:rFonts w:hint="eastAsia"/>
          <w:lang w:val="en-US" w:eastAsia="zh-CN"/>
        </w:rPr>
        <w:t>小组成员：</w:t>
      </w:r>
      <w:r>
        <w:t>何诗锟</w:t>
      </w:r>
      <w:r>
        <w:rPr>
          <w:rFonts w:hint="eastAsia"/>
          <w:lang w:eastAsia="zh-CN"/>
        </w:rPr>
        <w:t>、</w:t>
      </w:r>
      <w:r>
        <w:rPr>
          <w:rFonts w:hint="default"/>
        </w:rPr>
        <w:t>刘子牛</w:t>
      </w:r>
      <w:r>
        <w:rPr>
          <w:rFonts w:hint="eastAsia"/>
          <w:lang w:eastAsia="zh-CN"/>
        </w:rPr>
        <w:t>、</w:t>
      </w:r>
      <w:r>
        <w:rPr>
          <w:rFonts w:hint="default"/>
        </w:rPr>
        <w:t>彭坤宇</w:t>
      </w:r>
      <w:r>
        <w:rPr>
          <w:rFonts w:hint="eastAsia"/>
          <w:lang w:eastAsia="zh-CN"/>
        </w:rPr>
        <w:t>、</w:t>
      </w:r>
      <w:r>
        <w:rPr>
          <w:rFonts w:hint="default"/>
        </w:rPr>
        <w:t>张祖豪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任务划分：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-Data Prepare：</w:t>
      </w:r>
    </w:p>
    <w:p>
      <w:pPr>
        <w:bidi w:val="0"/>
      </w:pPr>
      <w:r>
        <w:rPr>
          <w:rFonts w:hint="eastAsia"/>
          <w:lang w:val="en-US" w:eastAsia="zh-CN"/>
        </w:rPr>
        <w:t>-Data Preprocess：</w:t>
      </w:r>
      <w:bookmarkStart w:id="3" w:name="_GoBack"/>
      <w:bookmarkEnd w:id="3"/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-Model Construct：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-Train &amp; Test：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-Plot Result：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-Optimize &amp; Review：张祖豪</w:t>
      </w:r>
    </w:p>
    <w:bookmarkEnd w:id="2"/>
    <w:p>
      <w:pPr>
        <w:pStyle w:val="15"/>
        <w:numPr>
          <w:ilvl w:val="1"/>
          <w:numId w:val="2"/>
        </w:numPr>
        <w:spacing w:before="120" w:after="120" w:line="360" w:lineRule="auto"/>
        <w:ind w:firstLineChars="0"/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课题目标</w:t>
      </w: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本课题</w:t>
      </w:r>
      <w:r>
        <w:rPr>
          <w:rFonts w:hint="eastAsia"/>
          <w:sz w:val="24"/>
          <w:szCs w:val="24"/>
          <w:lang w:val="en-US" w:eastAsia="zh-CN"/>
        </w:rPr>
        <w:t>选取</w:t>
      </w:r>
      <w:r>
        <w:rPr>
          <w:rFonts w:hint="eastAsia"/>
          <w:sz w:val="24"/>
          <w:szCs w:val="24"/>
          <w:lang w:val="en-US" w:eastAsia="zh-CN"/>
        </w:rPr>
        <w:t>abalone和Wine Quality作为数据集，均</w:t>
      </w:r>
      <w:r>
        <w:rPr>
          <w:rFonts w:hint="eastAsia"/>
          <w:sz w:val="24"/>
          <w:szCs w:val="24"/>
        </w:rPr>
        <w:t>来自于</w:t>
      </w:r>
      <w:r>
        <w:rPr>
          <w:rFonts w:hint="eastAsia"/>
          <w:sz w:val="24"/>
          <w:szCs w:val="24"/>
          <w:lang w:val="en-US" w:eastAsia="zh-CN"/>
        </w:rPr>
        <w:t>UCI MACHINE LEARNING，广泛应用于机器学习的教育和实践。数据集abalone用于预测鲍鱼的年龄，Wine Quality用于评估葡萄酒的质量。</w:t>
      </w:r>
    </w:p>
    <w:p>
      <w:pPr>
        <w:spacing w:line="360" w:lineRule="auto"/>
        <w:ind w:firstLine="42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课题的目标为手写实现回归算法模型，利用数据特征标准化、Adam优化以及bp算法对其进行优化，完成基于机器学习的线性回归任务，取得较优的实验结果。并对不同学习率下的损失函数进行讨论，探究学习率对损失函数的影响。</w:t>
      </w:r>
    </w:p>
    <w:p>
      <w:pPr>
        <w:pStyle w:val="15"/>
        <w:numPr>
          <w:ilvl w:val="1"/>
          <w:numId w:val="2"/>
        </w:numPr>
        <w:spacing w:before="120" w:after="120" w:line="360" w:lineRule="auto"/>
        <w:ind w:firstLineChars="0"/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课题数据集</w:t>
      </w: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本课题使用</w:t>
      </w:r>
      <w:r>
        <w:rPr>
          <w:rFonts w:hint="eastAsia"/>
          <w:sz w:val="24"/>
          <w:szCs w:val="24"/>
          <w:lang w:val="en-US" w:eastAsia="zh-CN"/>
        </w:rPr>
        <w:t>abalone和Wine Quality两个</w:t>
      </w:r>
      <w:r>
        <w:rPr>
          <w:rFonts w:hint="eastAsia"/>
          <w:sz w:val="24"/>
          <w:szCs w:val="24"/>
        </w:rPr>
        <w:t>数据集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其中abalone来自UCI Machine Learning Repository（https://archive.ics.uci.edu/dataset/1/abalone），用于预测鲍鱼的年龄，包含</w:t>
      </w:r>
      <w:r>
        <w:rPr>
          <w:rFonts w:hint="eastAsia"/>
          <w:sz w:val="24"/>
          <w:szCs w:val="24"/>
        </w:rPr>
        <w:t>Sex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default"/>
          <w:sz w:val="24"/>
          <w:szCs w:val="24"/>
        </w:rPr>
        <w:t>Length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default"/>
          <w:sz w:val="24"/>
          <w:szCs w:val="24"/>
        </w:rPr>
        <w:t>Diam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default"/>
          <w:sz w:val="24"/>
          <w:szCs w:val="24"/>
        </w:rPr>
        <w:t>Height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default"/>
          <w:sz w:val="24"/>
          <w:szCs w:val="24"/>
        </w:rPr>
        <w:t>Whole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default"/>
          <w:sz w:val="24"/>
          <w:szCs w:val="24"/>
        </w:rPr>
        <w:t>Shucked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default"/>
          <w:sz w:val="24"/>
          <w:szCs w:val="24"/>
        </w:rPr>
        <w:t>Viscerat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default"/>
          <w:sz w:val="24"/>
          <w:szCs w:val="24"/>
        </w:rPr>
        <w:t>Shell</w:t>
      </w:r>
      <w:r>
        <w:rPr>
          <w:rFonts w:hint="eastAsia"/>
          <w:sz w:val="24"/>
          <w:szCs w:val="24"/>
          <w:lang w:val="en-US" w:eastAsia="zh-CN"/>
        </w:rPr>
        <w:t xml:space="preserve"> 共8个特征。目标变量为Rings，可作为年龄的判断标准。</w:t>
      </w: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Wine Quality同样来自UCI Machine Learning Repository（https://archive.ics.uci.edu/dataset/186/wine+quality），用于评估葡萄酒的质量。包含了红葡萄酒和白葡萄酒的11个特征：</w:t>
      </w:r>
      <w:r>
        <w:rPr>
          <w:rFonts w:hint="eastAsia"/>
          <w:sz w:val="24"/>
          <w:szCs w:val="24"/>
        </w:rPr>
        <w:t>Fixed Acidity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default"/>
          <w:sz w:val="24"/>
          <w:szCs w:val="24"/>
        </w:rPr>
        <w:t>Volatile Acidity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default"/>
          <w:sz w:val="24"/>
          <w:szCs w:val="24"/>
        </w:rPr>
        <w:t>Citric Acid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default"/>
          <w:sz w:val="24"/>
          <w:szCs w:val="24"/>
        </w:rPr>
        <w:t>Residual Sugar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default"/>
          <w:sz w:val="24"/>
          <w:szCs w:val="24"/>
        </w:rPr>
        <w:t>ChloridesFree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default"/>
          <w:sz w:val="24"/>
          <w:szCs w:val="24"/>
        </w:rPr>
        <w:t xml:space="preserve"> Sulfur Dioxide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default"/>
          <w:sz w:val="24"/>
          <w:szCs w:val="24"/>
        </w:rPr>
        <w:t>Total Sulfur Dioxide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default"/>
          <w:sz w:val="24"/>
          <w:szCs w:val="24"/>
        </w:rPr>
        <w:t>Density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default"/>
          <w:sz w:val="24"/>
          <w:szCs w:val="24"/>
        </w:rPr>
        <w:t>pH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default"/>
          <w:sz w:val="24"/>
          <w:szCs w:val="24"/>
        </w:rPr>
        <w:t>Sulphates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default"/>
          <w:sz w:val="24"/>
          <w:szCs w:val="24"/>
        </w:rPr>
        <w:t>Alcohol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目标变量为Quality，以整数值表示，取值范围从3到9，其中较高的评分表示更高质量的葡萄酒。</w:t>
      </w: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15"/>
        <w:spacing w:before="480" w:after="120" w:line="360" w:lineRule="auto"/>
        <w:ind w:left="425" w:firstLine="0" w:firstLineChars="0"/>
        <w:jc w:val="center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二、实验报告设计</w:t>
      </w:r>
    </w:p>
    <w:p>
      <w:pPr>
        <w:pStyle w:val="15"/>
        <w:numPr>
          <w:ilvl w:val="0"/>
          <w:numId w:val="3"/>
        </w:numPr>
        <w:spacing w:before="120" w:after="120" w:line="360" w:lineRule="auto"/>
        <w:ind w:firstLineChars="0"/>
        <w:outlineLvl w:val="1"/>
        <w:rPr>
          <w:b/>
          <w:bCs/>
          <w:vanish/>
          <w:sz w:val="24"/>
        </w:rPr>
      </w:pPr>
    </w:p>
    <w:p>
      <w:pPr>
        <w:pStyle w:val="15"/>
        <w:numPr>
          <w:ilvl w:val="0"/>
          <w:numId w:val="3"/>
        </w:numPr>
        <w:spacing w:before="120" w:after="120" w:line="360" w:lineRule="auto"/>
        <w:ind w:firstLineChars="0"/>
        <w:outlineLvl w:val="1"/>
        <w:rPr>
          <w:b/>
          <w:bCs/>
          <w:vanish/>
          <w:sz w:val="24"/>
        </w:rPr>
      </w:pPr>
    </w:p>
    <w:p>
      <w:pPr>
        <w:pStyle w:val="15"/>
        <w:numPr>
          <w:ilvl w:val="1"/>
          <w:numId w:val="3"/>
        </w:numPr>
        <w:spacing w:before="120" w:after="120" w:line="360" w:lineRule="auto"/>
        <w:ind w:firstLineChars="0"/>
        <w:outlineLvl w:val="1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</w:rPr>
        <w:t>数据准备</w:t>
      </w:r>
    </w:p>
    <w:p>
      <w:pPr>
        <w:spacing w:line="360" w:lineRule="auto"/>
        <w:ind w:firstLine="420"/>
        <w:jc w:val="left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经过充分的调研，最终决定选取abalone，Wine Quality两个经典的用于回归任务的数据集。数据集均来源于UCI Machine Learning Repository，充分尊重其引用要求。</w:t>
      </w:r>
    </w:p>
    <w:p>
      <w:pPr>
        <w:pStyle w:val="15"/>
        <w:numPr>
          <w:ilvl w:val="1"/>
          <w:numId w:val="3"/>
        </w:numPr>
        <w:spacing w:before="120" w:after="120" w:line="360" w:lineRule="auto"/>
        <w:ind w:firstLineChars="0"/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数据预处理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·从文件中读取数据：读取方式为</w:t>
      </w:r>
      <w:r>
        <w:rPr>
          <w:lang w:val="en-US" w:eastAsia="zh-CN"/>
        </w:rPr>
        <w:t>使用 Python 的 argparse</w:t>
      </w:r>
      <w:r>
        <w:rPr>
          <w:rFonts w:hint="default"/>
          <w:lang w:val="en-US" w:eastAsia="zh-CN"/>
        </w:rPr>
        <w:t xml:space="preserve"> 库来解析命令行参数</w:t>
      </w:r>
      <w:r>
        <w:rPr>
          <w:rFonts w:hint="eastAsia"/>
          <w:lang w:val="en-US" w:eastAsia="zh-CN"/>
        </w:rPr>
        <w:t>，默认值为</w:t>
      </w:r>
      <w:r>
        <w:rPr>
          <w:rFonts w:hint="default"/>
          <w:lang w:val="en-US" w:eastAsia="zh-CN"/>
        </w:rPr>
        <w:t>abalone.data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lang w:val="en-US" w:eastAsia="zh-CN"/>
        </w:rPr>
        <w:t>将数据集中的类别标签转换为数值标签</w:t>
      </w:r>
      <w:r>
        <w:rPr>
          <w:rFonts w:hint="eastAsia"/>
          <w:lang w:val="en-US" w:eastAsia="zh-CN"/>
        </w:rPr>
        <w:t>：</w:t>
      </w:r>
      <w:r>
        <w:rPr>
          <w:rFonts w:hint="eastAsia"/>
          <w:szCs w:val="24"/>
          <w:lang w:val="en-US" w:eastAsia="zh-CN"/>
        </w:rPr>
        <w:t>abalone数据集中性别特征值取值为</w:t>
      </w:r>
      <w:r>
        <w:rPr>
          <w:rFonts w:hint="eastAsia"/>
          <w:lang w:val="en-US" w:eastAsia="zh-CN"/>
        </w:rPr>
        <w:t>‘M’、‘F’、‘I’，为便于后续回归的实现，将其分别转换为数值0、1、2。</w:t>
      </w:r>
    </w:p>
    <w:p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·</w:t>
      </w:r>
      <w:r>
        <w:rPr>
          <w:lang w:val="en-US" w:eastAsia="zh-CN"/>
        </w:rPr>
        <w:t>将数据集分为自变量（特征，x）和因变量（目标，y）</w:t>
      </w:r>
      <w:r>
        <w:rPr>
          <w:rFonts w:hint="eastAsia"/>
          <w:lang w:val="en-US" w:eastAsia="zh-CN"/>
        </w:rPr>
        <w:t>：借助</w:t>
      </w:r>
      <w:r>
        <w:rPr>
          <w:rFonts w:hint="default"/>
          <w:lang w:val="en-US" w:eastAsia="zh-CN"/>
        </w:rPr>
        <w:t>train_test_split</w:t>
      </w:r>
      <w:r>
        <w:rPr>
          <w:rFonts w:hint="eastAsia"/>
          <w:lang w:val="en-US" w:eastAsia="zh-CN"/>
        </w:rPr>
        <w:t>函数完成测试集和训练集的划分。</w:t>
      </w:r>
    </w:p>
    <w:p>
      <w:pPr>
        <w:bidi w:val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·标准化：</w:t>
      </w:r>
      <w:r>
        <w:rPr>
          <w:lang w:val="en-US" w:eastAsia="zh-CN"/>
        </w:rPr>
        <w:t>使用标准化（StandardScaler）对特征进行标准化，以确保它们具有相同的尺度</w:t>
      </w:r>
      <w:r>
        <w:rPr>
          <w:rFonts w:hint="eastAsia"/>
          <w:lang w:val="en-US" w:eastAsia="zh-CN"/>
        </w:rPr>
        <w:t>，加速梯度下降的过程，使模型权重更具可解释性，降低特征的量纲影响，防止数值的不稳定性，同时提高模型的泛化能力。</w:t>
      </w:r>
    </w:p>
    <w:p>
      <w:pPr>
        <w:pStyle w:val="15"/>
        <w:numPr>
          <w:ilvl w:val="1"/>
          <w:numId w:val="3"/>
        </w:numPr>
        <w:spacing w:before="120" w:after="120" w:line="360" w:lineRule="auto"/>
        <w:ind w:firstLineChars="0"/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模型搭建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本次实</w:t>
      </w:r>
      <w:r>
        <w:rPr>
          <w:rFonts w:hint="eastAsia"/>
          <w:lang w:val="en-US" w:eastAsia="zh-CN"/>
        </w:rPr>
        <w:t>验</w:t>
      </w:r>
      <w:r>
        <w:rPr>
          <w:lang w:val="en-US" w:eastAsia="zh-CN"/>
        </w:rPr>
        <w:t>实现了一个用于回归任务的机器学习模型</w:t>
      </w:r>
      <w:r>
        <w:rPr>
          <w:rFonts w:hint="eastAsia"/>
          <w:lang w:val="en-US"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构建和训练一神经网络模型，支持反向传播和参数优化。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bp过程：</w:t>
      </w:r>
    </w:p>
    <w:p>
      <w:pPr>
        <w:numPr>
          <w:numId w:val="0"/>
        </w:numPr>
        <w:bidi w:val="0"/>
        <w:ind w:leftChars="200"/>
      </w:pPr>
      <w:r>
        <w:rPr>
          <w:rFonts w:hint="eastAsia"/>
          <w:lang w:val="en-US" w:eastAsia="zh-CN"/>
        </w:rPr>
        <w:t>·</w:t>
      </w:r>
      <w:r>
        <w:t>前向传播（Forward Propagation）</w:t>
      </w:r>
      <w:r>
        <w:rPr>
          <w:rFonts w:hint="default"/>
        </w:rPr>
        <w:t xml:space="preserve">：在前向传播阶段，通过调用每个层节点的 </w:t>
      </w:r>
      <w:r>
        <w:t>_forward</w:t>
      </w:r>
      <w:r>
        <w:rPr>
          <w:rFonts w:hint="default"/>
        </w:rPr>
        <w:t xml:space="preserve"> 方法，从输入节点开始，逐步计算神经网络的输出。_forward 方法的输出作为下一个层节点的输入，沿着计算图向前传播，直到计算出模型的预测值和损失值。</w:t>
      </w:r>
    </w:p>
    <w:p>
      <w:pPr>
        <w:numPr>
          <w:numId w:val="0"/>
        </w:numPr>
        <w:bidi w:val="0"/>
        <w:ind w:leftChars="200"/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损失计算：在前向传播的最后，通过计算损失函数（例如，均方损失或softmax损失）来评估模型的性能。</w:t>
      </w:r>
    </w:p>
    <w:p>
      <w:pPr>
        <w:numPr>
          <w:numId w:val="0"/>
        </w:numPr>
        <w:bidi w:val="0"/>
        <w:ind w:leftChars="200"/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反向传播：反向传播是通过计算图中节点的反向传递梯度来实现的。首先，初始化梯度为1.0，从损失节点开始反向传播。对于每个节点，调用其 _backward 方法，该方法接收梯度并计算相对于输入的梯度。这些梯度通过链式法则传播回每个节点的父节点，以计算它们的梯度。最终，梯度被传播回模型的参数节点（常量节点），从而可以更新这些参数以最小化损失。</w:t>
      </w:r>
    </w:p>
    <w:p>
      <w:pPr>
        <w:numPr>
          <w:numId w:val="0"/>
        </w:numPr>
        <w:bidi w:val="0"/>
        <w:ind w:leftChars="200"/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参数更新：在梯度计算完成后，可以使用梯度下降等优化算法来更新模型的参数。在</w:t>
      </w:r>
      <w:r>
        <w:rPr>
          <w:rFonts w:hint="eastAsia"/>
          <w:lang w:val="en-US" w:eastAsia="zh-CN"/>
        </w:rPr>
        <w:t>本实验中</w:t>
      </w:r>
      <w:r>
        <w:rPr>
          <w:rFonts w:hint="default"/>
        </w:rPr>
        <w:t>中，</w:t>
      </w:r>
      <w:r>
        <w:rPr>
          <w:rFonts w:hint="eastAsia"/>
          <w:lang w:val="en-US" w:eastAsia="zh-CN"/>
        </w:rPr>
        <w:t>利用</w:t>
      </w:r>
      <w:r>
        <w:rPr>
          <w:rFonts w:hint="default"/>
        </w:rPr>
        <w:t>Adam优化算法更新参数。这是一种基于梯度的优化算法，具有动态学习率。</w:t>
      </w:r>
    </w:p>
    <w:p>
      <w:pPr>
        <w:numPr>
          <w:numId w:val="0"/>
        </w:num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Adam优化：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am是一种基于梯度的优化算法，结合了动量和自适应学习率的概念，主要优点是它自适应学习率，并且能够在训练过程中有效地调整学习率，因此适用于不同参数的更新速度不同的情况。它结合了动量项和二阶动量项，使得在训练初期可以快速收敛，并在接近最优解时更加稳定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过程：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初始化参数：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初始化模型参数，包括权重和偏置。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初始化两个动量变量m（一阶动量）和v（二阶动量）为零。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初始化时间步数t为1。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计算梯度：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对于每个训练批次，计算损失函数对于模型参数的梯度。通过反向传播来实现。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更新动量：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计算一阶动量m和二阶动量v的估计值：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- 更新一阶动量m：  </w:t>
      </w:r>
    </w:p>
    <w:p>
      <w:pPr>
        <w:bidi w:val="0"/>
        <w:rPr>
          <w:rFonts w:hint="default" w:hAnsi="DejaVu Math TeX Gyre" w:eastAsia="宋体" w:cs="Times New Roman"/>
          <w:i w:val="0"/>
          <w:kern w:val="2"/>
          <w:sz w:val="24"/>
          <w:szCs w:val="20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DejaVu Math TeX Gyre" w:hAnsi="DejaVu Math TeX Gyre" w:eastAsia="宋体" w:cs="Times New Roman"/>
              <w:kern w:val="2"/>
              <w:sz w:val="24"/>
              <w:szCs w:val="20"/>
              <w:lang w:val="en-US" w:eastAsia="zh-CN" w:bidi="ar-SA"/>
            </w:rPr>
            <m:t xml:space="preserve">m= </m:t>
          </m:r>
          <m:sSub>
            <m:sSubPr>
              <m:ctrlPr>
                <m:rPr/>
                <w:rPr>
                  <w:rFonts w:ascii="DejaVu Math TeX Gyre" w:hAnsi="DejaVu Math TeX Gyre" w:cs="Times New Roman"/>
                  <w:kern w:val="2"/>
                  <w:sz w:val="24"/>
                  <w:szCs w:val="20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DejaVu Math TeX Gyre" w:hAnsi="DejaVu Math TeX Gyre" w:cs="Times New Roman"/>
                  <w:kern w:val="2"/>
                  <w:sz w:val="24"/>
                  <w:szCs w:val="20"/>
                  <w:lang w:val="en-US" w:bidi="ar-SA"/>
                </w:rPr>
                <m:t>β</m:t>
              </m:r>
              <m:ctrlPr>
                <m:rPr/>
                <w:rPr>
                  <w:rFonts w:ascii="DejaVu Math TeX Gyre" w:hAnsi="DejaVu Math TeX Gyre" w:cs="Times New Roman"/>
                  <w:kern w:val="2"/>
                  <w:sz w:val="24"/>
                  <w:szCs w:val="20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kern w:val="2"/>
                  <w:sz w:val="24"/>
                  <w:szCs w:val="20"/>
                  <w:lang w:val="en-US" w:eastAsia="zh-CN" w:bidi="ar-SA"/>
                </w:rPr>
                <m:t>1</m:t>
              </m:r>
              <m:ctrlPr>
                <m:rPr/>
                <w:rPr>
                  <w:rFonts w:ascii="DejaVu Math TeX Gyre" w:hAnsi="DejaVu Math TeX Gyre" w:cs="Times New Roman"/>
                  <w:kern w:val="2"/>
                  <w:sz w:val="24"/>
                  <w:szCs w:val="20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eastAsia="宋体" w:cs="Times New Roman"/>
              <w:kern w:val="2"/>
              <w:sz w:val="24"/>
              <w:szCs w:val="20"/>
              <w:lang w:val="en-US" w:eastAsia="zh-CN" w:bidi="ar-SA"/>
            </w:rPr>
            <m:t xml:space="preserve"> *m+(1-</m:t>
          </m:r>
          <m:sSub>
            <m:sSubPr>
              <m:ctrlPr>
                <w:rPr>
                  <w:rFonts w:hint="eastAsia" w:ascii="DejaVu Math TeX Gyre" w:hAnsi="DejaVu Math TeX Gyre" w:eastAsia="宋体" w:cs="Times New Roman"/>
                  <w:kern w:val="2"/>
                  <w:sz w:val="24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DejaVu Math TeX Gyre" w:hAnsi="DejaVu Math TeX Gyre" w:cs="Times New Roman"/>
                  <w:kern w:val="2"/>
                  <w:sz w:val="24"/>
                  <w:szCs w:val="20"/>
                  <w:lang w:val="en-US" w:bidi="ar-SA"/>
                </w:rPr>
                <m:t>β</m:t>
              </m:r>
              <m:ctrlPr>
                <w:rPr>
                  <w:rFonts w:hint="eastAsia" w:ascii="DejaVu Math TeX Gyre" w:hAnsi="DejaVu Math TeX Gyre" w:eastAsia="宋体" w:cs="Times New Roman"/>
                  <w:kern w:val="2"/>
                  <w:sz w:val="24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kern w:val="2"/>
                  <w:sz w:val="24"/>
                  <w:szCs w:val="20"/>
                  <w:lang w:val="en-US" w:eastAsia="zh-CN" w:bidi="ar-SA"/>
                </w:rPr>
                <m:t>1</m:t>
              </m:r>
              <m:ctrlPr>
                <w:rPr>
                  <w:rFonts w:hint="eastAsia" w:ascii="DejaVu Math TeX Gyre" w:hAnsi="DejaVu Math TeX Gyre" w:eastAsia="宋体" w:cs="Times New Roman"/>
                  <w:kern w:val="2"/>
                  <w:sz w:val="24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eastAsia="宋体" w:cs="Times New Roman"/>
              <w:kern w:val="2"/>
              <w:sz w:val="24"/>
              <w:szCs w:val="20"/>
              <w:lang w:val="en-US" w:eastAsia="zh-CN" w:bidi="ar-SA"/>
            </w:rPr>
            <m:t>)*梯度</m:t>
          </m:r>
        </m:oMath>
      </m:oMathPara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- 更新二阶动量v：  </w:t>
      </w:r>
    </w:p>
    <w:p>
      <w:pPr>
        <w:bidi w:val="0"/>
        <w:rPr>
          <w:rFonts w:hint="default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DejaVu Math TeX Gyre" w:hAnsi="DejaVu Math TeX Gyre" w:cs="Times New Roman"/>
              <w:kern w:val="2"/>
              <w:sz w:val="24"/>
              <w:szCs w:val="20"/>
              <w:lang w:val="en-US" w:eastAsia="zh-CN" w:bidi="ar-SA"/>
            </w:rPr>
            <m:t>v</m:t>
          </m:r>
          <m:r>
            <m:rPr>
              <m:sty m:val="p"/>
            </m:rPr>
            <w:rPr>
              <w:rFonts w:hint="eastAsia" w:ascii="DejaVu Math TeX Gyre" w:hAnsi="DejaVu Math TeX Gyre" w:eastAsia="宋体" w:cs="Times New Roman"/>
              <w:kern w:val="2"/>
              <w:sz w:val="24"/>
              <w:szCs w:val="20"/>
              <w:lang w:val="en-US" w:eastAsia="zh-CN" w:bidi="ar-SA"/>
            </w:rPr>
            <m:t xml:space="preserve">= </m:t>
          </m:r>
          <m:sSub>
            <m:sSubPr>
              <m:ctrlPr>
                <w:rPr>
                  <w:rFonts w:ascii="DejaVu Math TeX Gyre" w:hAnsi="DejaVu Math TeX Gyre" w:cs="Times New Roman"/>
                  <w:kern w:val="2"/>
                  <w:sz w:val="24"/>
                  <w:szCs w:val="20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DejaVu Math TeX Gyre" w:hAnsi="DejaVu Math TeX Gyre" w:cs="Times New Roman"/>
                  <w:kern w:val="2"/>
                  <w:sz w:val="24"/>
                  <w:szCs w:val="20"/>
                  <w:lang w:val="en-US" w:bidi="ar-SA"/>
                </w:rPr>
                <m:t>β</m:t>
              </m:r>
              <m:ctrlPr>
                <w:rPr>
                  <w:rFonts w:ascii="DejaVu Math TeX Gyre" w:hAnsi="DejaVu Math TeX Gyre" w:cs="Times New Roman"/>
                  <w:kern w:val="2"/>
                  <w:sz w:val="24"/>
                  <w:szCs w:val="20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kern w:val="2"/>
                  <w:sz w:val="24"/>
                  <w:szCs w:val="20"/>
                  <w:lang w:val="en-US" w:eastAsia="zh-CN" w:bidi="ar-SA"/>
                </w:rPr>
                <m:t>2</m:t>
              </m:r>
              <m:ctrlPr>
                <w:rPr>
                  <w:rFonts w:ascii="DejaVu Math TeX Gyre" w:hAnsi="DejaVu Math TeX Gyre" w:cs="Times New Roman"/>
                  <w:kern w:val="2"/>
                  <w:sz w:val="24"/>
                  <w:szCs w:val="20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eastAsia="宋体" w:cs="Times New Roman"/>
              <w:kern w:val="2"/>
              <w:sz w:val="24"/>
              <w:szCs w:val="20"/>
              <w:lang w:val="en-US" w:eastAsia="zh-CN" w:bidi="ar-SA"/>
            </w:rPr>
            <m:t xml:space="preserve"> ∗</m:t>
          </m:r>
          <m:r>
            <m:rPr>
              <m:sty m:val="p"/>
            </m:rPr>
            <w:rPr>
              <w:rFonts w:hint="eastAsia" w:ascii="DejaVu Math TeX Gyre" w:hAnsi="DejaVu Math TeX Gyre" w:cs="Times New Roman"/>
              <w:kern w:val="2"/>
              <w:sz w:val="24"/>
              <w:szCs w:val="20"/>
              <w:lang w:val="en-US" w:eastAsia="zh-CN" w:bidi="ar-SA"/>
            </w:rPr>
            <m:t>v</m:t>
          </m:r>
          <m:r>
            <m:rPr>
              <m:sty m:val="p"/>
            </m:rPr>
            <w:rPr>
              <w:rFonts w:hint="eastAsia" w:ascii="DejaVu Math TeX Gyre" w:hAnsi="DejaVu Math TeX Gyre" w:eastAsia="宋体" w:cs="Times New Roman"/>
              <w:kern w:val="2"/>
              <w:sz w:val="24"/>
              <w:szCs w:val="20"/>
              <w:lang w:val="en-US" w:eastAsia="zh-CN" w:bidi="ar-SA"/>
            </w:rPr>
            <m:t>+(1−</m:t>
          </m:r>
          <m:sSub>
            <m:sSubPr>
              <m:ctrlPr>
                <w:rPr>
                  <w:rFonts w:hint="eastAsia" w:ascii="DejaVu Math TeX Gyre" w:hAnsi="DejaVu Math TeX Gyre" w:eastAsia="宋体" w:cs="Times New Roman"/>
                  <w:kern w:val="2"/>
                  <w:sz w:val="24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DejaVu Math TeX Gyre" w:hAnsi="DejaVu Math TeX Gyre" w:cs="Times New Roman"/>
                  <w:kern w:val="2"/>
                  <w:sz w:val="24"/>
                  <w:szCs w:val="20"/>
                  <w:lang w:val="en-US" w:bidi="ar-SA"/>
                </w:rPr>
                <m:t>β</m:t>
              </m:r>
              <m:ctrlPr>
                <w:rPr>
                  <w:rFonts w:hint="eastAsia" w:ascii="DejaVu Math TeX Gyre" w:hAnsi="DejaVu Math TeX Gyre" w:eastAsia="宋体" w:cs="Times New Roman"/>
                  <w:kern w:val="2"/>
                  <w:sz w:val="24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kern w:val="2"/>
                  <w:sz w:val="24"/>
                  <w:szCs w:val="20"/>
                  <w:lang w:val="en-US" w:eastAsia="zh-CN" w:bidi="ar-SA"/>
                </w:rPr>
                <m:t>2</m:t>
              </m:r>
              <m:ctrlPr>
                <w:rPr>
                  <w:rFonts w:hint="eastAsia" w:ascii="DejaVu Math TeX Gyre" w:hAnsi="DejaVu Math TeX Gyre" w:eastAsia="宋体" w:cs="Times New Roman"/>
                  <w:kern w:val="2"/>
                  <w:sz w:val="24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eastAsia="宋体" w:cs="Times New Roman"/>
              <w:kern w:val="2"/>
              <w:sz w:val="24"/>
              <w:szCs w:val="20"/>
              <w:lang w:val="en-US" w:eastAsia="zh-CN" w:bidi="ar-SA"/>
            </w:rPr>
            <m:t>)∗</m:t>
          </m:r>
          <m:sSup>
            <m:sSupPr>
              <m:ctrlPr>
                <m:rPr/>
                <w:rPr>
                  <w:rFonts w:hint="eastAsia" w:ascii="DejaVu Math TeX Gyre" w:hAnsi="DejaVu Math TeX Gyre" w:eastAsia="宋体" w:cs="Times New Roman"/>
                  <w:b w:val="0"/>
                  <w:i w:val="0"/>
                  <w:kern w:val="2"/>
                  <w:sz w:val="24"/>
                  <w:szCs w:val="20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DejaVu Math TeX Gyre" w:hAnsi="DejaVu Math TeX Gyre" w:cs="Times New Roman"/>
                  <w:kern w:val="2"/>
                  <w:sz w:val="24"/>
                  <w:szCs w:val="20"/>
                  <w:lang w:val="en-US" w:eastAsia="zh-CN" w:bidi="ar-SA"/>
                </w:rPr>
                <m:t>梯度</m:t>
              </m:r>
              <m:ctrlPr>
                <m:rPr/>
                <w:rPr>
                  <w:rFonts w:hint="eastAsia" w:ascii="DejaVu Math TeX Gyre" w:hAnsi="DejaVu Math TeX Gyre" w:eastAsia="宋体" w:cs="Times New Roman"/>
                  <w:b w:val="0"/>
                  <w:i w:val="0"/>
                  <w:kern w:val="2"/>
                  <w:sz w:val="24"/>
                  <w:szCs w:val="20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kern w:val="2"/>
                  <w:sz w:val="24"/>
                  <w:szCs w:val="20"/>
                  <w:lang w:val="en-US" w:eastAsia="zh-CN" w:bidi="ar-SA"/>
                </w:rPr>
                <m:t>2</m:t>
              </m:r>
              <m:ctrlPr>
                <m:rPr/>
                <w:rPr>
                  <w:rFonts w:hint="eastAsia" w:ascii="DejaVu Math TeX Gyre" w:hAnsi="DejaVu Math TeX Gyre" w:eastAsia="宋体" w:cs="Times New Roman"/>
                  <w:b w:val="0"/>
                  <w:i w:val="0"/>
                  <w:kern w:val="2"/>
                  <w:sz w:val="24"/>
                  <w:szCs w:val="20"/>
                  <w:lang w:val="en-US" w:eastAsia="zh-CN" w:bidi="ar-SA"/>
                </w:rPr>
              </m:ctrlPr>
            </m:sup>
          </m:sSup>
        </m:oMath>
      </m:oMathPara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这里的梯度²表示每个元素的平方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修正偏差：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由于m和v在初始时被初始化为零，它们会有偏差。为了减轻这种偏差，需要对它们进行修正：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- 修正一阶动量m： </w:t>
      </w:r>
    </w:p>
    <w:p>
      <w:pPr>
        <w:bidi w:val="0"/>
        <w:jc w:val="center"/>
        <w:rPr>
          <w:rFonts w:hint="default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="Times New Roman"/>
              <w:kern w:val="2"/>
              <w:sz w:val="24"/>
              <w:szCs w:val="20"/>
              <w:lang w:val="en-US" w:eastAsia="zh-CN" w:bidi="ar-SA"/>
            </w:rPr>
            <m:t>m`=m/(1−</m:t>
          </m:r>
          <m:sSubSup>
            <m:sSubSupPr>
              <m:ctrlPr>
                <m:rPr/>
                <w:rPr>
                  <w:rFonts w:hint="default" w:ascii="DejaVu Math TeX Gyre" w:hAnsi="DejaVu Math TeX Gyre" w:cs="Times New Roman"/>
                  <w:kern w:val="2"/>
                  <w:sz w:val="24"/>
                  <w:szCs w:val="20"/>
                  <w:lang w:val="en-US" w:eastAsia="zh-CN" w:bidi="ar-SA"/>
                </w:rPr>
              </m:ctrlPr>
            </m:sSubSupPr>
            <m:e>
              <m:r>
                <m:rPr>
                  <m:sty m:val="p"/>
                </m:rPr>
                <w:rPr>
                  <w:rFonts w:ascii="DejaVu Math TeX Gyre" w:hAnsi="DejaVu Math TeX Gyre" w:cs="Times New Roman"/>
                  <w:kern w:val="2"/>
                  <w:sz w:val="24"/>
                  <w:szCs w:val="20"/>
                  <w:lang w:val="en-US" w:bidi="ar-SA"/>
                </w:rPr>
                <m:t>β</m:t>
              </m:r>
              <m:ctrlPr>
                <m:rPr/>
                <w:rPr>
                  <w:rFonts w:hint="default" w:ascii="DejaVu Math TeX Gyre" w:hAnsi="DejaVu Math TeX Gyre" w:cs="Times New Roman"/>
                  <w:kern w:val="2"/>
                  <w:sz w:val="24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kern w:val="2"/>
                  <w:sz w:val="24"/>
                  <w:szCs w:val="20"/>
                  <w:lang w:val="en-US" w:eastAsia="zh-CN" w:bidi="ar-SA"/>
                </w:rPr>
                <m:t>1</m:t>
              </m:r>
              <m:ctrlPr>
                <m:rPr/>
                <w:rPr>
                  <w:rFonts w:hint="default" w:ascii="DejaVu Math TeX Gyre" w:hAnsi="DejaVu Math TeX Gyre" w:cs="Times New Roman"/>
                  <w:kern w:val="2"/>
                  <w:sz w:val="24"/>
                  <w:szCs w:val="20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kern w:val="2"/>
                  <w:sz w:val="24"/>
                  <w:szCs w:val="20"/>
                  <w:lang w:val="en-US" w:eastAsia="zh-CN" w:bidi="ar-SA"/>
                </w:rPr>
                <m:t>t</m:t>
              </m:r>
              <m:ctrlPr>
                <m:rPr/>
                <w:rPr>
                  <w:rFonts w:hint="default" w:ascii="DejaVu Math TeX Gyre" w:hAnsi="DejaVu Math TeX Gyre" w:cs="Times New Roman"/>
                  <w:kern w:val="2"/>
                  <w:sz w:val="24"/>
                  <w:szCs w:val="20"/>
                  <w:lang w:val="en-US" w:eastAsia="zh-CN" w:bidi="ar-SA"/>
                </w:rPr>
              </m:ctrlPr>
            </m:sup>
          </m:sSubSup>
          <m:r>
            <m:rPr>
              <m:sty m:val="p"/>
            </m:rPr>
            <w:rPr>
              <w:rFonts w:hint="default" w:ascii="DejaVu Math TeX Gyre" w:hAnsi="DejaVu Math TeX Gyre" w:cs="Times New Roman"/>
              <w:kern w:val="2"/>
              <w:sz w:val="24"/>
              <w:szCs w:val="20"/>
              <w:lang w:val="en-US" w:eastAsia="zh-CN" w:bidi="ar-SA"/>
            </w:rPr>
            <m:t>)</m:t>
          </m:r>
        </m:oMath>
      </m:oMathPara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- 修正二阶动量v：  </w:t>
      </w:r>
    </w:p>
    <w:p>
      <w:pPr>
        <w:bidi w:val="0"/>
        <w:jc w:val="center"/>
        <w:rPr>
          <w:rFonts w:hint="default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="Times New Roman"/>
              <w:kern w:val="2"/>
              <w:sz w:val="24"/>
              <w:szCs w:val="20"/>
              <w:lang w:val="en-US" w:eastAsia="zh-CN" w:bidi="ar-SA"/>
            </w:rPr>
            <m:t>v`=v/(1−</m:t>
          </m:r>
          <m:sSubSup>
            <m:sSubSupPr>
              <m:ctrlPr>
                <w:rPr>
                  <w:rFonts w:hint="default" w:ascii="DejaVu Math TeX Gyre" w:hAnsi="DejaVu Math TeX Gyre" w:cs="Times New Roman"/>
                  <w:kern w:val="2"/>
                  <w:sz w:val="24"/>
                  <w:szCs w:val="20"/>
                  <w:lang w:val="en-US" w:eastAsia="zh-CN" w:bidi="ar-SA"/>
                </w:rPr>
              </m:ctrlPr>
            </m:sSubSupPr>
            <m:e>
              <m:r>
                <m:rPr>
                  <m:sty m:val="p"/>
                </m:rPr>
                <w:rPr>
                  <w:rFonts w:ascii="DejaVu Math TeX Gyre" w:hAnsi="DejaVu Math TeX Gyre" w:cs="Times New Roman"/>
                  <w:kern w:val="2"/>
                  <w:sz w:val="24"/>
                  <w:szCs w:val="20"/>
                  <w:lang w:val="en-US" w:bidi="ar-SA"/>
                </w:rPr>
                <m:t>β</m:t>
              </m:r>
              <m:ctrlPr>
                <w:rPr>
                  <w:rFonts w:hint="default" w:ascii="DejaVu Math TeX Gyre" w:hAnsi="DejaVu Math TeX Gyre" w:cs="Times New Roman"/>
                  <w:kern w:val="2"/>
                  <w:sz w:val="24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kern w:val="2"/>
                  <w:sz w:val="24"/>
                  <w:szCs w:val="20"/>
                  <w:lang w:val="en-US" w:eastAsia="zh-CN" w:bidi="ar-SA"/>
                </w:rPr>
                <m:t>2</m:t>
              </m:r>
              <m:ctrlPr>
                <w:rPr>
                  <w:rFonts w:hint="default" w:ascii="DejaVu Math TeX Gyre" w:hAnsi="DejaVu Math TeX Gyre" w:cs="Times New Roman"/>
                  <w:kern w:val="2"/>
                  <w:sz w:val="24"/>
                  <w:szCs w:val="20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kern w:val="2"/>
                  <w:sz w:val="24"/>
                  <w:szCs w:val="20"/>
                  <w:lang w:val="en-US" w:eastAsia="zh-CN" w:bidi="ar-SA"/>
                </w:rPr>
                <m:t>t</m:t>
              </m:r>
              <m:ctrlPr>
                <w:rPr>
                  <w:rFonts w:hint="default" w:ascii="DejaVu Math TeX Gyre" w:hAnsi="DejaVu Math TeX Gyre" w:cs="Times New Roman"/>
                  <w:kern w:val="2"/>
                  <w:sz w:val="24"/>
                  <w:szCs w:val="20"/>
                  <w:lang w:val="en-US" w:eastAsia="zh-CN" w:bidi="ar-SA"/>
                </w:rPr>
              </m:ctrlPr>
            </m:sup>
          </m:sSubSup>
          <m:r>
            <m:rPr>
              <m:sty m:val="p"/>
            </m:rPr>
            <w:rPr>
              <w:rFonts w:hint="default" w:ascii="DejaVu Math TeX Gyre" w:hAnsi="DejaVu Math TeX Gyre" w:cs="Times New Roman"/>
              <w:kern w:val="2"/>
              <w:sz w:val="24"/>
              <w:szCs w:val="20"/>
              <w:lang w:val="en-US" w:eastAsia="zh-CN" w:bidi="ar-SA"/>
            </w:rPr>
            <m:t>)</m:t>
          </m:r>
        </m:oMath>
      </m:oMathPara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更新参数：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使用修正后的一阶动量m`和二阶动量v`来更新模型参数：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参数更新：  </w:t>
      </w:r>
    </w:p>
    <w:p>
      <w:pPr>
        <w:bidi w:val="0"/>
        <w:rPr>
          <w:rFonts w:hint="default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DejaVu Math TeX Gyre" w:hAnsi="DejaVu Math TeX Gyre" w:cs="Times New Roman"/>
              <w:kern w:val="2"/>
              <w:sz w:val="24"/>
              <w:szCs w:val="20"/>
              <w:lang w:val="en-US" w:eastAsia="zh-CN" w:bidi="ar-SA"/>
            </w:rPr>
            <m:t>参数</m:t>
          </m:r>
          <m:r>
            <m:rPr>
              <m:sty m:val="p"/>
            </m:rPr>
            <w:rPr>
              <w:rFonts w:hint="default" w:ascii="DejaVu Math TeX Gyre" w:hAnsi="DejaVu Math TeX Gyre" w:cs="Times New Roman"/>
              <w:kern w:val="2"/>
              <w:sz w:val="24"/>
              <w:szCs w:val="20"/>
              <w:lang w:val="en-US" w:eastAsia="zh-CN" w:bidi="ar-SA"/>
            </w:rPr>
            <m:t>=</m:t>
          </m:r>
          <m:r>
            <m:rPr>
              <m:sty m:val="p"/>
            </m:rPr>
            <w:rPr>
              <w:rFonts w:hint="eastAsia" w:ascii="DejaVu Math TeX Gyre" w:hAnsi="DejaVu Math TeX Gyre" w:cs="Times New Roman"/>
              <w:kern w:val="2"/>
              <w:sz w:val="24"/>
              <w:szCs w:val="20"/>
              <w:lang w:val="en-US" w:eastAsia="zh-CN" w:bidi="ar-SA"/>
            </w:rPr>
            <m:t>参数</m:t>
          </m:r>
          <m:r>
            <m:rPr>
              <m:sty m:val="p"/>
            </m:rPr>
            <w:rPr>
              <w:rFonts w:hint="default" w:ascii="DejaVu Math TeX Gyre" w:hAnsi="DejaVu Math TeX Gyre" w:cs="Times New Roman"/>
              <w:kern w:val="2"/>
              <w:sz w:val="24"/>
              <w:szCs w:val="20"/>
              <w:lang w:val="en-US" w:eastAsia="zh-CN" w:bidi="ar-SA"/>
            </w:rPr>
            <m:t>−</m:t>
          </m:r>
          <m:r>
            <m:rPr>
              <m:sty m:val="p"/>
            </m:rPr>
            <w:rPr>
              <w:rFonts w:hint="eastAsia" w:ascii="DejaVu Math TeX Gyre" w:hAnsi="DejaVu Math TeX Gyre" w:cs="Times New Roman"/>
              <w:kern w:val="2"/>
              <w:sz w:val="24"/>
              <w:szCs w:val="20"/>
              <w:lang w:val="en-US" w:eastAsia="zh-CN" w:bidi="ar-SA"/>
            </w:rPr>
            <m:t>学习率</m:t>
          </m:r>
          <m:r>
            <m:rPr>
              <m:sty m:val="p"/>
            </m:rPr>
            <w:rPr>
              <w:rFonts w:hint="default" w:ascii="DejaVu Math TeX Gyre" w:hAnsi="DejaVu Math TeX Gyre" w:cs="Times New Roman"/>
              <w:kern w:val="2"/>
              <w:sz w:val="24"/>
              <w:szCs w:val="20"/>
              <w:lang w:val="en-US" w:eastAsia="zh-CN" w:bidi="ar-SA"/>
            </w:rPr>
            <m:t>∗</m:t>
          </m:r>
          <m:r>
            <m:rPr>
              <m:sty m:val="p"/>
            </m:rPr>
            <w:rPr>
              <w:rFonts w:hint="eastAsia" w:ascii="DejaVu Math TeX Gyre" w:hAnsi="DejaVu Math TeX Gyre" w:cs="Times New Roman"/>
              <w:kern w:val="2"/>
              <w:sz w:val="24"/>
              <w:szCs w:val="20"/>
              <w:lang w:val="en-US" w:eastAsia="zh-CN" w:bidi="ar-SA"/>
            </w:rPr>
            <m:t>m</m:t>
          </m:r>
          <m:r>
            <m:rPr>
              <m:sty m:val="p"/>
            </m:rPr>
            <w:rPr>
              <w:rFonts w:hint="default" w:ascii="DejaVu Math TeX Gyre" w:hAnsi="DejaVu Math TeX Gyre" w:cs="Times New Roman"/>
              <w:kern w:val="2"/>
              <w:sz w:val="24"/>
              <w:szCs w:val="20"/>
              <w:lang w:val="en-US" w:eastAsia="zh-CN" w:bidi="ar-SA"/>
            </w:rPr>
            <m:t>`/(</m:t>
          </m:r>
          <m:rad>
            <m:radPr>
              <m:degHide m:val="1"/>
              <m:ctrlPr>
                <m:rPr/>
                <w:rPr>
                  <w:rFonts w:hint="default" w:ascii="DejaVu Math TeX Gyre" w:hAnsi="DejaVu Math TeX Gyre" w:cs="Times New Roman"/>
                  <w:kern w:val="2"/>
                  <w:sz w:val="24"/>
                  <w:szCs w:val="20"/>
                  <w:lang w:val="en-US" w:eastAsia="zh-CN" w:bidi="ar-SA"/>
                </w:rPr>
              </m:ctrlPr>
            </m:radPr>
            <m:deg>
              <m:ctrlPr>
                <m:rPr/>
                <w:rPr>
                  <w:rFonts w:hint="default" w:ascii="DejaVu Math TeX Gyre" w:hAnsi="DejaVu Math TeX Gyre" w:cs="Times New Roman"/>
                  <w:kern w:val="2"/>
                  <w:sz w:val="24"/>
                  <w:szCs w:val="20"/>
                  <w:lang w:val="en-US" w:eastAsia="zh-CN" w:bidi="ar-SA"/>
                </w:rPr>
              </m:ctrlPr>
            </m:deg>
            <m:e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kern w:val="2"/>
                  <w:sz w:val="24"/>
                  <w:szCs w:val="20"/>
                  <w:lang w:val="en-US" w:eastAsia="zh-CN" w:bidi="ar-SA"/>
                </w:rPr>
                <m:t>v`</m:t>
              </m:r>
              <m:ctrlPr>
                <m:rPr/>
                <w:rPr>
                  <w:rFonts w:hint="default" w:ascii="DejaVu Math TeX Gyre" w:hAnsi="DejaVu Math TeX Gyre" w:cs="Times New Roman"/>
                  <w:kern w:val="2"/>
                  <w:sz w:val="24"/>
                  <w:szCs w:val="20"/>
                  <w:lang w:val="en-US" w:eastAsia="zh-CN" w:bidi="ar-SA"/>
                </w:rPr>
              </m:ctrlPr>
            </m:e>
          </m:rad>
          <m:r>
            <m:rPr>
              <m:sty m:val="p"/>
            </m:rPr>
            <w:rPr>
              <w:rFonts w:hint="default" w:ascii="DejaVu Math TeX Gyre" w:hAnsi="DejaVu Math TeX Gyre" w:cs="Times New Roman"/>
              <w:kern w:val="2"/>
              <w:sz w:val="24"/>
              <w:szCs w:val="20"/>
              <w:lang w:val="en-US" w:eastAsia="zh-CN" w:bidi="ar-SA"/>
            </w:rPr>
            <m:t>+</m:t>
          </m:r>
          <m:r>
            <m:rPr>
              <m:sty m:val="p"/>
            </m:rPr>
            <w:rPr>
              <w:rFonts w:ascii="DejaVu Math TeX Gyre" w:hAnsi="DejaVu Math TeX Gyre" w:cs="Times New Roman"/>
              <w:kern w:val="2"/>
              <w:sz w:val="24"/>
              <w:szCs w:val="20"/>
              <w:lang w:val="en-US" w:bidi="ar-SA"/>
            </w:rPr>
            <m:t>ε</m:t>
          </m:r>
          <m:r>
            <m:rPr>
              <m:sty m:val="p"/>
            </m:rPr>
            <w:rPr>
              <w:rFonts w:hint="default" w:ascii="DejaVu Math TeX Gyre" w:hAnsi="DejaVu Math TeX Gyre" w:cs="Times New Roman"/>
              <w:kern w:val="2"/>
              <w:sz w:val="24"/>
              <w:szCs w:val="20"/>
              <w:lang w:val="en-US" w:eastAsia="zh-CN" w:bidi="ar-SA"/>
            </w:rPr>
            <m:t>)</m:t>
          </m:r>
        </m:oMath>
      </m:oMathPara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其中ε是一个很小的常数，用于防止除以零。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增加时间步数：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将时间步数t增加1，用于下一次迭代。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重复迭代：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重复步骤2到步骤6，直到达到停止条件（达到最大迭代次数或损失足够小）。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002915" cy="4294505"/>
            <wp:effectExtent l="0" t="0" r="19685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2915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pStyle w:val="15"/>
        <w:numPr>
          <w:ilvl w:val="1"/>
          <w:numId w:val="3"/>
        </w:numPr>
        <w:spacing w:before="120" w:after="120" w:line="360" w:lineRule="auto"/>
        <w:ind w:firstLineChars="0"/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模型训练测试</w:t>
      </w: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·</w:t>
      </w:r>
      <w:r>
        <w:rPr>
          <w:rFonts w:hint="eastAsia"/>
          <w:sz w:val="24"/>
          <w:szCs w:val="24"/>
          <w:lang w:val="en-US" w:eastAsia="zh-CN"/>
        </w:rPr>
        <w:t>abalone数据集</w:t>
      </w:r>
    </w:p>
    <w:p>
      <w:pPr>
        <w:spacing w:line="360" w:lineRule="auto"/>
        <w:ind w:firstLine="42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学习率：0.03 </w:t>
      </w:r>
    </w:p>
    <w:p>
      <w:pPr>
        <w:spacing w:line="360" w:lineRule="auto"/>
        <w:ind w:firstLine="420"/>
        <w:jc w:val="left"/>
      </w:pPr>
      <w:r>
        <w:drawing>
          <wp:inline distT="0" distB="0" distL="114300" distR="114300">
            <wp:extent cx="2781300" cy="161925"/>
            <wp:effectExtent l="0" t="0" r="1270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sz w:val="24"/>
          <w:szCs w:val="24"/>
          <w:lang w:val="en-US" w:eastAsia="zh-CN"/>
        </w:rPr>
        <w:t>Wine Quality数据集</w:t>
      </w:r>
    </w:p>
    <w:p>
      <w:pPr>
        <w:spacing w:line="360" w:lineRule="auto"/>
        <w:ind w:firstLine="42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winequalityWhite</w:t>
      </w: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学习率：0.0003</w:t>
      </w:r>
    </w:p>
    <w:p>
      <w:pPr>
        <w:spacing w:line="360" w:lineRule="auto"/>
        <w:ind w:firstLine="420"/>
        <w:jc w:val="left"/>
      </w:pPr>
      <w:r>
        <w:drawing>
          <wp:inline distT="0" distB="0" distL="114300" distR="114300">
            <wp:extent cx="3467100" cy="133350"/>
            <wp:effectExtent l="0" t="0" r="1270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winequalityRed</w:t>
      </w: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学习率：0.0003</w:t>
      </w:r>
    </w:p>
    <w:p>
      <w:pPr>
        <w:spacing w:line="360" w:lineRule="auto"/>
        <w:ind w:firstLine="42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086100" cy="133350"/>
            <wp:effectExtent l="0" t="0" r="12700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rFonts w:hint="default"/>
          <w:lang w:val="en-US" w:eastAsia="zh-CN"/>
        </w:rPr>
      </w:pPr>
    </w:p>
    <w:p>
      <w:pPr>
        <w:pStyle w:val="15"/>
        <w:numPr>
          <w:ilvl w:val="1"/>
          <w:numId w:val="3"/>
        </w:numPr>
        <w:spacing w:before="120" w:after="120" w:line="360" w:lineRule="auto"/>
        <w:ind w:firstLineChars="0"/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结果可视化</w:t>
      </w:r>
    </w:p>
    <w:p>
      <w:pPr>
        <w:numPr>
          <w:numId w:val="0"/>
        </w:numPr>
        <w:bidi w:val="0"/>
        <w:ind w:leftChars="200"/>
        <w:rPr>
          <w:rFonts w:hint="eastAsia" w:eastAsia="宋体"/>
          <w:b/>
          <w:bCs/>
          <w:sz w:val="24"/>
          <w:lang w:val="en-US" w:eastAsia="zh-CN"/>
        </w:rPr>
      </w:pPr>
      <w:r>
        <w:rPr>
          <w:rFonts w:hint="eastAsia"/>
          <w:lang w:val="en-US" w:eastAsia="zh-CN"/>
        </w:rPr>
        <w:t>利用</w:t>
      </w:r>
      <w:r>
        <w:t>使用 Matplotlib 绘制训练过程中的损失曲线。</w:t>
      </w:r>
      <w:r>
        <w:rPr>
          <w:rFonts w:hint="default"/>
        </w:rPr>
        <w:t>x 轴表示训练批次的索引，y 轴表示损失值。帮助了解模型的训练进展和收敛情况。</w:t>
      </w: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·</w:t>
      </w:r>
      <w:r>
        <w:rPr>
          <w:rFonts w:hint="eastAsia"/>
          <w:sz w:val="24"/>
          <w:szCs w:val="24"/>
          <w:lang w:val="en-US" w:eastAsia="zh-CN"/>
        </w:rPr>
        <w:t>abalone数据集</w:t>
      </w:r>
    </w:p>
    <w:p>
      <w:pPr>
        <w:spacing w:line="360" w:lineRule="auto"/>
        <w:ind w:firstLine="42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学习率：0.03 </w:t>
      </w:r>
    </w:p>
    <w:p>
      <w:pPr>
        <w:spacing w:line="360" w:lineRule="auto"/>
        <w:ind w:firstLine="420"/>
        <w:jc w:val="center"/>
      </w:pPr>
      <w:r>
        <w:drawing>
          <wp:inline distT="0" distB="0" distL="114300" distR="114300">
            <wp:extent cx="4176395" cy="3551555"/>
            <wp:effectExtent l="0" t="0" r="1460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sz w:val="24"/>
          <w:szCs w:val="24"/>
          <w:lang w:val="en-US" w:eastAsia="zh-CN"/>
        </w:rPr>
        <w:t>Wine Quality数据集</w:t>
      </w:r>
    </w:p>
    <w:p>
      <w:pPr>
        <w:spacing w:line="360" w:lineRule="auto"/>
        <w:ind w:firstLine="42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winequalityWhite</w:t>
      </w: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学习率：0.0003</w:t>
      </w:r>
    </w:p>
    <w:p>
      <w:pPr>
        <w:spacing w:line="360" w:lineRule="auto"/>
        <w:ind w:firstLine="420"/>
        <w:jc w:val="center"/>
      </w:pPr>
      <w:r>
        <w:drawing>
          <wp:inline distT="0" distB="0" distL="114300" distR="114300">
            <wp:extent cx="4123690" cy="3505200"/>
            <wp:effectExtent l="0" t="0" r="165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winequalityRed</w:t>
      </w: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学习率：0.0003</w:t>
      </w:r>
    </w:p>
    <w:p>
      <w:pPr>
        <w:spacing w:line="360" w:lineRule="auto"/>
        <w:ind w:firstLine="420"/>
        <w:jc w:val="center"/>
      </w:pPr>
      <w:r>
        <w:drawing>
          <wp:inline distT="0" distB="0" distL="114300" distR="114300">
            <wp:extent cx="4102735" cy="3486785"/>
            <wp:effectExtent l="0" t="0" r="12065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1"/>
          <w:numId w:val="3"/>
        </w:numPr>
        <w:spacing w:before="120" w:after="120" w:line="360" w:lineRule="auto"/>
        <w:ind w:firstLineChars="0"/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分析和优化</w:t>
      </w:r>
    </w:p>
    <w:p>
      <w:pPr>
        <w:spacing w:line="360" w:lineRule="auto"/>
        <w:jc w:val="left"/>
      </w:pPr>
      <w:r>
        <w:rPr>
          <w:rFonts w:hint="eastAsia" w:ascii="宋体" w:hAnsi="宋体"/>
          <w:sz w:val="24"/>
          <w:szCs w:val="24"/>
          <w:lang w:val="en-US" w:eastAsia="zh-CN"/>
        </w:rPr>
        <w:t>探讨同一数据集同一模型下学习率对损失函数的影响，以</w:t>
      </w:r>
      <w:r>
        <w:rPr>
          <w:rFonts w:hint="eastAsia"/>
          <w:sz w:val="24"/>
          <w:szCs w:val="24"/>
          <w:lang w:val="en-US" w:eastAsia="zh-CN"/>
        </w:rPr>
        <w:t>abalone数据集为例展开讨论。</w:t>
      </w:r>
    </w:p>
    <w:p>
      <w:pPr>
        <w:spacing w:line="360" w:lineRule="auto"/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604510" cy="4764405"/>
            <wp:effectExtent l="0" t="0" r="8890" b="10795"/>
            <wp:docPr id="13" name="图片 13" descr="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像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（学习率：左上：1，右上0.1，左下：0.03，右下：0.01）</w:t>
      </w:r>
    </w:p>
    <w:p>
      <w:p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观察，学习率的大小直接影响损失函数，学习率过大时会导致损失函数发散而无法收敛，略大时可能会出现未收敛于极小值，但这并不意味着学习率越小越好，过小时会导致收敛过于缓慢，因此选取恰当的学习率至关重要。</w:t>
      </w:r>
    </w:p>
    <w:p>
      <w:pPr>
        <w:spacing w:line="360" w:lineRule="auto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689860"/>
            <wp:effectExtent l="0" t="0" r="12700" b="254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3"/>
        </w:numPr>
        <w:spacing w:before="120" w:after="120" w:line="360" w:lineRule="auto"/>
        <w:ind w:firstLineChars="0"/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总结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本次实验为课程的第一次实验，对机器学习的回归任务有了初步的体会。整个实验流程大致分为</w:t>
      </w:r>
      <w:r>
        <w:rPr>
          <w:rFonts w:hint="eastAsia"/>
          <w:lang w:val="en-US" w:eastAsia="zh-CN"/>
        </w:rPr>
        <w:t>Data Prepare、Data Preprocess、Model Construct、Train &amp; Test、Plot Result、Optimize &amp; Review六个步骤，每个步骤都至关重要不可或缺。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归任务的关键是通过大量的数据去找到合适的系数，从而达到准确预测目标值的任务。系数是否合适的判断依据是代价函数是否到达了极小值。这一过程需要不断的迭代参数，可采用梯度下降、Adam等方式训练。评估通常以</w:t>
      </w:r>
      <w:r>
        <w:rPr>
          <w:lang w:val="en-US" w:eastAsia="zh-CN"/>
        </w:rPr>
        <w:t>均方根误差（RMSE）、平均绝对误差（MAE）、R平方等</w:t>
      </w:r>
      <w:r>
        <w:rPr>
          <w:rFonts w:hint="eastAsia"/>
          <w:lang w:val="en-US" w:eastAsia="zh-CN"/>
        </w:rPr>
        <w:t>为标准。对学习率的探究也让我们对回归任务有了更深的理解，收获很多。</w:t>
      </w:r>
    </w:p>
    <w:p>
      <w:pPr>
        <w:spacing w:line="360" w:lineRule="auto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TSong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787B63"/>
    <w:multiLevelType w:val="multilevel"/>
    <w:tmpl w:val="22787B6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721E30D1"/>
    <w:multiLevelType w:val="multilevel"/>
    <w:tmpl w:val="721E30D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73F4E367"/>
    <w:multiLevelType w:val="multilevel"/>
    <w:tmpl w:val="73F4E367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  <w:b/>
        <w:sz w:val="28"/>
        <w:szCs w:val="28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3"/>
      <w:isLgl/>
      <w:lvlText w:val="%1.%2.%3."/>
      <w:lvlJc w:val="left"/>
      <w:pPr>
        <w:ind w:left="709" w:hanging="709"/>
      </w:pPr>
      <w:rPr>
        <w:rFonts w:hint="default" w:ascii="Times New Roman" w:hAnsi="Times New Roman" w:eastAsia="宋体" w:cs="Times New Roman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202"/>
    <w:rsid w:val="00006E53"/>
    <w:rsid w:val="00010F4D"/>
    <w:rsid w:val="00032B38"/>
    <w:rsid w:val="00046E3F"/>
    <w:rsid w:val="00054841"/>
    <w:rsid w:val="00087148"/>
    <w:rsid w:val="00087FC5"/>
    <w:rsid w:val="00095D59"/>
    <w:rsid w:val="000A167B"/>
    <w:rsid w:val="000A493B"/>
    <w:rsid w:val="000B0B28"/>
    <w:rsid w:val="000C26AA"/>
    <w:rsid w:val="000C296A"/>
    <w:rsid w:val="000C36FD"/>
    <w:rsid w:val="000C409A"/>
    <w:rsid w:val="00111516"/>
    <w:rsid w:val="001308FA"/>
    <w:rsid w:val="001462E7"/>
    <w:rsid w:val="001739F5"/>
    <w:rsid w:val="001747C1"/>
    <w:rsid w:val="001764EE"/>
    <w:rsid w:val="001863D1"/>
    <w:rsid w:val="0019562E"/>
    <w:rsid w:val="001B1C14"/>
    <w:rsid w:val="001B25E1"/>
    <w:rsid w:val="001D1520"/>
    <w:rsid w:val="001F2FBB"/>
    <w:rsid w:val="00201D07"/>
    <w:rsid w:val="00206EBA"/>
    <w:rsid w:val="00215C0C"/>
    <w:rsid w:val="00230272"/>
    <w:rsid w:val="00233FEC"/>
    <w:rsid w:val="00256CDE"/>
    <w:rsid w:val="00266777"/>
    <w:rsid w:val="00266941"/>
    <w:rsid w:val="00273043"/>
    <w:rsid w:val="00295F26"/>
    <w:rsid w:val="002A046A"/>
    <w:rsid w:val="002A5014"/>
    <w:rsid w:val="002E5CE1"/>
    <w:rsid w:val="003031BC"/>
    <w:rsid w:val="00304B4E"/>
    <w:rsid w:val="00324A20"/>
    <w:rsid w:val="00331337"/>
    <w:rsid w:val="00333C28"/>
    <w:rsid w:val="00341557"/>
    <w:rsid w:val="00361761"/>
    <w:rsid w:val="003A0B06"/>
    <w:rsid w:val="003A2D29"/>
    <w:rsid w:val="003A78E4"/>
    <w:rsid w:val="003B7FA6"/>
    <w:rsid w:val="003D43C0"/>
    <w:rsid w:val="003E52FB"/>
    <w:rsid w:val="003F531D"/>
    <w:rsid w:val="004010F7"/>
    <w:rsid w:val="00406C7B"/>
    <w:rsid w:val="004078E1"/>
    <w:rsid w:val="00421F44"/>
    <w:rsid w:val="00430200"/>
    <w:rsid w:val="004445E2"/>
    <w:rsid w:val="00456296"/>
    <w:rsid w:val="004615F6"/>
    <w:rsid w:val="0047644A"/>
    <w:rsid w:val="00490337"/>
    <w:rsid w:val="004A7409"/>
    <w:rsid w:val="004B1B84"/>
    <w:rsid w:val="004C4D9B"/>
    <w:rsid w:val="004C5F8D"/>
    <w:rsid w:val="004E4D9D"/>
    <w:rsid w:val="004F6AA0"/>
    <w:rsid w:val="00511687"/>
    <w:rsid w:val="00521661"/>
    <w:rsid w:val="0052329F"/>
    <w:rsid w:val="0053194F"/>
    <w:rsid w:val="00531BE6"/>
    <w:rsid w:val="00545F98"/>
    <w:rsid w:val="00576752"/>
    <w:rsid w:val="0058220D"/>
    <w:rsid w:val="00590A2C"/>
    <w:rsid w:val="005A5E8B"/>
    <w:rsid w:val="005A7E28"/>
    <w:rsid w:val="005B2EA0"/>
    <w:rsid w:val="005B5009"/>
    <w:rsid w:val="005C2E30"/>
    <w:rsid w:val="005E5F6A"/>
    <w:rsid w:val="0060578F"/>
    <w:rsid w:val="006151EE"/>
    <w:rsid w:val="00624B63"/>
    <w:rsid w:val="00627A5D"/>
    <w:rsid w:val="00653DD2"/>
    <w:rsid w:val="0065436D"/>
    <w:rsid w:val="00654730"/>
    <w:rsid w:val="0066641C"/>
    <w:rsid w:val="006A510B"/>
    <w:rsid w:val="006B6638"/>
    <w:rsid w:val="006D7B80"/>
    <w:rsid w:val="00701008"/>
    <w:rsid w:val="0070685A"/>
    <w:rsid w:val="0070701D"/>
    <w:rsid w:val="00715088"/>
    <w:rsid w:val="007568C6"/>
    <w:rsid w:val="007750AB"/>
    <w:rsid w:val="0078316D"/>
    <w:rsid w:val="007B7710"/>
    <w:rsid w:val="007D4257"/>
    <w:rsid w:val="0080115C"/>
    <w:rsid w:val="00817BF1"/>
    <w:rsid w:val="00822776"/>
    <w:rsid w:val="00827606"/>
    <w:rsid w:val="00836A3A"/>
    <w:rsid w:val="00866072"/>
    <w:rsid w:val="00870C8C"/>
    <w:rsid w:val="00875AA8"/>
    <w:rsid w:val="00876846"/>
    <w:rsid w:val="00887CAB"/>
    <w:rsid w:val="00897461"/>
    <w:rsid w:val="008A7E9A"/>
    <w:rsid w:val="008B025E"/>
    <w:rsid w:val="008B0937"/>
    <w:rsid w:val="008B1F53"/>
    <w:rsid w:val="008B20A8"/>
    <w:rsid w:val="008B5B6C"/>
    <w:rsid w:val="008C6E6E"/>
    <w:rsid w:val="008D018D"/>
    <w:rsid w:val="008D4CF4"/>
    <w:rsid w:val="008E114F"/>
    <w:rsid w:val="008E2569"/>
    <w:rsid w:val="008F6213"/>
    <w:rsid w:val="008F76D8"/>
    <w:rsid w:val="00902793"/>
    <w:rsid w:val="00914E33"/>
    <w:rsid w:val="00946135"/>
    <w:rsid w:val="00967185"/>
    <w:rsid w:val="0097292C"/>
    <w:rsid w:val="009819D5"/>
    <w:rsid w:val="00983D96"/>
    <w:rsid w:val="00987405"/>
    <w:rsid w:val="0099452A"/>
    <w:rsid w:val="009D3D5B"/>
    <w:rsid w:val="009D3E1F"/>
    <w:rsid w:val="009D4951"/>
    <w:rsid w:val="009E5891"/>
    <w:rsid w:val="009F51E1"/>
    <w:rsid w:val="00A063CF"/>
    <w:rsid w:val="00A13EFE"/>
    <w:rsid w:val="00A324B5"/>
    <w:rsid w:val="00A441F0"/>
    <w:rsid w:val="00A50E7A"/>
    <w:rsid w:val="00A742E9"/>
    <w:rsid w:val="00AA46B1"/>
    <w:rsid w:val="00AC17E7"/>
    <w:rsid w:val="00AE5401"/>
    <w:rsid w:val="00B14C61"/>
    <w:rsid w:val="00B210F8"/>
    <w:rsid w:val="00B453E9"/>
    <w:rsid w:val="00B62EE8"/>
    <w:rsid w:val="00B65303"/>
    <w:rsid w:val="00B81891"/>
    <w:rsid w:val="00B82E9D"/>
    <w:rsid w:val="00B91F0E"/>
    <w:rsid w:val="00B92B8F"/>
    <w:rsid w:val="00BA5FF1"/>
    <w:rsid w:val="00BD3154"/>
    <w:rsid w:val="00BE1F52"/>
    <w:rsid w:val="00BF548C"/>
    <w:rsid w:val="00C025C5"/>
    <w:rsid w:val="00C14147"/>
    <w:rsid w:val="00C173A0"/>
    <w:rsid w:val="00C31789"/>
    <w:rsid w:val="00C42AE2"/>
    <w:rsid w:val="00C45EA2"/>
    <w:rsid w:val="00C53A7F"/>
    <w:rsid w:val="00C6272C"/>
    <w:rsid w:val="00C758E3"/>
    <w:rsid w:val="00C81CDC"/>
    <w:rsid w:val="00C8242A"/>
    <w:rsid w:val="00C82634"/>
    <w:rsid w:val="00CA1FCB"/>
    <w:rsid w:val="00CA39A6"/>
    <w:rsid w:val="00CA3ED9"/>
    <w:rsid w:val="00CA4E5B"/>
    <w:rsid w:val="00CB3B6E"/>
    <w:rsid w:val="00CC44E1"/>
    <w:rsid w:val="00CD3AAF"/>
    <w:rsid w:val="00CD3DFD"/>
    <w:rsid w:val="00CE3297"/>
    <w:rsid w:val="00D06C84"/>
    <w:rsid w:val="00D16202"/>
    <w:rsid w:val="00D20599"/>
    <w:rsid w:val="00D30738"/>
    <w:rsid w:val="00D57661"/>
    <w:rsid w:val="00D72FB7"/>
    <w:rsid w:val="00D9687F"/>
    <w:rsid w:val="00DD678E"/>
    <w:rsid w:val="00DE6B49"/>
    <w:rsid w:val="00DE6F93"/>
    <w:rsid w:val="00DF148A"/>
    <w:rsid w:val="00E00A7D"/>
    <w:rsid w:val="00E01D32"/>
    <w:rsid w:val="00E21C17"/>
    <w:rsid w:val="00E37EF8"/>
    <w:rsid w:val="00E41471"/>
    <w:rsid w:val="00E605BE"/>
    <w:rsid w:val="00E70C59"/>
    <w:rsid w:val="00E73D9C"/>
    <w:rsid w:val="00E86AB6"/>
    <w:rsid w:val="00EA3738"/>
    <w:rsid w:val="00ED2BEB"/>
    <w:rsid w:val="00EF4A78"/>
    <w:rsid w:val="00EF7B45"/>
    <w:rsid w:val="00F01B9F"/>
    <w:rsid w:val="00F26486"/>
    <w:rsid w:val="00F57F3B"/>
    <w:rsid w:val="00F716CD"/>
    <w:rsid w:val="00F7228F"/>
    <w:rsid w:val="00F97CC0"/>
    <w:rsid w:val="00FA326F"/>
    <w:rsid w:val="00FB27C4"/>
    <w:rsid w:val="00FC0D1C"/>
    <w:rsid w:val="00FC66CF"/>
    <w:rsid w:val="00FE2D32"/>
    <w:rsid w:val="7FCE4396"/>
    <w:rsid w:val="DFF5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561" w:firstLineChars="200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paragraph" w:styleId="2">
    <w:name w:val="heading 1"/>
    <w:next w:val="1"/>
    <w:link w:val="17"/>
    <w:qFormat/>
    <w:uiPriority w:val="9"/>
    <w:pPr>
      <w:keepNext/>
      <w:keepLines/>
      <w:numPr>
        <w:ilvl w:val="0"/>
        <w:numId w:val="1"/>
      </w:numPr>
      <w:spacing w:before="100" w:beforeLines="100" w:beforeAutospacing="0" w:after="100" w:afterLines="100" w:afterAutospacing="0" w:line="240" w:lineRule="auto"/>
      <w:ind w:left="425" w:hanging="425"/>
      <w:outlineLvl w:val="0"/>
    </w:pPr>
    <w:rPr>
      <w:rFonts w:ascii="黑体" w:hAnsi="黑体" w:eastAsia="黑体" w:cstheme="minorBidi"/>
      <w:b/>
      <w:kern w:val="44"/>
      <w:sz w:val="28"/>
    </w:rPr>
  </w:style>
  <w:style w:type="paragraph" w:styleId="3">
    <w:name w:val="heading 3"/>
    <w:next w:val="1"/>
    <w:unhideWhenUsed/>
    <w:qFormat/>
    <w:uiPriority w:val="9"/>
    <w:pPr>
      <w:keepNext/>
      <w:keepLines/>
      <w:numPr>
        <w:ilvl w:val="2"/>
        <w:numId w:val="1"/>
      </w:numPr>
      <w:spacing w:before="100" w:beforeLines="100" w:beforeAutospacing="0" w:after="100" w:afterLines="100" w:afterAutospacing="0" w:line="240" w:lineRule="auto"/>
      <w:ind w:left="0" w:firstLine="0"/>
      <w:jc w:val="left"/>
      <w:outlineLvl w:val="2"/>
    </w:pPr>
    <w:rPr>
      <w:rFonts w:ascii="宋体" w:hAnsi="宋体" w:eastAsia="宋体" w:cstheme="minorBidi"/>
      <w:b/>
      <w:sz w:val="2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FollowedHyperlink"/>
    <w:basedOn w:val="8"/>
    <w:semiHidden/>
    <w:unhideWhenUsed/>
    <w:uiPriority w:val="99"/>
    <w:rPr>
      <w:color w:val="800080"/>
      <w:u w:val="single"/>
    </w:rPr>
  </w:style>
  <w:style w:type="character" w:styleId="11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8"/>
    <w:semiHidden/>
    <w:unhideWhenUsed/>
    <w:uiPriority w:val="99"/>
    <w:rPr>
      <w:rFonts w:ascii="Courier New" w:hAnsi="Courier New"/>
      <w:sz w:val="20"/>
    </w:rPr>
  </w:style>
  <w:style w:type="character" w:customStyle="1" w:styleId="13">
    <w:name w:val="页眉 字符"/>
    <w:basedOn w:val="8"/>
    <w:link w:val="5"/>
    <w:uiPriority w:val="99"/>
    <w:rPr>
      <w:sz w:val="18"/>
      <w:szCs w:val="18"/>
    </w:rPr>
  </w:style>
  <w:style w:type="character" w:customStyle="1" w:styleId="14">
    <w:name w:val="页脚 字符"/>
    <w:basedOn w:val="8"/>
    <w:link w:val="4"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17">
    <w:name w:val="标题 1 Char"/>
    <w:link w:val="2"/>
    <w:uiPriority w:val="0"/>
    <w:rPr>
      <w:rFonts w:ascii="黑体" w:hAnsi="黑体" w:eastAsia="黑体" w:cstheme="minorBidi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135</Words>
  <Characters>770</Characters>
  <Lines>6</Lines>
  <Paragraphs>1</Paragraphs>
  <TotalTime>291</TotalTime>
  <ScaleCrop>false</ScaleCrop>
  <LinksUpToDate>false</LinksUpToDate>
  <CharactersWithSpaces>904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2023-02-27T02:36:00Z</dcterms:created>
  <dc:creator>kevinwei112358@gmail.com</dc:creator>
  <cp:lastModifiedBy>HA</cp:lastModifiedBy>
  <dcterms:modified xsi:type="dcterms:W3CDTF">2023-09-23T19:47:12Z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4FDEB60CC02CC4432DD00E65601FFD83_42</vt:lpwstr>
  </property>
</Properties>
</file>