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Foucault, </w:t>
      </w:r>
      <w:r w:rsidDel="00000000" w:rsidR="00000000" w:rsidRPr="00000000">
        <w:rPr>
          <w:rFonts w:ascii="Times New Roman" w:cs="Times New Roman" w:eastAsia="Times New Roman" w:hAnsi="Times New Roman"/>
          <w:b w:val="1"/>
          <w:bCs w:val="1"/>
          <w:i w:val="1"/>
          <w:iCs w:val="1"/>
          <w:sz w:val="32"/>
          <w:szCs w:val="32"/>
          <w:rtl w:val="0"/>
        </w:rPr>
        <w:t xml:space="preserve">The History of Sexuality: Volume 1</w:t>
      </w:r>
    </w:p>
    <w:p w:rsidR="00000000" w:rsidDel="00000000" w:rsidP="00000000" w:rsidRDefault="00000000" w:rsidRPr="00000000" w14:paraId="0000000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Citation</w:t>
      </w:r>
    </w:p>
    <w:p w:rsidR="00000000" w:rsidDel="00000000" w:rsidP="00000000" w:rsidRDefault="00000000" w:rsidRPr="00000000" w14:paraId="00000004">
      <w:pPr>
        <w:spacing w:after="160" w:line="259" w:lineRule="auto"/>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Foucault, M. (1978). </w:t>
      </w:r>
      <w:r w:rsidDel="00000000" w:rsidR="00000000" w:rsidRPr="00000000">
        <w:rPr>
          <w:rFonts w:ascii="Times New Roman" w:cs="Times New Roman" w:eastAsia="Times New Roman" w:hAnsi="Times New Roman"/>
          <w:i w:val="1"/>
          <w:iCs w:val="1"/>
          <w:sz w:val="28"/>
          <w:szCs w:val="28"/>
          <w:rtl w:val="0"/>
        </w:rPr>
        <w:t xml:space="preserve">The history of sexuality: Vol. 1. An introduction</w:t>
      </w:r>
      <w:r w:rsidDel="00000000" w:rsidR="00000000" w:rsidRPr="00000000">
        <w:rPr>
          <w:rFonts w:ascii="Times New Roman" w:cs="Times New Roman" w:eastAsia="Times New Roman" w:hAnsi="Times New Roman"/>
          <w:sz w:val="28"/>
          <w:szCs w:val="28"/>
          <w:rtl w:val="0"/>
        </w:rPr>
        <w:t xml:space="preserve"> (R. Hurley, Trans.). Pantheon Books. (Original work published 1976)</w:t>
      </w:r>
    </w:p>
    <w:p w:rsidR="00000000" w:rsidDel="00000000" w:rsidP="00000000" w:rsidRDefault="00000000" w:rsidRPr="00000000" w14:paraId="0000000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(Foucault, 1978)</w:t>
      </w: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the author's argument?</w:t>
      </w:r>
    </w:p>
    <w:p w:rsidR="00000000" w:rsidDel="00000000" w:rsidP="00000000" w:rsidRDefault="00000000" w:rsidRPr="00000000" w14:paraId="0000000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Foucault argues that for centuries, churches, doctors, and governments have pushed people to talk about sex and sorted them into categories like "the homosexual," which let those in power track and manage individuals and whole populations. So society never simply </w:t>
      </w:r>
      <w:r w:rsidDel="00000000" w:rsidR="00000000" w:rsidRPr="00000000">
        <w:rPr>
          <w:rFonts w:ascii="Times New Roman" w:cs="Times New Roman" w:eastAsia="Times New Roman" w:hAnsi="Times New Roman"/>
          <w:sz w:val="28"/>
          <w:szCs w:val="28"/>
          <w:rtl w:val="0"/>
        </w:rPr>
        <w:t xml:space="preserve">silenced</w:t>
      </w:r>
      <w:r w:rsidDel="00000000" w:rsidR="00000000" w:rsidRPr="00000000">
        <w:rPr>
          <w:rFonts w:ascii="Times New Roman" w:cs="Times New Roman" w:eastAsia="Times New Roman" w:hAnsi="Times New Roman"/>
          <w:sz w:val="28"/>
          <w:szCs w:val="28"/>
          <w:rtl w:val="0"/>
        </w:rPr>
        <w:t xml:space="preserve"> sex; speaking openly about it does not free us from power because talking about it is one of the ways power works.</w:t>
      </w: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Points</w:t>
      </w:r>
    </w:p>
    <w:p w:rsidR="00000000" w:rsidDel="00000000" w:rsidP="00000000" w:rsidRDefault="00000000" w:rsidRPr="00000000" w14:paraId="0000000B">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Part One, "We 'Other Victorians'":</w:t>
      </w:r>
      <w:r w:rsidDel="00000000" w:rsidR="00000000" w:rsidRPr="00000000">
        <w:rPr>
          <w:rFonts w:ascii="Times New Roman" w:cs="Times New Roman" w:eastAsia="Times New Roman" w:hAnsi="Times New Roman"/>
          <w:sz w:val="28"/>
          <w:szCs w:val="28"/>
          <w:rtl w:val="0"/>
        </w:rPr>
        <w:t xml:space="preserve"> Foucault asks why we are so eager to say sex was silenced, and why we treat talking about it as rebellion. He plans to study how sex became such a big topic.</w:t>
      </w:r>
    </w:p>
    <w:p w:rsidR="00000000" w:rsidDel="00000000" w:rsidP="00000000" w:rsidRDefault="00000000" w:rsidRPr="00000000" w14:paraId="0000000C">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Part Two, "The Repressive Hypothesis":</w:t>
      </w:r>
      <w:r w:rsidDel="00000000" w:rsidR="00000000" w:rsidRPr="00000000">
        <w:rPr>
          <w:rFonts w:ascii="Times New Roman" w:cs="Times New Roman" w:eastAsia="Times New Roman" w:hAnsi="Times New Roman"/>
          <w:sz w:val="28"/>
          <w:szCs w:val="28"/>
          <w:rtl w:val="0"/>
        </w:rPr>
        <w:t xml:space="preserve"> Families and schools started watching children's sexuality closely. Governments began counting births and marriages, since a country's wealth and strength depended on its population.</w:t>
      </w:r>
    </w:p>
    <w:p w:rsidR="00000000" w:rsidDel="00000000" w:rsidP="00000000" w:rsidRDefault="00000000" w:rsidRPr="00000000" w14:paraId="0000000D">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Part Three, "Scientia Sexualis":</w:t>
      </w:r>
      <w:r w:rsidDel="00000000" w:rsidR="00000000" w:rsidRPr="00000000">
        <w:rPr>
          <w:rFonts w:ascii="Times New Roman" w:cs="Times New Roman" w:eastAsia="Times New Roman" w:hAnsi="Times New Roman"/>
          <w:sz w:val="28"/>
          <w:szCs w:val="28"/>
          <w:rtl w:val="0"/>
        </w:rPr>
        <w:t xml:space="preserve"> Some societies learn about sex through pleasure and experience. The West learns about it through confession, and it treats sex as the hidden secret of who you really are.</w:t>
      </w:r>
    </w:p>
    <w:p w:rsidR="00000000" w:rsidDel="00000000" w:rsidP="00000000" w:rsidRDefault="00000000" w:rsidRPr="00000000" w14:paraId="0000000E">
      <w:pPr>
        <w:numPr>
          <w:ilvl w:val="0"/>
          <w:numId w:val="1"/>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Part Four, "The Deployment of Sexuality":</w:t>
      </w:r>
      <w:r w:rsidDel="00000000" w:rsidR="00000000" w:rsidRPr="00000000">
        <w:rPr>
          <w:rFonts w:ascii="Times New Roman" w:cs="Times New Roman" w:eastAsia="Times New Roman" w:hAnsi="Times New Roman"/>
          <w:sz w:val="28"/>
          <w:szCs w:val="28"/>
          <w:rtl w:val="0"/>
        </w:rPr>
        <w:t xml:space="preserve"> Power comes from many small relationships between people, not only from rulers, and it creates things like identities. Sexuality itself is a category that was built over time, and resistance always happens inside power.</w:t>
      </w:r>
    </w:p>
    <w:p w:rsidR="00000000" w:rsidDel="00000000" w:rsidP="00000000" w:rsidRDefault="00000000" w:rsidRPr="00000000" w14:paraId="0000000F">
      <w:pPr>
        <w:numPr>
          <w:ilvl w:val="0"/>
          <w:numId w:val="1"/>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Part Five, "Right of Death and Power over Life":</w:t>
      </w:r>
      <w:r w:rsidDel="00000000" w:rsidR="00000000" w:rsidRPr="00000000">
        <w:rPr>
          <w:rFonts w:ascii="Times New Roman" w:cs="Times New Roman" w:eastAsia="Times New Roman" w:hAnsi="Times New Roman"/>
          <w:sz w:val="28"/>
          <w:szCs w:val="28"/>
          <w:rtl w:val="0"/>
        </w:rPr>
        <w:t xml:space="preserve"> Old rulers held power by being able to kill. Modern power manages life through health, birth rates, and bodies, which Foucault calls bio-power, and sex connects the individual body to the whole population.</w:t>
      </w:r>
    </w:p>
    <w:p w:rsidR="00000000" w:rsidDel="00000000" w:rsidP="00000000" w:rsidRDefault="00000000" w:rsidRPr="00000000" w14:paraId="00000010">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Terms/Concepts</w:t>
      </w:r>
    </w:p>
    <w:p w:rsidR="00000000" w:rsidDel="00000000" w:rsidP="00000000" w:rsidRDefault="00000000" w:rsidRPr="00000000" w14:paraId="00000012">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Incitement to discourse (p. 17):</w:t>
      </w:r>
      <w:r w:rsidDel="00000000" w:rsidR="00000000" w:rsidRPr="00000000">
        <w:rPr>
          <w:rFonts w:ascii="Times New Roman" w:cs="Times New Roman" w:eastAsia="Times New Roman" w:hAnsi="Times New Roman"/>
          <w:sz w:val="28"/>
          <w:szCs w:val="28"/>
          <w:rtl w:val="0"/>
        </w:rPr>
        <w:t xml:space="preserve"> The push from the church, and later doctors and the state, to talk about sex in detail, whether in confession, in medical exams, or in surveys of the population.</w:t>
      </w:r>
    </w:p>
    <w:p w:rsidR="00000000" w:rsidDel="00000000" w:rsidP="00000000" w:rsidRDefault="00000000" w:rsidRPr="00000000" w14:paraId="00000013">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Scientia sexualis (p. 58):</w:t>
      </w:r>
      <w:r w:rsidDel="00000000" w:rsidR="00000000" w:rsidRPr="00000000">
        <w:rPr>
          <w:rFonts w:ascii="Times New Roman" w:cs="Times New Roman" w:eastAsia="Times New Roman" w:hAnsi="Times New Roman"/>
          <w:sz w:val="28"/>
          <w:szCs w:val="28"/>
          <w:rtl w:val="0"/>
        </w:rPr>
        <w:t xml:space="preserve"> Foucault's term for the Western habit of finding the "truth" about sex through confession and expert study. He contrasts it with the </w:t>
      </w:r>
      <w:r w:rsidDel="00000000" w:rsidR="00000000" w:rsidRPr="00000000">
        <w:rPr>
          <w:rFonts w:ascii="Times New Roman" w:cs="Times New Roman" w:eastAsia="Times New Roman" w:hAnsi="Times New Roman"/>
          <w:i w:val="1"/>
          <w:iCs w:val="1"/>
          <w:sz w:val="28"/>
          <w:szCs w:val="28"/>
          <w:rtl w:val="0"/>
        </w:rPr>
        <w:t xml:space="preserve">ars erotica</w:t>
      </w:r>
      <w:r w:rsidDel="00000000" w:rsidR="00000000" w:rsidRPr="00000000">
        <w:rPr>
          <w:rFonts w:ascii="Times New Roman" w:cs="Times New Roman" w:eastAsia="Times New Roman" w:hAnsi="Times New Roman"/>
          <w:sz w:val="28"/>
          <w:szCs w:val="28"/>
          <w:rtl w:val="0"/>
        </w:rPr>
        <w:t xml:space="preserve">, or erotic art, of other societies, where knowledge comes from experiencing pleasure itself (p. 57).</w:t>
      </w:r>
    </w:p>
    <w:p w:rsidR="00000000" w:rsidDel="00000000" w:rsidP="00000000" w:rsidRDefault="00000000" w:rsidRPr="00000000" w14:paraId="00000014">
      <w:pPr>
        <w:numPr>
          <w:ilvl w:val="0"/>
          <w:numId w:val="3"/>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Power/knowledge (p. 100):</w:t>
      </w:r>
      <w:r w:rsidDel="00000000" w:rsidR="00000000" w:rsidRPr="00000000">
        <w:rPr>
          <w:rFonts w:ascii="Times New Roman" w:cs="Times New Roman" w:eastAsia="Times New Roman" w:hAnsi="Times New Roman"/>
          <w:sz w:val="28"/>
          <w:szCs w:val="28"/>
          <w:rtl w:val="0"/>
        </w:rPr>
        <w:t xml:space="preserve"> The idea that power and knowledge work as a team. Experts who study people gain power over them, and those in power decide what counts as knowledge.</w:t>
      </w:r>
    </w:p>
    <w:p w:rsidR="00000000" w:rsidDel="00000000" w:rsidP="00000000" w:rsidRDefault="00000000" w:rsidRPr="00000000" w14:paraId="00000015">
      <w:pPr>
        <w:numPr>
          <w:ilvl w:val="0"/>
          <w:numId w:val="3"/>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Reverse discourse (p. 101):</w:t>
      </w:r>
      <w:r w:rsidDel="00000000" w:rsidR="00000000" w:rsidRPr="00000000">
        <w:rPr>
          <w:rFonts w:ascii="Times New Roman" w:cs="Times New Roman" w:eastAsia="Times New Roman" w:hAnsi="Times New Roman"/>
          <w:sz w:val="28"/>
          <w:szCs w:val="28"/>
          <w:rtl w:val="0"/>
        </w:rPr>
        <w:t xml:space="preserve"> When a group that has been labeled by authorities starts speaking for itself using the same categories. Homosexuality was defined by medicine, and people then used that same vocabulary to demand that their legitimacy be recognized.</w:t>
      </w:r>
    </w:p>
    <w:p w:rsidR="00000000" w:rsidDel="00000000" w:rsidP="00000000" w:rsidRDefault="00000000" w:rsidRPr="00000000" w14:paraId="00000016">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Quotations (relevant to my research interests)</w:t>
      </w:r>
    </w:p>
    <w:p w:rsidR="00000000" w:rsidDel="00000000" w:rsidP="00000000" w:rsidRDefault="00000000" w:rsidRPr="00000000" w14:paraId="00000018">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the political economy of population there was formed a whole grid of observations regarding sex. There emerged the analysis of the modes of sexual conduct, their determinations and their effects, at the boundary line of the biological and the economic domains. There also appeared those systematic campaigns which, going beyond the traditional means-moral and religious exhortations, fiscal measures-tried to transform the sexual conduct of couples into a concerted economic and political behavior. In time these new measures would become anchorage points for the different varieties of racism of the nineteenth and twentieth centuries. It was essential that the state know what was happening with its citizens' sex, and the use they made of it, but also that each individual be capable of controlling the use he made of it” (p.26). </w:t>
      </w:r>
    </w:p>
    <w:p w:rsidR="00000000" w:rsidDel="00000000" w:rsidP="00000000" w:rsidRDefault="00000000" w:rsidRPr="00000000" w14:paraId="00000019">
      <w:pPr>
        <w:numPr>
          <w:ilvl w:val="1"/>
          <w:numId w:val="2"/>
        </w:numPr>
        <w:spacing w:after="0" w:afterAutospacing="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Foucault is describing the eighteenth century, when states began to see the sexual behavior of their citizens as tied to national wealth and power, including birth rates, marriage age, and contraception. Through the political economy of population, "there was formed a whole grid of observations regarding sex," and sexual conduct was analyzed for its causes and effects where biology meets economics.</w:t>
      </w:r>
    </w:p>
    <w:p w:rsidR="00000000" w:rsidDel="00000000" w:rsidP="00000000" w:rsidRDefault="00000000" w:rsidRPr="00000000" w14:paraId="0000001A">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machinery of power that focused on this whole alien strain did not aim to suppress it, but rather to give it an analytical, visible, and permanent reality: it was implanted in bodies, slipped in beneath modes of conduct, made into a principle of classification and intelligibility, established as a raison d'hre and a natural order of disorder. Not the exclusion of these thousand aberrant sexualities, but the specification, the regional solidification of each one of them. The strategy behind this dissemination was to strew reality with them and incorporate them into the individual” (p.44). </w:t>
      </w:r>
    </w:p>
    <w:p w:rsidR="00000000" w:rsidDel="00000000" w:rsidP="00000000" w:rsidRDefault="00000000" w:rsidRPr="00000000" w14:paraId="0000001B">
      <w:pPr>
        <w:numPr>
          <w:ilvl w:val="1"/>
          <w:numId w:val="2"/>
        </w:numPr>
        <w:spacing w:after="0" w:afterAutospacing="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Foucault is saying that when nineteenth-century institutions (medicine, psychiatry, the law) went after unusual sexualities, the goal was never to stamp them out. The goal was to name them, study them, and make them permanently visible. Each one got its own diagnosis, its own file, its own place in a system. They were built into how people understood themselves and how others understood them. So power worked by turning a behavior into an identity, giving it a slot in a classification system, and attaching it to a specific person's body and life. The result was not fewer kinds of sexuality but more, each one pinned down and catalogued.</w:t>
      </w:r>
    </w:p>
    <w:p w:rsidR="00000000" w:rsidDel="00000000" w:rsidP="00000000" w:rsidRDefault="00000000" w:rsidRPr="00000000" w14:paraId="0000001C">
      <w:pPr>
        <w:numPr>
          <w:ilvl w:val="0"/>
          <w:numId w:val="2"/>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“homosexuality began to speak in its own behalf, to demand that its legitimacy or "naturality" be acknowledged, often in the same vocabulary, using the same categories by which it was medically disqualified. There is not, on the one side, a discourse of power, and opposite it, another discourse that runs counter to it. Discourses are tactical elements or blocks operating in the field of force relations; there can exist different and even contradictory discourses within the same strategy; they can, on the contrary, circulate without changing their form from one strategy to another, opposing strategy. We must not expect the discourses on sex to tell us, above all, what strategy they derive from, or what moral divisions they accompany, or what ideology-dominant or dominated-they represent; rather we must question them on the two levels of their tactical productivity (what reciprocal effects of power and knowledge they ensure) and their strategical integration (what conjunction and what force relationship make their utilization necessary in a given episode of the various confrontations that occur)” (101-102). </w:t>
      </w:r>
    </w:p>
    <w:p w:rsidR="00000000" w:rsidDel="00000000" w:rsidP="00000000" w:rsidRDefault="00000000" w:rsidRPr="00000000" w14:paraId="0000001D">
      <w:pPr>
        <w:numPr>
          <w:ilvl w:val="1"/>
          <w:numId w:val="2"/>
        </w:numPr>
        <w:spacing w:after="160" w:line="259"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Foucault says the medical categories used to classify and control homosexuality also gave people the vocabulary to demand recognition, so the same discourse can serve both power and resistance. Because of that, he says we should ask what a discourse does in a given moment and what conflict makes it useful, instead of sorting it into a side of power or a side of opposition.</w:t>
      </w:r>
    </w:p>
    <w:p w:rsidR="00000000" w:rsidDel="00000000" w:rsidP="00000000" w:rsidRDefault="00000000" w:rsidRPr="00000000" w14:paraId="0000001E">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connections can you make to other authors in the foundational area?</w:t>
      </w:r>
    </w:p>
    <w:p w:rsidR="00000000" w:rsidDel="00000000" w:rsidP="00000000" w:rsidRDefault="00000000" w:rsidRPr="00000000" w14:paraId="00000020">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History of Sexuality</w:t>
      </w:r>
      <w:r w:rsidDel="00000000" w:rsidR="00000000" w:rsidRPr="00000000">
        <w:rPr>
          <w:rFonts w:ascii="Times New Roman" w:cs="Times New Roman" w:eastAsia="Times New Roman" w:hAnsi="Times New Roman"/>
          <w:sz w:val="28"/>
          <w:szCs w:val="28"/>
          <w:rtl w:val="0"/>
        </w:rPr>
        <w:t xml:space="preserve"> works alongside several foundational readings to explain how queer people came to be sorted into categories and turned into data. In the 1800s, doctors and scientists began to treat same-sex behavior as a type of person instead of something a person did. That shift made it possible to label people, study them, and count them (Foucault, 1978). Governments and experts then used these labels to measure and manage both individuals and whole populations, and over time the labels came to seem like natural facts (Foucault, 1978, 1980). Science often presents these categories as neutral, even though they reflect the values of the people who created them, and those people have mostly been men with social power (Keller, 1978; Longino, 1990; MacKinnon, 1987). Categories such as "male" and "female" also help create the identities they claim to describe, so people who do not fit neatly into those boxes can become invisible within the system (Butler, 1990, 1993; MacKinnon, 1987). This invisibility has real consequences. For example, crime records sorted people by race or by sex but never by both, so Black women and other women of color were often missing from the data (Crenshaw, 1991). The people being labeled can often see these systems more clearly than the people who designed them (Collins, 1986; Harding, 1992), and groups can take back words once used against them, as LGBTQ+ communities did with the word "queer" (Butler, 1993; Crenshaw, 1991; Foucault, 1978). Taken together, these readings show that the categories used to collect data about people shape who gets seen, who gets left out, and who has the power to decide.</w:t>
      </w:r>
    </w:p>
    <w:p w:rsidR="00000000" w:rsidDel="00000000" w:rsidP="00000000" w:rsidRDefault="00000000" w:rsidRPr="00000000" w14:paraId="00000021">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Categories turn behaviors into identities.</w:t>
      </w:r>
      <w:r w:rsidDel="00000000" w:rsidR="00000000" w:rsidRPr="00000000">
        <w:rPr>
          <w:rFonts w:ascii="Times New Roman" w:cs="Times New Roman" w:eastAsia="Times New Roman" w:hAnsi="Times New Roman"/>
          <w:sz w:val="28"/>
          <w:szCs w:val="28"/>
          <w:rtl w:val="0"/>
        </w:rPr>
        <w:t xml:space="preserve"> The nineteenth century turned sexual acts into types of persons (Foucault, 1978, p. 43). Gender identity is produced by the acts said to express it (Butler, 1990).</w:t>
      </w:r>
    </w:p>
    <w:p w:rsidR="00000000" w:rsidDel="00000000" w:rsidP="00000000" w:rsidRDefault="00000000" w:rsidRPr="00000000" w14:paraId="00000022">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Race and sex are constructed categories with real effects.</w:t>
      </w:r>
      <w:r w:rsidDel="00000000" w:rsidR="00000000" w:rsidRPr="00000000">
        <w:rPr>
          <w:rFonts w:ascii="Times New Roman" w:cs="Times New Roman" w:eastAsia="Times New Roman" w:hAnsi="Times New Roman"/>
          <w:sz w:val="28"/>
          <w:szCs w:val="28"/>
          <w:rtl w:val="0"/>
        </w:rPr>
        <w:t xml:space="preserve"> Race and gender are socially constructed and still matter politically (Crenshaw, 1991). Sex is a "fictitious unity" produced by the deployment of sexuality (Foucault, 1978, p. 154). Sex is a continuum that society turns into a binary (MacKinnon, 1987, p. 251). Sex was always already gender (Butler, 1990).</w:t>
      </w:r>
    </w:p>
    <w:p w:rsidR="00000000" w:rsidDel="00000000" w:rsidP="00000000" w:rsidRDefault="00000000" w:rsidRPr="00000000" w14:paraId="00000023">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Knowledge carries the values of those who produce it.</w:t>
      </w:r>
      <w:r w:rsidDel="00000000" w:rsidR="00000000" w:rsidRPr="00000000">
        <w:rPr>
          <w:rFonts w:ascii="Times New Roman" w:cs="Times New Roman" w:eastAsia="Times New Roman" w:hAnsi="Times New Roman"/>
          <w:sz w:val="28"/>
          <w:szCs w:val="28"/>
          <w:rtl w:val="0"/>
        </w:rPr>
        <w:t xml:space="preserve"> Regimes of truth determine what counts as true (Foucault, 1980). Objectivity has been coded masculine (Keller, 1978). Contextual values enter science through background assumptions (Longino, 1990). Strong objectivity requires examining the knower (Harding, 1992).</w:t>
      </w:r>
    </w:p>
    <w:p w:rsidR="00000000" w:rsidDel="00000000" w:rsidP="00000000" w:rsidRDefault="00000000" w:rsidRPr="00000000" w14:paraId="00000024">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Classification creates a norm and a deviation.</w:t>
      </w:r>
      <w:r w:rsidDel="00000000" w:rsidR="00000000" w:rsidRPr="00000000">
        <w:rPr>
          <w:rFonts w:ascii="Times New Roman" w:cs="Times New Roman" w:eastAsia="Times New Roman" w:hAnsi="Times New Roman"/>
          <w:sz w:val="28"/>
          <w:szCs w:val="28"/>
          <w:rtl w:val="0"/>
        </w:rPr>
        <w:t xml:space="preserve"> Power works through the norm and the division between normal and pathological (Foucault, 1978). Dichotomous thinking objectifies the "other" (Collins, 1986). The male body serves as the standard (MacKinnon, 1987).</w:t>
      </w:r>
    </w:p>
    <w:p w:rsidR="00000000" w:rsidDel="00000000" w:rsidP="00000000" w:rsidRDefault="00000000" w:rsidRPr="00000000" w14:paraId="00000025">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Norms determine who can be recognized.</w:t>
      </w:r>
      <w:r w:rsidDel="00000000" w:rsidR="00000000" w:rsidRPr="00000000">
        <w:rPr>
          <w:rFonts w:ascii="Times New Roman" w:cs="Times New Roman" w:eastAsia="Times New Roman" w:hAnsi="Times New Roman"/>
          <w:sz w:val="28"/>
          <w:szCs w:val="28"/>
          <w:rtl w:val="0"/>
        </w:rPr>
        <w:t xml:space="preserve"> Norms "qualify, measure, appraise, and hierarchize" (Foucault, 1978, p. 144). Identities that break the coherence of sex, gender, and desire "cannot 'exist'" within cultural intelligibility (Butler, 1990).</w:t>
      </w:r>
    </w:p>
    <w:p w:rsidR="00000000" w:rsidDel="00000000" w:rsidP="00000000" w:rsidRDefault="00000000" w:rsidRPr="00000000" w14:paraId="00000026">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Silence and missing data are forms of power.</w:t>
      </w:r>
      <w:r w:rsidDel="00000000" w:rsidR="00000000" w:rsidRPr="00000000">
        <w:rPr>
          <w:rFonts w:ascii="Times New Roman" w:cs="Times New Roman" w:eastAsia="Times New Roman" w:hAnsi="Times New Roman"/>
          <w:sz w:val="28"/>
          <w:szCs w:val="28"/>
          <w:rtl w:val="0"/>
        </w:rPr>
        <w:t xml:space="preserve"> Silences are part of the strategies of discourse (Foucault, 1978). The LAPD withheld domestic violence statistics, and crime data are never classified by race and sex together (Crenshaw, 1991).</w:t>
      </w:r>
    </w:p>
    <w:p w:rsidR="00000000" w:rsidDel="00000000" w:rsidP="00000000" w:rsidRDefault="00000000" w:rsidRPr="00000000" w14:paraId="00000027">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Single categories erase people at intersections.</w:t>
      </w:r>
      <w:r w:rsidDel="00000000" w:rsidR="00000000" w:rsidRPr="00000000">
        <w:rPr>
          <w:rFonts w:ascii="Times New Roman" w:cs="Times New Roman" w:eastAsia="Times New Roman" w:hAnsi="Times New Roman"/>
          <w:sz w:val="28"/>
          <w:szCs w:val="28"/>
          <w:rtl w:val="0"/>
        </w:rPr>
        <w:t xml:space="preserve"> Oppressions interlock (Collins, 1986; Crenshaw, 1991), and gender cannot be separated from race and class (Butler, 1990). Foucault does not belong in this bullet.</w:t>
      </w:r>
    </w:p>
    <w:p w:rsidR="00000000" w:rsidDel="00000000" w:rsidP="00000000" w:rsidRDefault="00000000" w:rsidRPr="00000000" w14:paraId="00000028">
      <w:pPr>
        <w:numPr>
          <w:ilvl w:val="0"/>
          <w:numId w:val="4"/>
        </w:numPr>
        <w:spacing w:after="0" w:after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Marginalized people hold overlooked knowledge.</w:t>
      </w:r>
      <w:r w:rsidDel="00000000" w:rsidR="00000000" w:rsidRPr="00000000">
        <w:rPr>
          <w:rFonts w:ascii="Times New Roman" w:cs="Times New Roman" w:eastAsia="Times New Roman" w:hAnsi="Times New Roman"/>
          <w:sz w:val="28"/>
          <w:szCs w:val="28"/>
          <w:rtl w:val="0"/>
        </w:rPr>
        <w:t xml:space="preserve"> Subjugated knowledges are disqualified by official institutions (Foucault, 1980). The outsider-within position offers a distinctive standpoint (Collins, 1986). Starting from marginalized lives produces less partial knowledge (Harding, 1992).</w:t>
      </w:r>
    </w:p>
    <w:p w:rsidR="00000000" w:rsidDel="00000000" w:rsidP="00000000" w:rsidRDefault="00000000" w:rsidRPr="00000000" w14:paraId="00000029">
      <w:pPr>
        <w:numPr>
          <w:ilvl w:val="0"/>
          <w:numId w:val="4"/>
        </w:numPr>
        <w:spacing w:after="16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Where there is power, there is resistance.</w:t>
      </w:r>
      <w:r w:rsidDel="00000000" w:rsidR="00000000" w:rsidRPr="00000000">
        <w:rPr>
          <w:rFonts w:ascii="Times New Roman" w:cs="Times New Roman" w:eastAsia="Times New Roman" w:hAnsi="Times New Roman"/>
          <w:sz w:val="28"/>
          <w:szCs w:val="28"/>
          <w:rtl w:val="0"/>
        </w:rPr>
        <w:t xml:space="preserve"> Power always produces resistance (Foucault, 1978, p. 95), and homosexuality came to speak for itself in medicine's own categories (p. 101). The categorized participate in naming, as in the reclamation of "queer" (Crenshaw, 1991). Resignification works from within injurious terms (Butler, 1993). Self-definition resists external definition (Collins, 1986).</w:t>
      </w:r>
      <w:r w:rsidDel="00000000" w:rsidR="00000000" w:rsidRPr="00000000">
        <w:rPr>
          <w:rtl w:val="0"/>
        </w:rPr>
      </w:r>
    </w:p>
    <w:p w:rsidR="00000000" w:rsidDel="00000000" w:rsidP="00000000" w:rsidRDefault="00000000" w:rsidRPr="00000000" w14:paraId="0000002A">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does this relate to The Classification and Datafication of Queer Bodies?</w:t>
      </w:r>
    </w:p>
    <w:p w:rsidR="00000000" w:rsidDel="00000000" w:rsidP="00000000" w:rsidRDefault="00000000" w:rsidRPr="00000000" w14:paraId="0000002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direct link is the "species" passage, because it gives a genealogy for classification as the moment a category becomes a kind of person, which is the move my project tracks when a sex or gender field on a form fixes someone into a data type. His account of population also anticipates datafication: the state's interest in birth rates, demographers, and a "grid of observations regarding sex" (pp. 25-26) is an early version of counting sex at the level of a population, and the two-pole structure of bio-power (individual body and species body) maps onto records about individuals that also get aggregated into statistics. Methodologically, his attention to institutional discourse and the "reverse" discourse (p. 101) supports rhetorical analysis of technical documents, and it raises a useful question for my work about whether queer people's use of the same categories to claim recognition counts as resistance or as more capture. The main limit is that he writes about European sexual science and says little about race, colonialism, or computation, which is where Benjamin, Browne, Spade, and Bowker and Star do work he doesn't.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