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2CCFA" w14:textId="77777777" w:rsidR="007633AC" w:rsidRDefault="00000000">
      <w:pPr>
        <w:widowControl w:val="0"/>
        <w:snapToGrid w:val="0"/>
        <w:rPr>
          <w:rFonts w:ascii="黑体" w:eastAsia="黑体" w:hAnsi="宋体" w:cs="宋体"/>
          <w:b/>
          <w:kern w:val="2"/>
          <w:sz w:val="32"/>
          <w:szCs w:val="32"/>
          <w:lang w:eastAsia="zh-CN"/>
        </w:rPr>
      </w:pP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第十一届浙江工业大学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“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健行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”</w:t>
      </w: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本科生学术论坛征文</w:t>
      </w:r>
    </w:p>
    <w:p w14:paraId="0B4E5669" w14:textId="77777777" w:rsidR="007633AC" w:rsidRDefault="00000000">
      <w:pPr>
        <w:widowControl w:val="0"/>
        <w:snapToGrid w:val="0"/>
        <w:rPr>
          <w:rFonts w:ascii="黑体" w:eastAsia="黑体" w:hAnsi="宋体" w:cs="宋体"/>
          <w:b/>
          <w:kern w:val="2"/>
          <w:sz w:val="32"/>
          <w:szCs w:val="32"/>
        </w:rPr>
      </w:pPr>
      <w:r>
        <w:rPr>
          <w:rFonts w:ascii="黑体" w:eastAsia="黑体" w:hAnsi="宋体" w:cs="黑体"/>
          <w:b/>
          <w:kern w:val="2"/>
          <w:sz w:val="32"/>
          <w:szCs w:val="32"/>
          <w:lang w:eastAsia="zh-CN" w:bidi="ar"/>
        </w:rPr>
        <w:t>导师推荐表</w:t>
      </w:r>
    </w:p>
    <w:p w14:paraId="5755A77A" w14:textId="77777777" w:rsidR="007633AC" w:rsidRDefault="00000000">
      <w:pPr>
        <w:widowControl w:val="0"/>
        <w:snapToGrid w:val="0"/>
        <w:rPr>
          <w:rFonts w:ascii="Calibri" w:hAnsi="Calibri" w:cs="宋体"/>
          <w:b/>
          <w:kern w:val="2"/>
          <w:sz w:val="18"/>
          <w:szCs w:val="18"/>
        </w:rPr>
      </w:pPr>
      <w:r>
        <w:rPr>
          <w:rFonts w:ascii="Calibri" w:hAnsi="Calibri" w:cs="宋体" w:hint="eastAsia"/>
          <w:b/>
          <w:kern w:val="2"/>
          <w:sz w:val="18"/>
          <w:szCs w:val="18"/>
          <w:lang w:eastAsia="zh-CN" w:bidi="ar"/>
        </w:rPr>
        <w:t xml:space="preserve"> </w:t>
      </w:r>
    </w:p>
    <w:p w14:paraId="0C06C90B" w14:textId="77777777" w:rsidR="007633AC" w:rsidRDefault="00000000">
      <w:pPr>
        <w:widowControl w:val="0"/>
        <w:snapToGrid w:val="0"/>
        <w:rPr>
          <w:rFonts w:ascii="Calibri" w:hAnsi="Calibri" w:cs="宋体"/>
          <w:b/>
          <w:kern w:val="2"/>
          <w:sz w:val="18"/>
          <w:szCs w:val="18"/>
        </w:rPr>
      </w:pPr>
      <w:r>
        <w:rPr>
          <w:rFonts w:ascii="Calibri" w:hAnsi="Calibri" w:cs="宋体" w:hint="eastAsia"/>
          <w:b/>
          <w:kern w:val="2"/>
          <w:sz w:val="18"/>
          <w:szCs w:val="18"/>
          <w:lang w:eastAsia="zh-CN" w:bidi="ar"/>
        </w:rPr>
        <w:t xml:space="preserve"> 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05"/>
        <w:gridCol w:w="779"/>
        <w:gridCol w:w="1276"/>
        <w:gridCol w:w="1276"/>
        <w:gridCol w:w="1134"/>
        <w:gridCol w:w="992"/>
        <w:gridCol w:w="1103"/>
      </w:tblGrid>
      <w:tr w:rsidR="007633AC" w14:paraId="31FD0A66" w14:textId="77777777">
        <w:trPr>
          <w:trHeight w:val="77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56AD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论文题目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2713" w14:textId="15D6ABD0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GRCR-Net: A Complex Residual Network with GPR Denoising and Rotational Augmentation for Automatic Modulation Classification</w:t>
            </w:r>
          </w:p>
        </w:tc>
      </w:tr>
      <w:tr w:rsidR="007633AC" w14:paraId="61256182" w14:textId="77777777">
        <w:trPr>
          <w:trHeight w:val="61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C6B1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论文提交者姓名</w:t>
            </w:r>
            <w:r>
              <w:rPr>
                <w:rFonts w:ascii="仿宋" w:eastAsia="仿宋" w:hAnsi="仿宋" w:cs="仿宋"/>
                <w:kern w:val="2"/>
                <w:sz w:val="18"/>
                <w:szCs w:val="18"/>
                <w:lang w:eastAsia="zh-CN" w:bidi="ar"/>
              </w:rPr>
              <w:t>（必须为论文第一作者）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53C3" w14:textId="5A6B72D7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李俊凯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230D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联系方式</w:t>
            </w:r>
          </w:p>
        </w:tc>
        <w:tc>
          <w:tcPr>
            <w:tcW w:w="32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E80F1" w14:textId="6934FFF1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13018905040</w:t>
            </w:r>
          </w:p>
        </w:tc>
      </w:tr>
      <w:tr w:rsidR="007633AC" w14:paraId="644A95C8" w14:textId="77777777">
        <w:trPr>
          <w:trHeight w:val="62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AEC3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学校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F5652" w14:textId="0EF1BDB1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浙江工业大学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356B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学院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3B76" w14:textId="3A965DCC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信息工程学院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05CB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42F" w14:textId="5BBE1B8D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智能科学与技术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4E4F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年级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1CA4C" w14:textId="58377982" w:rsidR="007633AC" w:rsidRDefault="00D16988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大二</w:t>
            </w:r>
          </w:p>
        </w:tc>
      </w:tr>
      <w:tr w:rsidR="007633AC" w14:paraId="5DC2B4D7" w14:textId="77777777">
        <w:trPr>
          <w:trHeight w:val="62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10CA3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论文作者</w:t>
            </w:r>
            <w:r>
              <w:rPr>
                <w:rFonts w:ascii="仿宋" w:eastAsia="仿宋" w:hAnsi="仿宋" w:cs="仿宋"/>
                <w:kern w:val="2"/>
                <w:sz w:val="18"/>
                <w:szCs w:val="18"/>
                <w:lang w:eastAsia="zh-CN" w:bidi="ar"/>
              </w:rPr>
              <w:t>（按定稿论文作者顺序列出）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8575" w14:textId="7A24AA09" w:rsidR="007633AC" w:rsidRDefault="00D16988">
            <w:pPr>
              <w:widowControl w:val="0"/>
              <w:rPr>
                <w:rFonts w:ascii="Calibri" w:hAnsi="Calibri" w:cs="宋体"/>
                <w:kern w:val="2"/>
                <w:sz w:val="18"/>
                <w:szCs w:val="18"/>
                <w:lang w:eastAsia="zh-CN"/>
              </w:rPr>
            </w:pPr>
            <w:r w:rsidRP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>李俊凯</w:t>
            </w:r>
          </w:p>
        </w:tc>
      </w:tr>
      <w:tr w:rsidR="007633AC" w14:paraId="0C1DD7AE" w14:textId="77777777">
        <w:trPr>
          <w:cantSplit/>
          <w:trHeight w:val="210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A0860F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论文摘要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39AC8" w14:textId="59B75824" w:rsidR="007633AC" w:rsidRDefault="00D16988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</w:rPr>
            </w:pP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Automatic Modulation Classification (AMC) is a key technology in intelligent wireless communications, crucial for enhancing spectral efficiency and network performance.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However, existing deep learning methods suffer from a significant degradation in classification accuracy under low Signal-to-Noise Ratio (SNR) conditions.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paper addresses this issue by proposing an AMC method.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method uniquely integrates three core techniques: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First, adaptive Gaussian Process Regression (GPR) is employed for signal denoising, achieving optimal denoising effects at different noise levels through an SNR-adaptive length-scale adjustment strategy.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Second, rotational data augmentation is utilized based on the geometric symmetry of modulation signal constellation diagrams to enrich the training data.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Finally, a hybrid complex convolutional-residual network architecture is designed.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architecture combines the advantages of Complex Convolutional Networks (</w:t>
            </w:r>
            <w:proofErr w:type="spellStart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ComplexCNN</w:t>
            </w:r>
            <w:proofErr w:type="spellEnd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) in processing complex I/Q signals and preserving phase information with the characteristics of Residual Networks (</w:t>
            </w:r>
            <w:proofErr w:type="spellStart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ResNet</w:t>
            </w:r>
            <w:proofErr w:type="spellEnd"/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) in deep feature learning and gradient stability.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Experimental results on the RML2016.10a dataset show that the proposed method achieves a classification accuracy of 65.38%, significantly outperforming current state-of-the-art methods.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This research provides a robust solution for modulation recognition in complex electromagnetic environments and is of great significance for the development of cognitive radio and next-generation intelligent communication systems.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 w:rsidRPr="00D16988">
              <w:rPr>
                <w:rFonts w:ascii="Calibri" w:hAnsi="Calibri" w:cs="宋体"/>
                <w:kern w:val="2"/>
                <w:sz w:val="24"/>
                <w:szCs w:val="24"/>
              </w:rPr>
              <w:t>The code is open-sourced at: https://github.com/LJK666666666/radioML-v3</w:t>
            </w:r>
          </w:p>
          <w:p w14:paraId="5E01F4EC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</w:tc>
      </w:tr>
      <w:tr w:rsidR="007633AC" w14:paraId="12EFA9E6" w14:textId="77777777">
        <w:trPr>
          <w:cantSplit/>
          <w:trHeight w:val="15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E7EECC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lastRenderedPageBreak/>
              <w:t>原创申明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0F7FB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18F61301" w14:textId="77777777" w:rsidR="007633AC" w:rsidRDefault="00000000" w:rsidP="00D16988">
            <w:pPr>
              <w:widowControl w:val="0"/>
              <w:ind w:firstLineChars="200" w:firstLine="480"/>
              <w:jc w:val="both"/>
              <w:rPr>
                <w:rFonts w:ascii="宋体" w:hAnsi="宋体" w:cs="宋体"/>
                <w:kern w:val="2"/>
                <w:sz w:val="24"/>
                <w:szCs w:val="24"/>
                <w:lang w:eastAsia="zh-CN" w:bidi="ar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本论文由作者独立研究创作，未使用任何未标注来源的内容，未曾在学术期刊、会议或网络平台公开发表。</w:t>
            </w:r>
          </w:p>
          <w:p w14:paraId="3343D765" w14:textId="77777777" w:rsidR="007633AC" w:rsidRDefault="007633AC">
            <w:pPr>
              <w:widowControl w:val="0"/>
              <w:jc w:val="both"/>
              <w:rPr>
                <w:rFonts w:ascii="宋体" w:hAnsi="宋体" w:cs="宋体"/>
                <w:kern w:val="2"/>
                <w:sz w:val="24"/>
                <w:szCs w:val="24"/>
                <w:lang w:eastAsia="zh-CN" w:bidi="ar"/>
              </w:rPr>
            </w:pPr>
          </w:p>
          <w:p w14:paraId="36B8794B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5E120AE2" w14:textId="77777777" w:rsidR="007633AC" w:rsidRDefault="00000000">
            <w:pPr>
              <w:widowControl w:val="0"/>
              <w:wordWrap w:val="0"/>
              <w:ind w:right="480"/>
              <w:jc w:val="right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 xml:space="preserve"> （所有作者签字）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Calibri" w:hAnsi="Calibri" w:cs="Calibri"/>
                <w:kern w:val="2"/>
                <w:sz w:val="24"/>
                <w:szCs w:val="24"/>
                <w:lang w:eastAsia="zh-CN" w:bidi="ar"/>
              </w:rPr>
              <w:t xml:space="preserve"> </w:t>
            </w:r>
          </w:p>
          <w:p w14:paraId="75387BBB" w14:textId="77777777" w:rsidR="007633AC" w:rsidRDefault="00000000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                                     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年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月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日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</w:t>
            </w:r>
          </w:p>
        </w:tc>
      </w:tr>
      <w:tr w:rsidR="007633AC" w14:paraId="55B8DEA3" w14:textId="77777777">
        <w:trPr>
          <w:cantSplit/>
          <w:trHeight w:val="228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A4DD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导师推荐</w:t>
            </w:r>
          </w:p>
          <w:p w14:paraId="63A270A0" w14:textId="77777777" w:rsidR="007633AC" w:rsidRDefault="00000000">
            <w:pPr>
              <w:widowControl w:val="0"/>
              <w:rPr>
                <w:rFonts w:ascii="Calibri" w:hAnsi="Calibri" w:cs="宋体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意见</w:t>
            </w:r>
          </w:p>
        </w:tc>
        <w:tc>
          <w:tcPr>
            <w:tcW w:w="77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A7448" w14:textId="77777777" w:rsidR="00D16988" w:rsidRDefault="00D16988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2E773A0B" w14:textId="77777777" w:rsidR="00E5001D" w:rsidRDefault="00E5001D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5966E234" w14:textId="77777777" w:rsidR="00E5001D" w:rsidRDefault="00E5001D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489EA6B7" w14:textId="77777777" w:rsidR="00E5001D" w:rsidRDefault="00E5001D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72178124" w14:textId="77777777" w:rsidR="00E5001D" w:rsidRDefault="00E5001D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55EC1E91" w14:textId="77777777" w:rsidR="00E5001D" w:rsidRDefault="00E5001D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  <w:p w14:paraId="42321723" w14:textId="77777777" w:rsidR="00E5001D" w:rsidRDefault="00E5001D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</w:pPr>
          </w:p>
          <w:p w14:paraId="48453D69" w14:textId="77777777" w:rsidR="00D16988" w:rsidRDefault="00D16988" w:rsidP="00D16988">
            <w:pPr>
              <w:widowControl w:val="0"/>
              <w:ind w:firstLineChars="200" w:firstLine="48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</w:pPr>
          </w:p>
          <w:p w14:paraId="0CE543F8" w14:textId="6D58057F" w:rsidR="007633AC" w:rsidRDefault="00000000" w:rsidP="00D16988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                                      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（签</w:t>
            </w:r>
            <w:r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字）</w:t>
            </w:r>
          </w:p>
          <w:p w14:paraId="526D3EC2" w14:textId="0E64094E" w:rsidR="007633AC" w:rsidRDefault="00000000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                                   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>2025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年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 xml:space="preserve"> 6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月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 </w:t>
            </w:r>
            <w:r w:rsidR="00D16988">
              <w:rPr>
                <w:rFonts w:ascii="Calibri" w:hAnsi="Calibri" w:cs="宋体" w:hint="eastAsia"/>
                <w:kern w:val="2"/>
                <w:sz w:val="24"/>
                <w:szCs w:val="24"/>
                <w:lang w:eastAsia="zh-CN" w:bidi="ar"/>
              </w:rPr>
              <w:t>10</w:t>
            </w:r>
            <w:r>
              <w:rPr>
                <w:rFonts w:ascii="宋体" w:hAnsi="宋体" w:cs="宋体" w:hint="eastAsia"/>
                <w:kern w:val="2"/>
                <w:sz w:val="24"/>
                <w:szCs w:val="24"/>
                <w:lang w:eastAsia="zh-CN" w:bidi="ar"/>
              </w:rPr>
              <w:t>日</w:t>
            </w:r>
            <w:r>
              <w:rPr>
                <w:rFonts w:ascii="Calibri" w:hAnsi="Calibri" w:cs="宋体"/>
                <w:kern w:val="2"/>
                <w:sz w:val="24"/>
                <w:szCs w:val="24"/>
                <w:lang w:eastAsia="zh-CN" w:bidi="ar"/>
              </w:rPr>
              <w:t xml:space="preserve"> </w:t>
            </w:r>
          </w:p>
          <w:p w14:paraId="440D851F" w14:textId="77777777" w:rsidR="007633AC" w:rsidRDefault="007633AC">
            <w:pPr>
              <w:widowControl w:val="0"/>
              <w:jc w:val="both"/>
              <w:rPr>
                <w:rFonts w:ascii="Calibri" w:hAnsi="Calibri" w:cs="宋体"/>
                <w:kern w:val="2"/>
                <w:sz w:val="24"/>
                <w:szCs w:val="24"/>
                <w:lang w:eastAsia="zh-CN"/>
              </w:rPr>
            </w:pPr>
          </w:p>
        </w:tc>
      </w:tr>
    </w:tbl>
    <w:p w14:paraId="3041EE07" w14:textId="77777777" w:rsidR="007633AC" w:rsidRDefault="007633AC">
      <w:pPr>
        <w:rPr>
          <w:lang w:eastAsia="zh-CN"/>
        </w:rPr>
      </w:pPr>
    </w:p>
    <w:sectPr w:rsidR="007633AC">
      <w:headerReference w:type="default" r:id="rId7"/>
      <w:footerReference w:type="default" r:id="rId8"/>
      <w:type w:val="continuous"/>
      <w:pgSz w:w="11906" w:h="16838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B8404" w14:textId="77777777" w:rsidR="007E6E4A" w:rsidRDefault="007E6E4A">
      <w:r>
        <w:separator/>
      </w:r>
    </w:p>
  </w:endnote>
  <w:endnote w:type="continuationSeparator" w:id="0">
    <w:p w14:paraId="7A97C88B" w14:textId="77777777" w:rsidR="007E6E4A" w:rsidRDefault="007E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7A18D" w14:textId="77777777" w:rsidR="007633AC" w:rsidRDefault="007633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B949B" w14:textId="77777777" w:rsidR="007E6E4A" w:rsidRDefault="007E6E4A">
      <w:r>
        <w:separator/>
      </w:r>
    </w:p>
  </w:footnote>
  <w:footnote w:type="continuationSeparator" w:id="0">
    <w:p w14:paraId="646792DE" w14:textId="77777777" w:rsidR="007E6E4A" w:rsidRDefault="007E6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8ED68" w14:textId="77777777" w:rsidR="007633AC" w:rsidRDefault="007633A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left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4189603E"/>
    <w:lvl w:ilvl="0">
      <w:start w:val="1"/>
      <w:numFmt w:val="upperRoman"/>
      <w:pStyle w:val="1"/>
      <w:lvlText w:val="%1."/>
      <w:lvlJc w:val="center"/>
      <w:pPr>
        <w:tabs>
          <w:tab w:val="left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upperLetter"/>
      <w:pStyle w:val="2"/>
      <w:lvlText w:val="%2."/>
      <w:lvlJc w:val="left"/>
      <w:pPr>
        <w:tabs>
          <w:tab w:val="left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3)"/>
      <w:lvlJc w:val="left"/>
      <w:pPr>
        <w:tabs>
          <w:tab w:val="left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lowerLetter"/>
      <w:pStyle w:val="4"/>
      <w:lvlText w:val="%4)"/>
      <w:lvlJc w:val="left"/>
      <w:pPr>
        <w:tabs>
          <w:tab w:val="left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multilevel"/>
    <w:tmpl w:val="493C3F76"/>
    <w:lvl w:ilvl="0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left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23626799">
    <w:abstractNumId w:val="2"/>
  </w:num>
  <w:num w:numId="2" w16cid:durableId="394592940">
    <w:abstractNumId w:val="1"/>
  </w:num>
  <w:num w:numId="3" w16cid:durableId="1227491964">
    <w:abstractNumId w:val="5"/>
  </w:num>
  <w:num w:numId="4" w16cid:durableId="958412212">
    <w:abstractNumId w:val="0"/>
  </w:num>
  <w:num w:numId="5" w16cid:durableId="1577863076">
    <w:abstractNumId w:val="4"/>
  </w:num>
  <w:num w:numId="6" w16cid:durableId="580800812">
    <w:abstractNumId w:val="3"/>
  </w:num>
  <w:num w:numId="7" w16cid:durableId="1658264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hhYmM5ZWM3MTM4Yzc1MjZiNzViNTVhZDc2NGE0Y2UifQ=="/>
  </w:docVars>
  <w:rsids>
    <w:rsidRoot w:val="009303D9"/>
    <w:rsid w:val="BFBA8F76"/>
    <w:rsid w:val="E5FB543E"/>
    <w:rsid w:val="FED1D485"/>
    <w:rsid w:val="0004781E"/>
    <w:rsid w:val="0008758A"/>
    <w:rsid w:val="000C1E68"/>
    <w:rsid w:val="00164116"/>
    <w:rsid w:val="001A2EFD"/>
    <w:rsid w:val="001A3B3D"/>
    <w:rsid w:val="001B67DC"/>
    <w:rsid w:val="001C420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4CCD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633AC"/>
    <w:rsid w:val="00794804"/>
    <w:rsid w:val="007B33F1"/>
    <w:rsid w:val="007B6DDA"/>
    <w:rsid w:val="007C0308"/>
    <w:rsid w:val="007C2FF2"/>
    <w:rsid w:val="007D6232"/>
    <w:rsid w:val="007E6E4A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16988"/>
    <w:rsid w:val="00D2176E"/>
    <w:rsid w:val="00D632BE"/>
    <w:rsid w:val="00D72D06"/>
    <w:rsid w:val="00D7522C"/>
    <w:rsid w:val="00D7536F"/>
    <w:rsid w:val="00D76668"/>
    <w:rsid w:val="00E07383"/>
    <w:rsid w:val="00E165BC"/>
    <w:rsid w:val="00E5001D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2223D56"/>
    <w:rsid w:val="067D04D8"/>
    <w:rsid w:val="07C02BAA"/>
    <w:rsid w:val="0B333027"/>
    <w:rsid w:val="0B640F3B"/>
    <w:rsid w:val="0DFA720B"/>
    <w:rsid w:val="0EC84196"/>
    <w:rsid w:val="140C2D67"/>
    <w:rsid w:val="18665676"/>
    <w:rsid w:val="18BA7315"/>
    <w:rsid w:val="1DE90DD1"/>
    <w:rsid w:val="22567F9F"/>
    <w:rsid w:val="23FE4233"/>
    <w:rsid w:val="27631FD5"/>
    <w:rsid w:val="36A135E6"/>
    <w:rsid w:val="36AC3612"/>
    <w:rsid w:val="38C904AC"/>
    <w:rsid w:val="3C026BC7"/>
    <w:rsid w:val="3D5642D8"/>
    <w:rsid w:val="491F33FC"/>
    <w:rsid w:val="574A05B2"/>
    <w:rsid w:val="57D75299"/>
    <w:rsid w:val="58F82CCE"/>
    <w:rsid w:val="5C0EB3E0"/>
    <w:rsid w:val="5CB815AE"/>
    <w:rsid w:val="656E7B61"/>
    <w:rsid w:val="70C64CF5"/>
    <w:rsid w:val="732B05A0"/>
    <w:rsid w:val="73FF4EF7"/>
    <w:rsid w:val="77B27D81"/>
    <w:rsid w:val="7955517B"/>
    <w:rsid w:val="7A461828"/>
    <w:rsid w:val="7ADB75EF"/>
    <w:rsid w:val="7E8B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F3B96"/>
  <w15:docId w15:val="{4675BAD4-9203-4AFD-93C8-6CC43EB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  <w:rPr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360"/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a5">
    <w:name w:val="footer"/>
    <w:basedOn w:val="a"/>
    <w:link w:val="a6"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qFormat/>
    <w:pPr>
      <w:tabs>
        <w:tab w:val="center" w:pos="4680"/>
        <w:tab w:val="right" w:pos="9360"/>
      </w:tabs>
    </w:pPr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qFormat/>
    <w:pPr>
      <w:jc w:val="center"/>
    </w:pPr>
    <w:rPr>
      <w:lang w:eastAsia="en-US"/>
    </w:r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  <w:lang w:eastAsia="en-US"/>
    </w:rPr>
  </w:style>
  <w:style w:type="character" w:customStyle="1" w:styleId="a4">
    <w:name w:val="正文文本 字符"/>
    <w:link w:val="a3"/>
    <w:qFormat/>
    <w:rPr>
      <w:spacing w:val="-1"/>
      <w:lang w:val="zh-CN" w:eastAsia="zh-CN"/>
    </w:rPr>
  </w:style>
  <w:style w:type="paragraph" w:customStyle="1" w:styleId="bulletlist">
    <w:name w:val="bullet list"/>
    <w:basedOn w:val="a3"/>
    <w:qFormat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  <w:lang w:eastAsia="en-US"/>
    </w:rPr>
  </w:style>
  <w:style w:type="paragraph" w:customStyle="1" w:styleId="footnote">
    <w:name w:val="footnote"/>
    <w:qFormat/>
    <w:pPr>
      <w:framePr w:hSpace="187" w:vSpace="187" w:wrap="notBeside" w:vAnchor="text" w:hAnchor="page" w:x="6121" w:y="577"/>
      <w:numPr>
        <w:numId w:val="4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  <w:lang w:eastAsia="en-US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sponsors">
    <w:name w:val="sponsors"/>
    <w:qFormat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  <w:lang w:eastAsia="en-US"/>
    </w:rPr>
  </w:style>
  <w:style w:type="paragraph" w:customStyle="1" w:styleId="tablefootnote">
    <w:name w:val="table footnote"/>
    <w:qFormat/>
    <w:pPr>
      <w:numPr>
        <w:numId w:val="6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qFormat/>
    <w:pPr>
      <w:numPr>
        <w:numId w:val="7"/>
      </w:numPr>
      <w:spacing w:before="240" w:after="120" w:line="216" w:lineRule="auto"/>
      <w:jc w:val="center"/>
    </w:pPr>
    <w:rPr>
      <w:smallCaps/>
      <w:sz w:val="16"/>
      <w:szCs w:val="16"/>
      <w:lang w:eastAsia="en-US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character" w:customStyle="1" w:styleId="a8">
    <w:name w:val="页眉 字符"/>
    <w:basedOn w:val="a0"/>
    <w:link w:val="a7"/>
    <w:qFormat/>
  </w:style>
  <w:style w:type="character" w:customStyle="1" w:styleId="a6">
    <w:name w:val="页脚 字符"/>
    <w:basedOn w:val="a0"/>
    <w:link w:val="a5"/>
    <w:qFormat/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宋体" w:eastAsia="宋体" w:hAnsi="宋体" w:cs="宋体" w:hint="eastAsia"/>
      <w:color w:val="000000"/>
      <w:sz w:val="20"/>
      <w:szCs w:val="20"/>
    </w:rPr>
  </w:style>
  <w:style w:type="character" w:customStyle="1" w:styleId="16">
    <w:name w:val="16"/>
    <w:basedOn w:val="a0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17">
    <w:name w:val="17"/>
    <w:basedOn w:val="a0"/>
    <w:qFormat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321</Words>
  <Characters>1833</Characters>
  <Application>Microsoft Office Word</Application>
  <DocSecurity>0</DocSecurity>
  <Lines>15</Lines>
  <Paragraphs>4</Paragraphs>
  <ScaleCrop>false</ScaleCrop>
  <Company>IEEE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俊凯 李</cp:lastModifiedBy>
  <cp:revision>3</cp:revision>
  <dcterms:created xsi:type="dcterms:W3CDTF">2019-01-09T18:42:00Z</dcterms:created>
  <dcterms:modified xsi:type="dcterms:W3CDTF">2025-06-11T06:41:00Z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3EE21092E1EDB4B32346CA677B64224C_43</vt:lpwstr>
  </property>
  <property fmtid="{D5CDD505-2E9C-101B-9397-08002B2CF9AE}" pid="4" name="KSOTemplateDocerSaveRecord">
    <vt:lpwstr>eyJoZGlkIjoiODZlNmM4ZmQyMjUwYmVjMjE4MmU1OWJhNzc0NTJlNjciLCJ1c2VySWQiOiIyNzIyODY2OTkifQ==</vt:lpwstr>
  </property>
</Properties>
</file>