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 接入指南</w:t>
      </w:r>
    </w:p>
    <w:p>
      <w:pPr>
        <w:pStyle w:val="Heading2"/>
      </w:pPr>
      <w:r>
        <w:t>开发环境</w:t>
      </w:r>
    </w:p>
    <w:p>
      <w:r>
        <w:t>Python 版本固定为 3.11，依赖通过 uv 安装。</w:t>
      </w:r>
    </w:p>
    <w:p>
      <w:pPr>
        <w:pStyle w:val="Heading2"/>
      </w:pPr>
      <w:r>
        <w:t>启动顺序</w:t>
      </w:r>
    </w:p>
    <w:p>
      <w:r>
        <w:t>先启动 API，再启动 Streamlit 演示页。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