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3CF7" w14:textId="77777777" w:rsidR="00166E3A" w:rsidRDefault="00000000">
      <w:pPr>
        <w:pStyle w:val="Heading1"/>
      </w:pPr>
      <w:r>
        <w:t>Proposal for 2026 UCB MFE Practicum – ECS OPT QR</w:t>
      </w:r>
    </w:p>
    <w:p w14:paraId="76327A23" w14:textId="77777777" w:rsidR="00166E3A" w:rsidRDefault="00000000">
      <w:pPr>
        <w:pStyle w:val="Heading2"/>
      </w:pPr>
      <w:r>
        <w:t>Optimal Intraday Delta Hedging Strategy Study</w:t>
      </w:r>
    </w:p>
    <w:p w14:paraId="09848994" w14:textId="01169374" w:rsidR="00166E3A" w:rsidRDefault="00000000">
      <w:r>
        <w:rPr>
          <w:b/>
        </w:rPr>
        <w:t>Goal</w:t>
      </w:r>
    </w:p>
    <w:p w14:paraId="3C9EA5CB" w14:textId="77777777" w:rsidR="00166E3A" w:rsidRDefault="00000000">
      <w:r>
        <w:t>Research and design an optimal intraday delta hedging strategy for listed options using market data available to students.</w:t>
      </w:r>
    </w:p>
    <w:p w14:paraId="2D4B2AF9" w14:textId="555FCFD5" w:rsidR="00166E3A" w:rsidRDefault="00000000">
      <w:r>
        <w:rPr>
          <w:b/>
        </w:rPr>
        <w:t>Background</w:t>
      </w:r>
    </w:p>
    <w:p w14:paraId="37BC5E36" w14:textId="77777777" w:rsidR="00166E3A" w:rsidRDefault="00000000">
      <w:r>
        <w:t>Options trading generates intraday delta exposure that must be managed dynamically and unwound by end of day to maintain a neutral overnight risk profile. Hedging activity introduces trade-offs between execution costs, market impact, and residual risk. The project focuses on designing a practical framework to minimize total hedging cost while maintaining effective risk control.</w:t>
      </w:r>
    </w:p>
    <w:p w14:paraId="50770998" w14:textId="5743EFC1" w:rsidR="00166E3A" w:rsidRDefault="00000000">
      <w:r>
        <w:rPr>
          <w:b/>
        </w:rPr>
        <w:t>Scope and Constraints</w:t>
      </w:r>
    </w:p>
    <w:p w14:paraId="01B7ED1B" w14:textId="77777777" w:rsidR="00166E3A" w:rsidRDefault="00000000">
      <w:r>
        <w:t>The project is constrained to student-accessible market data. The analysis covers the period from January 1, 2026 to May 29, 2026 and excludes reliance on proprietary internal trading datasets.</w:t>
      </w:r>
    </w:p>
    <w:p w14:paraId="080FD2F8" w14:textId="288B2425" w:rsidR="00166E3A" w:rsidRDefault="00000000">
      <w:r>
        <w:rPr>
          <w:b/>
        </w:rPr>
        <w:t>Data</w:t>
      </w:r>
    </w:p>
    <w:p w14:paraId="621D2360" w14:textId="7980FC7C" w:rsidR="00166E3A" w:rsidRDefault="00000000">
      <w:r>
        <w:t xml:space="preserve">Intraday data: SPX Index, ES1 Index, SPY US Equity (5-minute sampling from Bloomberg), with </w:t>
      </w:r>
      <w:proofErr w:type="spellStart"/>
      <w:r w:rsidR="00753E7F">
        <w:t>Databento</w:t>
      </w:r>
      <w:proofErr w:type="spellEnd"/>
      <w:r>
        <w:t xml:space="preserve"> data used for market depth and execution analysis.</w:t>
      </w:r>
      <w:r>
        <w:br/>
        <w:t>EOD inputs: Implied volatility from Bloomberg BVOL and SOFR OIS rate curves via Bloomberg API.</w:t>
      </w:r>
    </w:p>
    <w:p w14:paraId="12E2FBF3" w14:textId="11B808F5" w:rsidR="00166E3A" w:rsidRDefault="00000000">
      <w:r>
        <w:rPr>
          <w:b/>
        </w:rPr>
        <w:t>Modeling</w:t>
      </w:r>
    </w:p>
    <w:p w14:paraId="28E85AEB" w14:textId="77777777" w:rsidR="00166E3A" w:rsidRDefault="00000000">
      <w:r>
        <w:t>Students will develop a vanilla option pricer to compute dollar delta for listed options across strikes and maturities, using standard implied volatility and rates inputs.</w:t>
      </w:r>
    </w:p>
    <w:p w14:paraId="74F4A157" w14:textId="14B5E202" w:rsidR="00166E3A" w:rsidRDefault="00000000">
      <w:r>
        <w:rPr>
          <w:b/>
        </w:rPr>
        <w:t>Trade Simulation</w:t>
      </w:r>
    </w:p>
    <w:p w14:paraId="67DE7ABE" w14:textId="77777777" w:rsidR="00166E3A" w:rsidRDefault="00000000">
      <w:r>
        <w:t>Generate a synthetic dataset of option trades using standard monthly expiries (third Friday). Trades should vary across strike, maturity, size, and time to ensure broad coverage of market conditions.</w:t>
      </w:r>
    </w:p>
    <w:p w14:paraId="24D28DEE" w14:textId="689AB0A4" w:rsidR="00FC58EC" w:rsidRDefault="00FC58EC">
      <w:r>
        <w:t>You can assign weights by trading volume per specific option line/bucket. For Buy/Sell weights, you can assign an even split.</w:t>
      </w:r>
    </w:p>
    <w:p w14:paraId="48B92C28" w14:textId="3B6DD902" w:rsidR="00FC58EC" w:rsidRDefault="00FC58EC">
      <w:r>
        <w:t>For size, you can reuse trading volumes per specific option line/bucket.</w:t>
      </w:r>
    </w:p>
    <w:p w14:paraId="684B21AF" w14:textId="457B9DB2" w:rsidR="00FC58EC" w:rsidRDefault="00FC58EC">
      <w:r>
        <w:t xml:space="preserve">For time of day, you can apply uniform distribution, or assign higher weights to open/close. </w:t>
      </w:r>
    </w:p>
    <w:p w14:paraId="5D17B9D7" w14:textId="082DAF45" w:rsidR="00166E3A" w:rsidRDefault="00000000">
      <w:r>
        <w:rPr>
          <w:b/>
        </w:rPr>
        <w:lastRenderedPageBreak/>
        <w:t>Hedging Framework</w:t>
      </w:r>
    </w:p>
    <w:p w14:paraId="57BA6B94" w14:textId="77777777" w:rsidR="00B23FC1" w:rsidRDefault="00000000">
      <w:r>
        <w:t xml:space="preserve">Evaluate alternative hedging approaches including fixed-time rebalancing and </w:t>
      </w:r>
      <w:r w:rsidRPr="0077425C">
        <w:rPr>
          <w:b/>
          <w:bCs/>
        </w:rPr>
        <w:t>threshold-based strategies</w:t>
      </w:r>
      <w:r>
        <w:t>. The objective is to determine the optimal hedging frequency balancing risk reduction and execution cost.</w:t>
      </w:r>
      <w:r w:rsidR="00083D10">
        <w:t xml:space="preserve"> </w:t>
      </w:r>
    </w:p>
    <w:p w14:paraId="72415FBE" w14:textId="2255FC3D" w:rsidR="00166E3A" w:rsidRDefault="00083D10">
      <w:r w:rsidRPr="00B23FC1">
        <w:rPr>
          <w:b/>
          <w:bCs/>
        </w:rPr>
        <w:t>Extra Credit</w:t>
      </w:r>
      <w:r>
        <w:t>: Implement different types of clients – ones with and without market knowledge (alpha).</w:t>
      </w:r>
    </w:p>
    <w:p w14:paraId="5102F8C7" w14:textId="15022FB0" w:rsidR="00166E3A" w:rsidRDefault="00000000">
      <w:r>
        <w:rPr>
          <w:b/>
        </w:rPr>
        <w:t>Execution Cost and Market Impact</w:t>
      </w:r>
    </w:p>
    <w:p w14:paraId="7A0ED4C3" w14:textId="258835AC" w:rsidR="00166E3A" w:rsidRDefault="00000000">
      <w:r>
        <w:t>Estimate trading costs using order book data, accounting for spread, depth, and realized execution prices</w:t>
      </w:r>
      <w:r w:rsidR="00FD613B">
        <w:t>, and market impact</w:t>
      </w:r>
      <w:r>
        <w:t>. Analyze how hedge size affects execution quality and identify thresholds where market impact becomes material.</w:t>
      </w:r>
    </w:p>
    <w:p w14:paraId="26054151" w14:textId="73F1A680" w:rsidR="00166E3A" w:rsidRDefault="00000000">
      <w:r>
        <w:rPr>
          <w:b/>
        </w:rPr>
        <w:t>Hedging Instrument Comparison</w:t>
      </w:r>
    </w:p>
    <w:p w14:paraId="32A7794C" w14:textId="1F2722F7" w:rsidR="00166E3A" w:rsidRDefault="00000000">
      <w:r>
        <w:t>Compare SPY shares and ES futures as hedging instruments for SPX options. Assess relative cost efficiency, liquidity, tracking quality</w:t>
      </w:r>
      <w:r w:rsidR="00FD613B">
        <w:t>, market impact</w:t>
      </w:r>
      <w:r>
        <w:t>, and practicality, and express results in cost per unit of delta hedged.</w:t>
      </w:r>
    </w:p>
    <w:p w14:paraId="5DE52D47" w14:textId="06F5D724" w:rsidR="00166E3A" w:rsidRDefault="00000000">
      <w:r>
        <w:rPr>
          <w:b/>
        </w:rPr>
        <w:t>Extension</w:t>
      </w:r>
    </w:p>
    <w:p w14:paraId="3C06E060" w14:textId="1EC701FE" w:rsidR="00166E3A" w:rsidRDefault="00000000">
      <w:r>
        <w:t>Extend the framework to one liquid and one less liquid S</w:t>
      </w:r>
      <w:r w:rsidR="00017879">
        <w:t>P</w:t>
      </w:r>
      <w:r>
        <w:t>500 stock to evaluate how liquidity affects optimal hedging policies.</w:t>
      </w:r>
    </w:p>
    <w:p w14:paraId="6EDA85B5" w14:textId="00FFB503" w:rsidR="00166E3A" w:rsidRDefault="00000000">
      <w:r>
        <w:rPr>
          <w:b/>
        </w:rPr>
        <w:t>Output</w:t>
      </w:r>
    </w:p>
    <w:p w14:paraId="504871DB" w14:textId="77777777" w:rsidR="00166E3A" w:rsidRDefault="00000000">
      <w:r>
        <w:t>Deliver a complete backtesting framework, cost and impact analysis, and a final report summarizing methodology, findings, and practical recommendations.</w:t>
      </w:r>
    </w:p>
    <w:sectPr w:rsidR="00166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721248">
    <w:abstractNumId w:val="8"/>
  </w:num>
  <w:num w:numId="2" w16cid:durableId="537741557">
    <w:abstractNumId w:val="6"/>
  </w:num>
  <w:num w:numId="3" w16cid:durableId="1411729286">
    <w:abstractNumId w:val="5"/>
  </w:num>
  <w:num w:numId="4" w16cid:durableId="403256352">
    <w:abstractNumId w:val="4"/>
  </w:num>
  <w:num w:numId="5" w16cid:durableId="2068214673">
    <w:abstractNumId w:val="7"/>
  </w:num>
  <w:num w:numId="6" w16cid:durableId="111170717">
    <w:abstractNumId w:val="3"/>
  </w:num>
  <w:num w:numId="7" w16cid:durableId="561910887">
    <w:abstractNumId w:val="2"/>
  </w:num>
  <w:num w:numId="8" w16cid:durableId="1472210700">
    <w:abstractNumId w:val="1"/>
  </w:num>
  <w:num w:numId="9" w16cid:durableId="171549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79"/>
    <w:rsid w:val="00034616"/>
    <w:rsid w:val="0006063C"/>
    <w:rsid w:val="00083D10"/>
    <w:rsid w:val="0015074B"/>
    <w:rsid w:val="00166E3A"/>
    <w:rsid w:val="0029639D"/>
    <w:rsid w:val="00326F90"/>
    <w:rsid w:val="00753E7F"/>
    <w:rsid w:val="0076310C"/>
    <w:rsid w:val="0077425C"/>
    <w:rsid w:val="008B52FC"/>
    <w:rsid w:val="00AA1D8D"/>
    <w:rsid w:val="00B23FC1"/>
    <w:rsid w:val="00B47730"/>
    <w:rsid w:val="00CB0664"/>
    <w:rsid w:val="00FC58EC"/>
    <w:rsid w:val="00FC693F"/>
    <w:rsid w:val="00FD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004B6"/>
  <w14:defaultImageDpi w14:val="300"/>
  <w15:docId w15:val="{9454A366-7963-4FBE-B476-CAAFCD8B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Shuvalov, Artem (CIB Equities, USA)</cp:lastModifiedBy>
  <cp:revision>9</cp:revision>
  <dcterms:created xsi:type="dcterms:W3CDTF">2013-12-23T23:15:00Z</dcterms:created>
  <dcterms:modified xsi:type="dcterms:W3CDTF">2026-06-08T21:57:00Z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310d8f-122c-4c8a-af29-cd9de841932c_Enabled">
    <vt:lpwstr>true</vt:lpwstr>
  </property>
  <property fmtid="{D5CDD505-2E9C-101B-9397-08002B2CF9AE}" pid="3" name="MSIP_Label_f3310d8f-122c-4c8a-af29-cd9de841932c_SetDate">
    <vt:lpwstr>2026-06-08T21:26:59Z</vt:lpwstr>
  </property>
  <property fmtid="{D5CDD505-2E9C-101B-9397-08002B2CF9AE}" pid="4" name="MSIP_Label_f3310d8f-122c-4c8a-af29-cd9de841932c_Method">
    <vt:lpwstr>Standard</vt:lpwstr>
  </property>
  <property fmtid="{D5CDD505-2E9C-101B-9397-08002B2CF9AE}" pid="5" name="MSIP_Label_f3310d8f-122c-4c8a-af29-cd9de841932c_Name">
    <vt:lpwstr>Internal</vt:lpwstr>
  </property>
  <property fmtid="{D5CDD505-2E9C-101B-9397-08002B2CF9AE}" pid="6" name="MSIP_Label_f3310d8f-122c-4c8a-af29-cd9de841932c_SiteId">
    <vt:lpwstr>79c738e8-25cd-4c36-adf6-6ea2ed78f6a4</vt:lpwstr>
  </property>
  <property fmtid="{D5CDD505-2E9C-101B-9397-08002B2CF9AE}" pid="7" name="MSIP_Label_f3310d8f-122c-4c8a-af29-cd9de841932c_ActionId">
    <vt:lpwstr>75975476-4757-42f4-b3ba-e75f7964b636</vt:lpwstr>
  </property>
  <property fmtid="{D5CDD505-2E9C-101B-9397-08002B2CF9AE}" pid="8" name="MSIP_Label_f3310d8f-122c-4c8a-af29-cd9de841932c_ContentBits">
    <vt:lpwstr>0</vt:lpwstr>
  </property>
</Properties>
</file>