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00" w:lineRule="auto"/>
        <w:jc w:val="right"/>
      </w:pPr>
      <w:r>
        <w:rPr>
          <w:rFonts w:ascii="Times New Roman" w:hAnsi="Times New Roman" w:eastAsia="宋体"/>
          <w:b w:val="0"/>
          <w:i w:val="0"/>
          <w:color w:val="999999"/>
          <w:sz w:val="18"/>
        </w:rPr>
        <w:t>初稿 v1（中文 · 供导师审阅；定稿后译英投稿）</w:t>
      </w:r>
    </w:p>
    <w:p>
      <w:pPr>
        <w:spacing w:after="200" w:before="0" w:line="300" w:lineRule="auto"/>
        <w:jc w:val="right"/>
      </w:pPr>
      <w:r>
        <w:rPr>
          <w:rFonts w:ascii="Times New Roman" w:hAnsi="Times New Roman" w:eastAsia="宋体"/>
          <w:b w:val="0"/>
          <w:i w:val="0"/>
          <w:color w:val="999999"/>
          <w:sz w:val="18"/>
        </w:rPr>
        <w:t>目标期刊（建议主投）：Digital Discovery / npj Computational Materials / Communications Materials；实验补强后可转投 Nature Communications</w:t>
      </w:r>
    </w:p>
    <w:p>
      <w:pPr>
        <w:spacing w:after="80"/>
        <w:jc w:val="center"/>
      </w:pPr>
      <w:r>
        <w:rPr>
          <w:rFonts w:ascii="Times New Roman" w:hAnsi="Times New Roman" w:eastAsia="黑体"/>
          <w:b/>
          <w:color w:val="1F3864"/>
          <w:sz w:val="32"/>
        </w:rPr>
        <w:t>一个证据约束、claim 受审计的智能体：将酸-黏土质子传导原理迁移到冷却韧性的生物聚合物–黏土膜</w:t>
      </w:r>
    </w:p>
    <w:p>
      <w:pPr>
        <w:spacing w:after="200"/>
        <w:jc w:val="center"/>
      </w:pPr>
      <w:r>
        <w:rPr>
          <w:rFonts w:ascii="Times New Roman" w:hAnsi="Times New Roman" w:eastAsia="Times New Roman"/>
          <w:i/>
          <w:color w:val="444444"/>
          <w:sz w:val="22"/>
        </w:rPr>
        <w:t>An evidence-constrained, claim-audited agent that transfers acid-in-clay proton-conduction principles to cooling-resilient biopolymer–clay membranes</w:t>
      </w:r>
    </w:p>
    <w:p>
      <w:pPr>
        <w:spacing w:after="240" w:before="0" w:line="300" w:lineRule="auto"/>
        <w:jc w:val="center"/>
      </w:pPr>
      <w:r>
        <w:rPr>
          <w:rFonts w:ascii="Times New Roman" w:hAnsi="Times New Roman" w:eastAsia="宋体"/>
          <w:b w:val="0"/>
          <w:i w:val="0"/>
          <w:sz w:val="20"/>
        </w:rPr>
        <w:t>作者：JZ；通讯/单位：____（待补）</w:t>
      </w:r>
    </w:p>
    <w:p>
      <w:pPr>
        <w:spacing w:before="240" w:after="120"/>
      </w:pPr>
      <w:r>
        <w:rPr>
          <w:rFonts w:ascii="Times New Roman" w:hAnsi="Times New Roman" w:eastAsia="黑体"/>
          <w:b/>
          <w:color w:val="1F3864"/>
          <w:sz w:val="28"/>
        </w:rPr>
        <w:t>摘要</w:t>
      </w:r>
    </w:p>
    <w:p>
      <w:pPr>
        <w:spacing w:after="120" w:before="0" w:line="300" w:lineRule="auto"/>
        <w:ind w:firstLine="0"/>
      </w:pPr>
      <w:r>
        <w:rPr>
          <w:rFonts w:ascii="Times New Roman" w:hAnsi="Times New Roman" w:eastAsia="宋体"/>
          <w:b w:val="0"/>
          <w:i w:val="0"/>
          <w:sz w:val="21"/>
        </w:rPr>
        <w:t>质子导体的低温（冷却）性能退化是固态质子传导走向实用的核心瓶颈，而“用人工智能发现新材料”的叙事又常因证据链不透明、主张过度而难以取信。本工作提出并实现了一个受物理与质量控制（QC）约束、且对科学主张进行确定性审计（claim audit）的智能体材料发现框架，并以酸-黏土（acid-in-clay）质子导体为母体系给出端到端验证。其一，证据约束迁移智能体在真实大语言模型（LLM，OpenRouter，temperature=0、关闭缓存）与真实文献检索（OpenAlex）支持下，从广义生物质/聚合物/黏土文献池中“选择并重组”出莲藕淀粉（LRS）与壳聚糖（CHITO）等生物聚合物–黏土膜基元；该推理的时间戳（查询包 2026-04-17）早于首次实验。其二，提出“冷却韧性通路连续性描述符”，以分段 Arrhenius 拟合并联合高温段表观活化能与冷尾连续性、几何/QC 链共同判定；该描述符在同等几何与 QC 处理下能区分韧性（LRS，Eₐ≈0.037 eV）与非韧性（CHITO 在约 233 K 急剧坍塌）体系。其三，在凹凸棒土体系内实现物理/QC 门控的 EIS 闭环执行（BO+LLM），并如实报告其“未收敛、未超越初始点”的诚实零结果（absolute improvement = 0）。全过程由确定性 claim 审计器守门，硬性禁止“发现 LRS”“证明普适最优”“事后改分”等过度主张。本框架的方法学贡献——claim 阶梯、确定性审计与执行引擎硬门禁——为可信的智能体材料发现提供了可复现的范式。</w:t>
      </w:r>
    </w:p>
    <w:p>
      <w:r>
        <w:rPr>
          <w:rFonts w:ascii="Times New Roman" w:hAnsi="Times New Roman" w:eastAsia="黑体"/>
          <w:b/>
          <w:sz w:val="20"/>
        </w:rPr>
        <w:t>关键词：</w:t>
      </w:r>
      <w:r>
        <w:rPr>
          <w:rFonts w:ascii="Times New Roman" w:hAnsi="Times New Roman" w:eastAsia="宋体"/>
          <w:sz w:val="20"/>
        </w:rPr>
        <w:t>智能体材料发现；质子传导；冷却韧性；电化学阻抗谱；贝叶斯优化；大语言模型；claim 审计；前瞻验证</w:t>
      </w:r>
    </w:p>
    <w:p>
      <w:pPr>
        <w:spacing w:after="200" w:before="80" w:line="300" w:lineRule="auto"/>
      </w:pPr>
      <w:r>
        <w:rPr>
          <w:rFonts w:ascii="Times New Roman" w:hAnsi="Times New Roman" w:eastAsia="宋体"/>
          <w:b w:val="0"/>
          <w:i w:val="0"/>
          <w:color w:val="8A6100"/>
          <w:sz w:val="18"/>
        </w:rPr>
        <w:t>（注：本初稿为“边实验边写”的 v1。黄色【实验进行中 · 待插入】框为正在进行的前瞻实验的升级插槽：结果到位后就地替换占位文字、并把相应创新点的证据强度从 B/B+ 提升到 A。）</w:t>
      </w:r>
    </w:p>
    <w:p>
      <w:pPr>
        <w:spacing w:before="240" w:after="120"/>
      </w:pPr>
      <w:r>
        <w:rPr>
          <w:rFonts w:ascii="Times New Roman" w:hAnsi="Times New Roman" w:eastAsia="黑体"/>
          <w:b/>
          <w:color w:val="1F3864"/>
          <w:sz w:val="28"/>
        </w:rPr>
        <w:t>1　引言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固态质子导体在燃料电池、传感与离子电子学中应用广泛，但其电导率在降温时往往因质子通路的结构重排、局部冻结或体相化而显著退化，形成“高室温电导、低温脆弱”的普遍困境。如何设计在冷却过程中保持质子通路连续性的材料，是该领域的关键科学问题。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与此同时，借助贝叶斯优化（BO）与大语言模型（LLM）“自主发现新材料”成为热点，但两类可信性问题尚未被系统解决：(i) 证据链与时间线不透明——难以向审稿人证明“AI 先推理、实验后验证”的真实顺序；(ii) 主张过度——把数学上的建议、回溯性的拟合或偶发的最优误述为“发现”“收敛”“普适最优”。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本工作的核心立场是：把“受治理（governed）”作为智能体材料发现的第一性要求。我们以酸-黏土质子导体为母体系，构建并实现了一个端到端框架，其三个创新点为：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创新点 1（迁移智能体）：</w:t>
      </w:r>
      <w:r>
        <w:rPr>
          <w:rFonts w:ascii="Times New Roman" w:hAnsi="Times New Roman" w:eastAsia="宋体"/>
          <w:sz w:val="21"/>
        </w:rPr>
        <w:t>在真实 LLM + 真实文献检索约束下，从广义文献池“选择并重组”生物聚合物–黏土膜基元，且推理时间戳早于实验。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创新点 2（描述符）：</w:t>
      </w:r>
      <w:r>
        <w:rPr>
          <w:rFonts w:ascii="Times New Roman" w:hAnsi="Times New Roman" w:eastAsia="宋体"/>
          <w:sz w:val="21"/>
        </w:rPr>
        <w:t>提出冷却韧性通路连续性描述符，对韧性/非韧性体系具备区分力（LRS 正验证、CHITO 边界验证）。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创新点 3（执行引擎）：</w:t>
      </w:r>
      <w:r>
        <w:rPr>
          <w:rFonts w:ascii="Times New Roman" w:hAnsi="Times New Roman" w:eastAsia="宋体"/>
          <w:sz w:val="21"/>
        </w:rPr>
        <w:t>实现物理/QC 门控的 EIS 闭环执行（BO+LLM），并以确定性 claim 审计守门、如实报告诚实零结果、拒绝过度声称。</w:t>
      </w:r>
    </w:p>
    <w:p>
      <w:pPr>
        <w:spacing w:after="120" w:before="8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与既有“AI 发现材料”工作相比，本框架最稀缺的贡献是把不确定性与负面结果“主动门控并写入证据”，而非掩盖——这正是面向方法学型子刊的核心竞争力。</w:t>
      </w:r>
    </w:p>
    <w:p>
      <w:pPr>
        <w:spacing w:before="240" w:after="120"/>
      </w:pPr>
      <w:r>
        <w:rPr>
          <w:rFonts w:ascii="Times New Roman" w:hAnsi="Times New Roman" w:eastAsia="黑体"/>
          <w:b/>
          <w:color w:val="1F3864"/>
          <w:sz w:val="28"/>
        </w:rPr>
        <w:t>2　体系与方法学框架（核心创新，现有实现）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本节给出框架的可复现要件；详细参数见第 6 节“方法”。主线是一条单向、可审计的“发现–执行–审计”链，锚定于凹凸棒土 AiCE 体系：</w:t>
      </w:r>
    </w:p>
    <w:p>
      <w:pPr>
        <w:spacing w:after="120" w:before="0" w:line="300" w:lineRule="auto"/>
        <w:ind w:firstLine="0"/>
      </w:pPr>
      <w:r>
        <w:rPr>
          <w:rFonts w:ascii="Times New Roman" w:hAnsi="Times New Roman" w:eastAsia="宋体"/>
          <w:b/>
          <w:i w:val="0"/>
          <w:sz w:val="21"/>
        </w:rPr>
        <w:t>Stage0（EIS 测量与 QC/Rb/电导/分段 Arrhenius）→ Stage1（BO+LLM 真实闭环）→ Stage2（统计证据与种子）→ Stage3（LLM 机制/迁移候选/排序/注册/验证/claim 审计）。</w:t>
      </w:r>
    </w:p>
    <w:p>
      <w:pPr>
        <w:spacing w:before="160" w:after="120"/>
      </w:pPr>
      <w:r>
        <w:rPr>
          <w:rFonts w:ascii="Times New Roman" w:hAnsi="Times New Roman" w:eastAsia="黑体"/>
          <w:b/>
          <w:color w:val="2B2B2B"/>
          <w:sz w:val="24"/>
        </w:rPr>
        <w:t>2.1　智能体硬件（agent harness）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框架包含真正的智能体要件（而非仅一次性提示）：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记忆（memory）：</w:t>
      </w:r>
      <w:r>
        <w:rPr>
          <w:rFonts w:ascii="Times New Roman" w:hAnsi="Times New Roman" w:eastAsia="宋体"/>
          <w:sz w:val="21"/>
        </w:rPr>
        <w:t>仅追加（append-only）、确定性回放、不伪造时间戳。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自省（critic）：</w:t>
      </w:r>
      <w:r>
        <w:rPr>
          <w:rFonts w:ascii="Times New Roman" w:hAnsi="Times New Roman" w:eastAsia="宋体"/>
          <w:sz w:val="21"/>
        </w:rPr>
        <w:t>produce-critique-revise 循环，内置 overclaim / eis_overclaim 规则。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心跳（heartbeat）：</w:t>
      </w:r>
      <w:r>
        <w:rPr>
          <w:rFonts w:ascii="Times New Roman" w:hAnsi="Times New Roman" w:eastAsia="宋体"/>
          <w:sz w:val="21"/>
        </w:rPr>
        <w:t>活性遥测（liveness）。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策略规划 + LLM 网关：</w:t>
      </w:r>
      <w:r>
        <w:rPr>
          <w:rFonts w:ascii="Times New Roman" w:hAnsi="Times New Roman" w:eastAsia="宋体"/>
          <w:sz w:val="21"/>
        </w:rPr>
        <w:t>结构化输出、缓存控制、temperature=0、JSON schema 校验。</w:t>
      </w:r>
    </w:p>
    <w:p>
      <w:pPr>
        <w:spacing w:after="120" w:before="40" w:line="300" w:lineRule="auto"/>
        <w:ind w:firstLine="0"/>
      </w:pPr>
      <w:r>
        <w:rPr>
          <w:rFonts w:ascii="Times New Roman" w:hAnsi="Times New Roman" w:eastAsia="宋体"/>
          <w:b w:val="0"/>
          <w:i w:val="0"/>
          <w:color w:val="8A4B00"/>
          <w:sz w:val="20"/>
        </w:rPr>
        <w:t>诚实边界：上述 agentic 层尚未接入主 orchestrator，故本文不声称“具备记忆/自省的全自主 agent 实时驱动了全流程”，仅声称其作为受控组件参与发现与审计。</w:t>
      </w:r>
    </w:p>
    <w:p>
      <w:pPr>
        <w:spacing w:before="160" w:after="120"/>
      </w:pPr>
      <w:r>
        <w:rPr>
          <w:rFonts w:ascii="Times New Roman" w:hAnsi="Times New Roman" w:eastAsia="黑体"/>
          <w:b/>
          <w:color w:val="2B2B2B"/>
          <w:sz w:val="24"/>
        </w:rPr>
        <w:t>2.2　claim 阶梯与确定性 claim 审计（S14）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所有定量主张被分入三个证据带（band）：Main-text（可作主结论）、Supplement（仅 SI）、Exploratory（仅探索、不作机制证据）。确定性审计器 S14 在管线末端对每条主张做规则化裁决，硬编码允许/禁止措辞（如允许“record-level / 可比最低势垒”，禁止“world record”“independently discovered”“发现了 LRS”）。</w:t>
      </w:r>
    </w:p>
    <w:p>
      <w:pPr>
        <w:spacing w:before="160" w:after="120"/>
      </w:pPr>
      <w:r>
        <w:rPr>
          <w:rFonts w:ascii="Times New Roman" w:hAnsi="Times New Roman" w:eastAsia="黑体"/>
          <w:b/>
          <w:color w:val="2B2B2B"/>
          <w:sz w:val="24"/>
        </w:rPr>
        <w:t>2.3　执行引擎硬门禁（execution-engine gates）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闭环执行受一组硬门禁约束：仅追加写入、hash 绑定人工批准、批准前禁写、仅手动 EIS（自动 CHI 在取得 macro/dummy-cell 证据前被阻断）、原始 EIS 内容 QC、Stage0 提交门、manual Rb QC、score gate、禁覆盖当前包、无序列证据禁迟滞、无高级阻抗 sidecar 禁机制证明。配套检查器默认 HOLD 偏置。</w:t>
      </w:r>
    </w:p>
    <w:p>
      <w:pPr>
        <w:spacing w:before="160" w:after="120"/>
      </w:pPr>
      <w:r>
        <w:rPr>
          <w:rFonts w:ascii="Times New Roman" w:hAnsi="Times New Roman" w:eastAsia="黑体"/>
          <w:b/>
          <w:color w:val="2B2B2B"/>
          <w:sz w:val="24"/>
        </w:rPr>
        <w:t>2.4　冷却韧性通路连续性描述符（定义）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对分段电导执行 σ(T)·T = Aᵢ·exp(−Eₐ⁽ⁱ⁾/k_BT)，以 AICc 选段、段数 ≤ 3；“冷却韧性”单标量结论要求同时满足：高温段 Eₐ 低、冷尾通路连续、且几何/QC 链通过。三 claim band 同上。</w:t>
      </w:r>
    </w:p>
    <w:p>
      <w:pPr>
        <w:spacing w:before="160" w:after="120"/>
      </w:pPr>
      <w:r>
        <w:rPr>
          <w:rFonts w:ascii="Times New Roman" w:hAnsi="Times New Roman" w:eastAsia="黑体"/>
          <w:b/>
          <w:color w:val="2B2B2B"/>
          <w:sz w:val="24"/>
        </w:rPr>
        <w:t>2.5　EIS 质量控制（三带）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QC 包含 KK（Kramers–Kronig）残差、manual vs auto Rb 一致性、几何审计与泄漏排除。KK 用 impedance 库 lin-KK（Schönleber 2014），以因果 RC(Voigt) 串联拟合、取逐点相对残差中位数 μ_median 判定（见 4.2 节：修正一处符号约定后，全样品 220 条谱μ_median≈0.005–0.012，KK 一致性良好）。KK 与 Rb 是两条独立 QC 轴：KK 评估谱的因果/线性/稳态，Rb 一致性评估体相电阻抽取；冷尾点因 manual–auto Rb 偏差大而降级至 Exploratory。DRT 当前以 max(G,0) 近似实现，仅作 exploratory，不作机制证据。</w:t>
      </w:r>
    </w:p>
    <w:p>
      <w:pPr>
        <w:spacing w:before="240" w:after="120"/>
      </w:pPr>
      <w:r>
        <w:rPr>
          <w:rFonts w:ascii="Times New Roman" w:hAnsi="Times New Roman" w:eastAsia="黑体"/>
          <w:b/>
          <w:color w:val="1F3864"/>
          <w:sz w:val="28"/>
        </w:rPr>
        <w:t>3　创新点 1：证据约束迁移智能体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链路（代码层真实存在）：Stage2 证据 → S04 假设 → S05/S06 机制仲裁 → S07 描述符 → S08 文献侦察（OpenAlex 真实 API，hybrid）→ S09 候选家族 → S10 确定性重排 → S12 前瞻注册 → S13 验证绑定 → S14 claim 审计。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“先推理后实验”的硬证据：查询包 QP-S08-001 的 created_at = 2026-04-17，包含 “polysaccharide proton exchange membrane / clay polymer composite / starch phosphoric acid” 等查询，早于 2026-04-25 首次实验。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权威快照（2026-06-07 真实 LLM 跑数，run_mode=real、llm_mode=live、cache=off、temperature=0）给出冻结排名（前 5），其中前二名正对应本研究拟验证的体系：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737"/>
          </w:tcPr>
          <w:p>
            <w:r>
              <w:rPr>
                <w:rFonts w:ascii="Times New Roman" w:hAnsi="Times New Roman" w:eastAsia="黑体"/>
                <w:b/>
                <w:sz w:val="19"/>
              </w:rPr>
              <w:t>rank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黑体"/>
                <w:b/>
                <w:sz w:val="19"/>
              </w:rPr>
              <w:t>候选基元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黑体"/>
                <w:b/>
                <w:sz w:val="19"/>
              </w:rPr>
              <w:t>分数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黑体"/>
                <w:b/>
                <w:sz w:val="19"/>
              </w:rPr>
              <w:t>对应实验</w:t>
            </w:r>
          </w:p>
        </w:tc>
      </w:tr>
      <w:tr>
        <w:tc>
          <w:tcPr>
            <w:tcW w:type="dxa" w:w="737"/>
          </w:tcPr>
          <w:p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宋体"/>
                <w:sz w:val="19"/>
              </w:rPr>
              <w:t>Starch/PVA/有机改性凹凸棒土/H₃PO₄（指向莲藕淀粉 LRS）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19"/>
              </w:rPr>
              <w:t>0.883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sz w:val="19"/>
              </w:rPr>
              <w:t>淀粉 / LRS（正验证）</w:t>
            </w:r>
          </w:p>
        </w:tc>
      </w:tr>
      <w:tr>
        <w:tc>
          <w:tcPr>
            <w:tcW w:type="dxa" w:w="737"/>
          </w:tcPr>
          <w:p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宋体"/>
                <w:sz w:val="19"/>
              </w:rPr>
              <w:t>Chitosan/有机改性凹凸棒土/H₃PO₄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19"/>
              </w:rPr>
              <w:t>0.823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sz w:val="19"/>
              </w:rPr>
              <w:t>CHITO（边界验证）</w:t>
            </w:r>
          </w:p>
        </w:tc>
      </w:tr>
      <w:tr>
        <w:tc>
          <w:tcPr>
            <w:tcW w:type="dxa" w:w="737"/>
          </w:tcPr>
          <w:p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宋体"/>
                <w:sz w:val="19"/>
              </w:rPr>
              <w:t>Halloysite 纳米管/PA/PVA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19"/>
              </w:rPr>
              <w:t>0.819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sz w:val="19"/>
              </w:rPr>
              <w:t>另一种黏土（列为未来工作）</w:t>
            </w:r>
          </w:p>
        </w:tc>
      </w:tr>
      <w:tr>
        <w:tc>
          <w:tcPr>
            <w:tcW w:type="dxa" w:w="737"/>
          </w:tcPr>
          <w:p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宋体"/>
                <w:sz w:val="19"/>
              </w:rPr>
              <w:t>PVA/chitosan/Nb₂O₅/H₃PO₄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19"/>
              </w:rPr>
              <w:t>0.738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 w:eastAsia="宋体"/>
                <w:sz w:val="19"/>
              </w:rPr>
              <w:t>PAAm-g-starch/PA 水凝胶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19"/>
              </w:rPr>
              <w:t>0.708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Times New Roman" w:hAnsi="Times New Roman" w:eastAsia="宋体"/>
          <w:i/>
          <w:color w:val="555555"/>
          <w:sz w:val="18"/>
        </w:rPr>
        <w:t>表 1　冻结的前瞻候选排名（registry 来自 20260607 真实 LLM 跑数；term_leakage_penalty=0，即未偷看生物聚合物实验结果）。前二名为本研究验证目标。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当前证据强度评定为 B+（充分但需加固）：harness 真、LLM 真、claim 审计 PASS、排名稳定（top1=1.0、top3 Jaccard=1.0）；S14 已把上限钉死为“选择/重组”，禁止“独立发现”。把强度提升至 A 需要原生（非重建）的前瞻验证，见下框。</w:t>
      </w:r>
    </w:p>
    <w:p>
      <w:pPr>
        <w:spacing w:before="120" w:after="40"/>
        <w:shd w:val="clear" w:color="auto" w:fill="FFF3CD"/>
      </w:pPr>
      <w:r>
        <w:rPr>
          <w:rFonts w:ascii="Times New Roman" w:hAnsi="Times New Roman" w:eastAsia="黑体"/>
          <w:b/>
          <w:color w:val="8A6100"/>
          <w:sz w:val="21"/>
        </w:rPr>
        <w:t>【实验进行中 · 待插入：线 A 原生前瞻验证（硬化 Pillar 1）】</w:t>
      </w:r>
    </w:p>
    <w:p>
      <w:pPr>
        <w:spacing w:after="40"/>
        <w:ind w:left="283"/>
        <w:shd w:val="clear" w:color="auto" w:fill="FFFBEA"/>
      </w:pPr>
      <w:r>
        <w:rPr>
          <w:rFonts w:ascii="Times New Roman" w:hAnsi="Times New Roman" w:eastAsia="宋体"/>
          <w:color w:val="6B5510"/>
          <w:sz w:val="20"/>
        </w:rPr>
        <w:t>剧本：以 20260607 registry（registry_hash 已固定）为预注册清单 → git commit + push 盖服务器时间戳 → 再合成 LRS / 玉米淀粉 / CHITO → 测宽温 EIS → 用 S13 验证绑定（append-only，不改排名）→ 重跑 S14。</w:t>
      </w:r>
    </w:p>
    <w:p>
      <w:pPr>
        <w:spacing w:after="40"/>
        <w:ind w:left="283"/>
        <w:shd w:val="clear" w:color="auto" w:fill="FFFBEA"/>
      </w:pPr>
      <w:r>
        <w:rPr>
          <w:rFonts w:ascii="Times New Roman" w:hAnsi="Times New Roman" w:eastAsia="宋体"/>
          <w:color w:val="6B5510"/>
          <w:sz w:val="20"/>
        </w:rPr>
        <w:t>预期结果：prospective_validation 由“重建 PASS”升级为“原生 PASS”；Pillar 1 强度 B+ → A。</w:t>
      </w:r>
    </w:p>
    <w:p>
      <w:pPr>
        <w:spacing w:after="40"/>
        <w:ind w:left="283"/>
        <w:shd w:val="clear" w:color="auto" w:fill="FFFBEA"/>
      </w:pPr>
      <w:r>
        <w:rPr>
          <w:rFonts w:ascii="Times New Roman" w:hAnsi="Times New Roman" w:eastAsia="宋体"/>
          <w:color w:val="6B5510"/>
          <w:sz w:val="20"/>
        </w:rPr>
        <w:t>待插入：原生 preregistered registry 的 push 时间戳、各候选实验前/后绑定结果、S14 原生裁决。</w:t>
      </w:r>
    </w:p>
    <w:p>
      <w:pPr>
        <w:spacing w:after="40"/>
        <w:ind w:left="283"/>
        <w:shd w:val="clear" w:color="auto" w:fill="FFFBEA"/>
      </w:pPr>
      <w:r>
        <w:rPr>
          <w:rFonts w:ascii="Times New Roman" w:hAnsi="Times New Roman" w:eastAsia="宋体"/>
          <w:color w:val="6B5510"/>
          <w:sz w:val="20"/>
        </w:rPr>
        <w:t>已就绪：prospective_2026H2/line_A_biopolymer_transfer/PREREGISTRATION.md（预注册包）。</w:t>
      </w:r>
    </w:p>
    <w:p>
      <w:pPr>
        <w:spacing w:before="240" w:after="120"/>
      </w:pPr>
      <w:r>
        <w:rPr>
          <w:rFonts w:ascii="Times New Roman" w:hAnsi="Times New Roman" w:eastAsia="黑体"/>
          <w:b/>
          <w:color w:val="1F3864"/>
          <w:sz w:val="28"/>
        </w:rPr>
        <w:t>4　创新点 2：冷却韧性通路连续性描述符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正验证（LRS，核实数字）与边界验证（CHITO）在同等几何/QC 处理下对比如下：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814"/>
          </w:tcPr>
          <w:p>
            <w:r>
              <w:rPr>
                <w:rFonts w:ascii="Times New Roman" w:hAnsi="Times New Roman" w:eastAsia="黑体"/>
                <w:b/>
                <w:sz w:val="19"/>
              </w:rPr>
              <w:t>样品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黑体"/>
                <w:b/>
                <w:sz w:val="19"/>
              </w:rPr>
              <w:t>厚度/cm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 w:eastAsia="黑体"/>
                <w:b/>
                <w:sz w:val="19"/>
              </w:rPr>
              <w:t>Eₐ_high/eV</w:t>
            </w:r>
          </w:p>
        </w:tc>
        <w:tc>
          <w:tcPr>
            <w:tcW w:type="dxa" w:w="1077"/>
          </w:tcPr>
          <w:p>
            <w:r>
              <w:rPr>
                <w:rFonts w:ascii="Times New Roman" w:hAnsi="Times New Roman" w:eastAsia="黑体"/>
                <w:b/>
                <w:sz w:val="19"/>
              </w:rPr>
              <w:t>σ(273K)</w:t>
            </w:r>
          </w:p>
        </w:tc>
        <w:tc>
          <w:tcPr>
            <w:tcW w:type="dxa" w:w="1077"/>
          </w:tcPr>
          <w:p>
            <w:r>
              <w:rPr>
                <w:rFonts w:ascii="Times New Roman" w:hAnsi="Times New Roman" w:eastAsia="黑体"/>
                <w:b/>
                <w:sz w:val="19"/>
              </w:rPr>
              <w:t>σ(253K)</w:t>
            </w:r>
          </w:p>
        </w:tc>
        <w:tc>
          <w:tcPr>
            <w:tcW w:type="dxa" w:w="1077"/>
          </w:tcPr>
          <w:p>
            <w:r>
              <w:rPr>
                <w:rFonts w:ascii="Times New Roman" w:hAnsi="Times New Roman" w:eastAsia="黑体"/>
                <w:b/>
                <w:sz w:val="19"/>
              </w:rPr>
              <w:t>σ(233K)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黑体"/>
                <w:b/>
                <w:sz w:val="19"/>
              </w:rPr>
              <w:t>KK警告†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19"/>
              </w:rPr>
              <w:t>5.9CS（headline）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19"/>
              </w:rPr>
              <w:t>0.022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 w:eastAsia="宋体"/>
                <w:sz w:val="19"/>
              </w:rPr>
              <w:t>0.037</w:t>
            </w:r>
          </w:p>
        </w:tc>
        <w:tc>
          <w:tcPr>
            <w:tcW w:type="dxa" w:w="1077"/>
          </w:tcPr>
          <w:p>
            <w:r>
              <w:rPr>
                <w:rFonts w:ascii="Times New Roman" w:hAnsi="Times New Roman" w:eastAsia="宋体"/>
                <w:sz w:val="19"/>
              </w:rPr>
              <w:t>1.85e-2</w:t>
            </w:r>
          </w:p>
        </w:tc>
        <w:tc>
          <w:tcPr>
            <w:tcW w:type="dxa" w:w="1077"/>
          </w:tcPr>
          <w:p>
            <w:r>
              <w:rPr>
                <w:rFonts w:ascii="Times New Roman" w:hAnsi="Times New Roman" w:eastAsia="宋体"/>
                <w:sz w:val="19"/>
              </w:rPr>
              <w:t>1.56e-2</w:t>
            </w:r>
          </w:p>
        </w:tc>
        <w:tc>
          <w:tcPr>
            <w:tcW w:type="dxa" w:w="1077"/>
          </w:tcPr>
          <w:p>
            <w:r>
              <w:rPr>
                <w:rFonts w:ascii="Times New Roman" w:hAnsi="Times New Roman" w:eastAsia="宋体"/>
                <w:sz w:val="19"/>
              </w:rPr>
              <w:t>4.14e-3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19"/>
              </w:rPr>
              <w:t>0/35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19"/>
              </w:rPr>
              <w:t>4.29CS（薄膜重复）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19"/>
              </w:rPr>
              <w:t>0.02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 w:eastAsia="宋体"/>
                <w:sz w:val="19"/>
              </w:rPr>
              <w:t>0.042</w:t>
            </w:r>
          </w:p>
        </w:tc>
        <w:tc>
          <w:tcPr>
            <w:tcW w:type="dxa" w:w="1077"/>
          </w:tcPr>
          <w:p>
            <w:r>
              <w:rPr>
                <w:rFonts w:ascii="Times New Roman" w:hAnsi="Times New Roman" w:eastAsia="宋体"/>
                <w:sz w:val="19"/>
              </w:rPr>
              <w:t>1.84e-2</w:t>
            </w:r>
          </w:p>
        </w:tc>
        <w:tc>
          <w:tcPr>
            <w:tcW w:type="dxa" w:w="1077"/>
          </w:tcPr>
          <w:p>
            <w:r>
              <w:rPr>
                <w:rFonts w:ascii="Times New Roman" w:hAnsi="Times New Roman" w:eastAsia="宋体"/>
                <w:sz w:val="19"/>
              </w:rPr>
              <w:t>1.53e-2</w:t>
            </w:r>
          </w:p>
        </w:tc>
        <w:tc>
          <w:tcPr>
            <w:tcW w:type="dxa" w:w="1077"/>
          </w:tcPr>
          <w:p>
            <w:r>
              <w:rPr>
                <w:rFonts w:ascii="Times New Roman" w:hAnsi="Times New Roman" w:eastAsia="宋体"/>
                <w:sz w:val="19"/>
              </w:rPr>
              <w:t>3.80e-3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19"/>
              </w:rPr>
              <w:t>0/36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19"/>
              </w:rPr>
              <w:t>CHITO 4.30CS/5.1CS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 w:eastAsia="宋体"/>
                <w:sz w:val="19"/>
              </w:rPr>
              <w:t>（中段 4.6/5.3，失效指标）</w:t>
            </w:r>
          </w:p>
        </w:tc>
        <w:tc>
          <w:tcPr>
            <w:tcW w:type="dxa" w:w="1077"/>
          </w:tcPr>
          <w:p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Times New Roman" w:hAnsi="Times New Roman" w:eastAsia="宋体"/>
                <w:sz w:val="19"/>
              </w:rPr>
              <w:t>≈4e-5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Times New Roman" w:hAnsi="Times New Roman" w:eastAsia="宋体"/>
          <w:i/>
          <w:color w:val="555555"/>
          <w:sz w:val="18"/>
        </w:rPr>
        <w:t>表 2　LRS 正验证 vs CHITO 边界验证。CHITO 在约 233 K 急剧坍塌（σ 比 LRS 低约 100×），中段 Eₐ 为转变/失效指标而非正常跳跃势垒——这正是描述符“区分力”的来源。†KK 警告为符号修正后计数（μ_median&lt;0.2 为通过）：修正前因一处复数阻抗符号约定 bug 误报（如 5.9CS 27/35），符号修正 + 高频感性尾裁剪后全样品 0 警告、μ_median≈0.007，详见 4.2 节。Eₐ/σ 由 Rb 过零点拟合得到，与 KK 无关、数值不受影响。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对标（final_benchmark_table.csv）：LRS 0.037 eV 与 POP-2020（0.039）、MFM-300(Cr)（0.040）可比，显著低于母体系 AiCE sepiolite（0.12）。允许措辞限定为“record-level / comparable to lowest reported barriers”，禁用“world record”。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本创新点科学软肋须正面处理（见第 7 节）：(i) 低 Eₐ 仅出现于 0.02–0.022 cm 薄膜，存在厚度×家族混淆；(ii) 5.9CS 实测厚度 0.022 与 Stage1 几何 fallback 值 0.022 数值巧合，需澄清为真实测量。（注：早期曾以为 headline 样品 KK 最脏，4.2 节查明这是一处符号约定 bug 的伪影，修正后数据 KK 干净。）</w:t>
      </w:r>
    </w:p>
    <w:p>
      <w:pPr>
        <w:spacing w:before="160" w:after="120"/>
      </w:pPr>
      <w:r>
        <w:rPr>
          <w:rFonts w:ascii="Times New Roman" w:hAnsi="Times New Roman" w:eastAsia="黑体"/>
          <w:b/>
          <w:color w:val="2B2B2B"/>
          <w:sz w:val="24"/>
        </w:rPr>
        <w:t>4.2　QC 加固与一处 KK 方法学更正（用现有数据，无新表征）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本工作用现有原始谱与冻结 QC 工件做了三项可复现分析（脚本 manuscript/figures/build_pillar2_qc_artifacts.py、kk_diagnostic.py、kk_verify_all.py）：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厚度混淆作图：</w:t>
      </w:r>
      <w:r>
        <w:rPr>
          <w:rFonts w:ascii="Times New Roman" w:hAnsi="Times New Roman" w:eastAsia="宋体"/>
          <w:sz w:val="21"/>
        </w:rPr>
        <w:t>对 6 个有效样品作 Eₐ_high–厚度散点（4.25CS 已弃用、剔除）。最低 Eₐ_high（LRS 4.29CS=0.042、5.9CS=0.037）只出现在 0.02–0.022 cm 薄膜；玉米淀粉对照（0.06 cm）Eₐ_high≈0.21。→ 明确披露低 Eₐ 是“薄膜几何 + 材料家族”共同效应，不声称材料内禀。（图：Fig_pillar2_qc 面板 A）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KK 方法学更正（关键）：</w:t>
      </w:r>
      <w:r>
        <w:rPr>
          <w:rFonts w:ascii="Times New Roman" w:hAnsi="Times New Roman" w:eastAsia="宋体"/>
          <w:sz w:val="21"/>
        </w:rPr>
        <w:t>对每条温度谱独立复算 lin-KK 时发现：数据解析器把文件虚部列原样读入（即真实 Im(Z)，容抗弧为负），而 KK 校验旧代码假设虚部为正幅值、用 Z=Zr−jZi，等于把每条谱翻成反因果共轭，使 lin-KK 残差被系统性抬高、产生大量假警告。修正为 Z=Zr+jZi（并裁去高频感性尾 Im(Z)&gt;0）后，全样品 220 条谱 KK 警告由 133（60%）降为 0，μ_median 由 ~0.21–0.28 降至 ~0.005–0.012。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结果：</w:t>
      </w:r>
      <w:r>
        <w:rPr>
          <w:rFonts w:ascii="Times New Roman" w:hAnsi="Times New Roman" w:eastAsia="宋体"/>
          <w:sz w:val="21"/>
        </w:rPr>
        <w:t>修正后 LRS headline 数据在主窗口与冷尾均 KK 干净（μ_median：主窗口 0.007、补充 0.005、冷尾 0.012，全部 « 0.2）。→ headline 低 Eₐ 现有 KK 一致的数据背书；此前“KK 最脏”的担忧是符号 bug 伪影，已消除。Eₐ/σ 由 Rb 过零点拟合得到，与 KK 无关、数值不受影响。（图：Fig_pillar2_qc 面板 B；表：kk_warning_fraction_by_band_LRS.csv）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Rb 一致性门控：</w:t>
      </w:r>
      <w:r>
        <w:rPr>
          <w:rFonts w:ascii="Times New Roman" w:hAnsi="Times New Roman" w:eastAsia="宋体"/>
          <w:sz w:val="21"/>
        </w:rPr>
        <w:t>manual–auto Rb 偏差按 claim band 统计：5.9CS 主窗口中位 10.8%、冷尾最大 96.7%；4.29CS 主窗口中位 13.1%、冷尾最大 49.6%。→ 冷尾点仍因 Rb 抽取不一致降级至 Exploratory（与 KK 无关的独立轴）。（表：kk_rb_band_gating_table.csv）</w:t>
      </w:r>
    </w:p>
    <w:p>
      <w:pPr>
        <w:spacing w:after="120" w:before="4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小结：KK 与 Rb 是两条独立 QC 轴。修正 KK 符号后，强主张由“KK 一致 + 主窗口 Rb 一致 + 有界高温段 Eₐ”三重支撑；冷尾点按 Rb 不一致降级。主动暴露并修正方法学错误，是本框架 claim 治理的实例。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llar2_q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Times New Roman" w:hAnsi="Times New Roman" w:eastAsia="宋体"/>
          <w:i/>
          <w:color w:val="555555"/>
          <w:sz w:val="18"/>
        </w:rPr>
        <w:t>Fig_pillar2_qc　面板 A：Eₐ_high vs 厚度（4.25CS 已弃用剔除），最低 Eₐ 集中于0.02–0.022 cm LRS 薄膜，体现厚度×家族混淆。面板 B：符号修正后逐温度 KK lin-KK 残差 μ_median（○ 5.9CS、□ 4.29CS），全部远低于 0.2 阈值——数据 KK 一致（修正前因符号 bug 误报）。</w:t>
      </w:r>
    </w:p>
    <w:p>
      <w:pPr>
        <w:spacing w:before="120" w:after="40"/>
        <w:shd w:val="clear" w:color="auto" w:fill="FFF3CD"/>
      </w:pPr>
      <w:r>
        <w:rPr>
          <w:rFonts w:ascii="Times New Roman" w:hAnsi="Times New Roman" w:eastAsia="黑体"/>
          <w:b/>
          <w:color w:val="8A6100"/>
          <w:sz w:val="21"/>
        </w:rPr>
        <w:t>【实验进行中 · 待插入：Pillar 2 加固（薄膜重复样）】</w:t>
      </w:r>
    </w:p>
    <w:p>
      <w:pPr>
        <w:spacing w:after="40"/>
        <w:ind w:left="283"/>
        <w:shd w:val="clear" w:color="auto" w:fill="FFFBEA"/>
      </w:pPr>
      <w:r>
        <w:rPr>
          <w:rFonts w:ascii="Times New Roman" w:hAnsi="Times New Roman" w:eastAsia="宋体"/>
          <w:color w:val="6B5510"/>
          <w:sz w:val="20"/>
        </w:rPr>
        <w:t>预期：用新薄膜重复样在可比几何（0.02–0.022 cm）下复现 LRS 低 Eₐ，把厚度×家族混淆从软肋转为“等几何对照下仍成立”。</w:t>
      </w:r>
    </w:p>
    <w:p>
      <w:pPr>
        <w:spacing w:after="40"/>
        <w:ind w:left="283"/>
        <w:shd w:val="clear" w:color="auto" w:fill="FFFBEA"/>
      </w:pPr>
      <w:r>
        <w:rPr>
          <w:rFonts w:ascii="Times New Roman" w:hAnsi="Times New Roman" w:eastAsia="宋体"/>
          <w:color w:val="6B5510"/>
          <w:sz w:val="20"/>
        </w:rPr>
        <w:t>已落实（无需新表征）：KK 符号 bug 修正、逐点 KK residual 复算、Eₐ_high vs 厚度作图、selected_rb_qc 门控表——见第 7 节 P1。</w:t>
      </w:r>
    </w:p>
    <w:p>
      <w:pPr>
        <w:spacing w:before="240" w:after="120"/>
      </w:pPr>
      <w:r>
        <w:rPr>
          <w:rFonts w:ascii="Times New Roman" w:hAnsi="Times New Roman" w:eastAsia="黑体"/>
          <w:b/>
          <w:color w:val="1F3864"/>
          <w:sz w:val="28"/>
        </w:rPr>
        <w:t>5　创新点 3：物理/QC 门控的 EIS 闭环执行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在凹凸棒土体系内实现 BO+LLM 真实闭环（closed_loop_metrics.json）：n_closed_loop_rounds=6、source_mode_distribution={real:6}、closed_loop_validity=prospective_real、每轮有 suggestion_hash 与时间戳（05-11→05-17）。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诚实的“非发现/非收敛”是本创新点的力量来源而非缺陷：absolute_improvement=0、best_final==best_initial（最优为 Trial 1，R=0.186/N=1.029）、收敛未触发、geometry_repair_count=7（7/8 trial 受厚度 silent-fallback 影响，已事后修复并写入 limitations）。据此定位为“真实闭环执行证明 + 诚实零结果”，明确不写“收敛”“发现”。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当前边界：主闭环为单目标 BO；R4 的 guardrail 为 agent/人类 review。据此措辞：MOBO 描述为“已实现、可用的 v2 能力”，不声称已驱动当前闭环。</w:t>
      </w:r>
    </w:p>
    <w:p>
      <w:pPr>
        <w:spacing w:before="120" w:after="40"/>
        <w:shd w:val="clear" w:color="auto" w:fill="FFF3CD"/>
      </w:pPr>
      <w:r>
        <w:rPr>
          <w:rFonts w:ascii="Times New Roman" w:hAnsi="Times New Roman" w:eastAsia="黑体"/>
          <w:b/>
          <w:color w:val="8A6100"/>
          <w:sz w:val="21"/>
        </w:rPr>
        <w:t>【实验进行中 · 待插入：线 B 真实前瞻 MOBO 闭环（硬化 Pillar 3）】</w:t>
      </w:r>
    </w:p>
    <w:p>
      <w:pPr>
        <w:spacing w:after="40"/>
        <w:ind w:left="283"/>
        <w:shd w:val="clear" w:color="auto" w:fill="FFFBEA"/>
      </w:pPr>
      <w:r>
        <w:rPr>
          <w:rFonts w:ascii="Times New Roman" w:hAnsi="Times New Roman" w:eastAsia="宋体"/>
          <w:color w:val="6B5510"/>
          <w:sz w:val="20"/>
        </w:rPr>
        <w:t>已完成接线：run_optimization_loop.py 接入 MOBO(ParEGO)+真实 LLM guardrail（OpenRouter gpt-5.4，T=0）。</w:t>
      </w:r>
    </w:p>
    <w:p>
      <w:pPr>
        <w:spacing w:after="40"/>
        <w:ind w:left="283"/>
        <w:shd w:val="clear" w:color="auto" w:fill="FFFBEA"/>
      </w:pPr>
      <w:r>
        <w:rPr>
          <w:rFonts w:ascii="Times New Roman" w:hAnsi="Times New Roman" w:eastAsia="宋体"/>
          <w:color w:val="6B5510"/>
          <w:sz w:val="20"/>
        </w:rPr>
        <w:t>官方第一轮 recipe（已冻结、已 push 盖戳 2026-06-08）：raw MOBO R=0.0285/N=0.9841 → LLM 物理修正 R=0.28/N=0.96（safety passed）。</w:t>
      </w:r>
    </w:p>
    <w:p>
      <w:pPr>
        <w:spacing w:after="40"/>
        <w:ind w:left="283"/>
        <w:shd w:val="clear" w:color="auto" w:fill="FFFBEA"/>
      </w:pPr>
      <w:r>
        <w:rPr>
          <w:rFonts w:ascii="Times New Roman" w:hAnsi="Times New Roman" w:eastAsia="宋体"/>
          <w:color w:val="6B5510"/>
          <w:sz w:val="20"/>
        </w:rPr>
        <w:t>剧本：先冻结+push（已就绪的 execution-engine 硬门禁、hash 绑定人工批准）→ 合成该 (R,N) → 测 EIS → Stage0/manual Rb QC → score/Pareto gate → append-only 写回 → 再建议下一轮（反复）。</w:t>
      </w:r>
    </w:p>
    <w:p>
      <w:pPr>
        <w:spacing w:after="40"/>
        <w:ind w:left="283"/>
        <w:shd w:val="clear" w:color="auto" w:fill="FFFBEA"/>
      </w:pPr>
      <w:r>
        <w:rPr>
          <w:rFonts w:ascii="Times New Roman" w:hAnsi="Times New Roman" w:eastAsia="宋体"/>
          <w:color w:val="6B5510"/>
          <w:sz w:val="20"/>
        </w:rPr>
        <w:t>预期：产出原生（非重建）多目标 Pareto 前沿与真实前瞻 registry；Pillar 3 强度 B+ → A。</w:t>
      </w:r>
    </w:p>
    <w:p>
      <w:pPr>
        <w:spacing w:after="40"/>
        <w:ind w:left="283"/>
        <w:shd w:val="clear" w:color="auto" w:fill="FFFBEA"/>
      </w:pPr>
      <w:r>
        <w:rPr>
          <w:rFonts w:ascii="Times New Roman" w:hAnsi="Times New Roman" w:eastAsia="宋体"/>
          <w:color w:val="6B5510"/>
          <w:sz w:val="20"/>
        </w:rPr>
        <w:t>已就绪：prospective_2026H2/line_B_mobo_closed_loop/（PREREGISTRATION.md + official_recipe.json）。</w:t>
      </w:r>
    </w:p>
    <w:p>
      <w:pPr>
        <w:spacing w:before="240" w:after="120"/>
      </w:pPr>
      <w:r>
        <w:rPr>
          <w:rFonts w:ascii="Times New Roman" w:hAnsi="Times New Roman" w:eastAsia="黑体"/>
          <w:b/>
          <w:color w:val="1F3864"/>
          <w:sz w:val="28"/>
        </w:rPr>
        <w:t>6　方法</w:t>
      </w:r>
    </w:p>
    <w:p>
      <w:pPr>
        <w:spacing w:before="160" w:after="120"/>
      </w:pPr>
      <w:r>
        <w:rPr>
          <w:rFonts w:ascii="Times New Roman" w:hAnsi="Times New Roman" w:eastAsia="黑体"/>
          <w:b/>
          <w:color w:val="2B2B2B"/>
          <w:sz w:val="24"/>
        </w:rPr>
        <w:t>6.1　EIS 测量与处理（Stage0）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宽温 EIS → QA → KK → Rb → σ → 分段 Arrhenius → bundle。KK 为 warning 级（非硬门禁）；几何采用实测厚度/面积；温序与 manual-Rb QC 按 descriptor_definition.md。DRT 以 max(G,0) 近似，仅 exploratory。</w:t>
      </w:r>
    </w:p>
    <w:p>
      <w:pPr>
        <w:spacing w:before="160" w:after="120"/>
      </w:pPr>
      <w:r>
        <w:rPr>
          <w:rFonts w:ascii="Times New Roman" w:hAnsi="Times New Roman" w:eastAsia="黑体"/>
          <w:b/>
          <w:color w:val="2B2B2B"/>
          <w:sz w:val="24"/>
        </w:rPr>
        <w:t>6.2　BO+LLM 闭环（Stage1）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单目标 BO（高斯过程 + Expected Improvement）为当前主闭环；多目标 MOBO(ParEGO) 已实现并可经 --optimizer mobo 启用。LLM guardrail 经 OpenRouter（gpt-5.4，temperature=0、8000 max tokens）调用，记录 provider/model/prompt SHA256/tokens 作为 provenance。设计变量 R（酸/水摩尔比）、N（液/黏土质量比）；多目标为 σ_RT↑、Ea_high↓、ea_low_excess↓。</w:t>
      </w:r>
    </w:p>
    <w:p>
      <w:pPr>
        <w:spacing w:before="160" w:after="120"/>
      </w:pPr>
      <w:r>
        <w:rPr>
          <w:rFonts w:ascii="Times New Roman" w:hAnsi="Times New Roman" w:eastAsia="黑体"/>
          <w:b/>
          <w:color w:val="2B2B2B"/>
          <w:sz w:val="24"/>
        </w:rPr>
        <w:t>6.3　统计与机制（Stage2/Stage3）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Stage2 做证据清洗与 stage3_seed 导出；Stage3 经 S03–S14 全链路，真实 LLM + hybrid 文献（OpenAlex），末端确定性 claim 审计（S14）。权威投稿级输出为 20260607_openrouter_publication_v2。</w:t>
      </w:r>
    </w:p>
    <w:p>
      <w:pPr>
        <w:spacing w:before="160" w:after="120"/>
      </w:pPr>
      <w:r>
        <w:rPr>
          <w:rFonts w:ascii="Times New Roman" w:hAnsi="Times New Roman" w:eastAsia="黑体"/>
          <w:b/>
          <w:color w:val="2B2B2B"/>
          <w:sz w:val="24"/>
        </w:rPr>
        <w:t>6.4　可复现与溯源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前瞻主张遵循“测量前冻结 → git commit + push 盖服务器时间戳 → 再动手”的纪律（prospective_2026H2/）。代码与配置使用相对路径（PROJECT_ROOT），机器相关项经环境变量覆盖。</w:t>
      </w:r>
    </w:p>
    <w:p>
      <w:pPr>
        <w:spacing w:before="240" w:after="120"/>
      </w:pPr>
      <w:r>
        <w:rPr>
          <w:rFonts w:ascii="Times New Roman" w:hAnsi="Times New Roman" w:eastAsia="黑体"/>
          <w:b/>
          <w:color w:val="1F3864"/>
          <w:sz w:val="28"/>
        </w:rPr>
        <w:t>7　诚信声明与局限（投稿前必修项）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本节主动暴露并门控不确定性——在方法学型子刊，这是录用的加分项。</w:t>
      </w:r>
    </w:p>
    <w:p>
      <w:pPr>
        <w:spacing w:before="160" w:after="120"/>
      </w:pPr>
      <w:r>
        <w:rPr>
          <w:rFonts w:ascii="Times New Roman" w:hAnsi="Times New Roman" w:eastAsia="黑体"/>
          <w:b/>
          <w:color w:val="2B2B2B"/>
          <w:sz w:val="24"/>
        </w:rPr>
        <w:t>7.1　P0：诚信/一致性（必修）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timing anchor 透明化：</w:t>
      </w:r>
      <w:r>
        <w:rPr>
          <w:rFonts w:ascii="Times New Roman" w:hAnsi="Times New Roman" w:eastAsia="宋体"/>
          <w:sz w:val="21"/>
        </w:rPr>
        <w:t>原 registry 在 cleanup commit 4b6ee61 中误删；preregistered_at=2026-05-08 由保留文件名时间戳 + provenance 重建，前瞻余量仅 1 天、5 选 2。主张降级为“LLM 排名候选在实验前被冻结并随后由宽温 EIS 验证（前瞻锚点为重建、已透明记录）”，并主打 04-17/04-19 早期查询包/paper card 作为“推理先于实验”的硬证据；线 A 完成后升级为原生 PASS。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4.25CS 数据一致性：</w:t>
      </w:r>
      <w:r>
        <w:rPr>
          <w:rFonts w:ascii="Times New Roman" w:hAnsi="Times New Roman" w:eastAsia="宋体"/>
          <w:sz w:val="21"/>
        </w:rPr>
        <w:t>用户已弃用 4.25CS，但 wide_temperature_performance_summary.csv 仍含其行；须从图件/正文剔除或明确标注弃用理由，避免与已剔除的 benchmark 表不一致。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几何巧合澄清：</w:t>
      </w:r>
      <w:r>
        <w:rPr>
          <w:rFonts w:ascii="Times New Roman" w:hAnsi="Times New Roman" w:eastAsia="宋体"/>
          <w:sz w:val="21"/>
        </w:rPr>
        <w:t>明确 5.9CS 厚度 0.022 cm 为卡尺/SEM 实测，与 Stage1 的 0.022 fallback bug 无关；引用 geometry_audit_v2.csv 并解释 geometry_conflict 旗标处置。</w:t>
      </w:r>
    </w:p>
    <w:p>
      <w:pPr>
        <w:spacing w:before="160" w:after="120"/>
      </w:pPr>
      <w:r>
        <w:rPr>
          <w:rFonts w:ascii="Times New Roman" w:hAnsi="Times New Roman" w:eastAsia="黑体"/>
          <w:b/>
          <w:color w:val="2B2B2B"/>
          <w:sz w:val="24"/>
        </w:rPr>
        <w:t>7.2　P1：Pillar 2 科学加固（已用现有数据落实，见 4.2 节）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厚度混淆：</w:t>
      </w:r>
      <w:r>
        <w:rPr>
          <w:rFonts w:ascii="Times New Roman" w:hAnsi="Times New Roman" w:eastAsia="宋体"/>
          <w:sz w:val="21"/>
        </w:rPr>
        <w:t>已作 Eₐ_high–厚度散点（4.25CS 剔除）；明确低 Eₐ 是“薄膜几何 + 家族”共同效应，Main 主张限定为“可比薄膜几何下 LRS Eₐ_high 显著低于玉米淀粉对照”。已落实。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KK（关键方法学更正）：</w:t>
      </w:r>
      <w:r>
        <w:rPr>
          <w:rFonts w:ascii="Times New Roman" w:hAnsi="Times New Roman" w:eastAsia="宋体"/>
          <w:sz w:val="21"/>
        </w:rPr>
        <w:t>逐温度谱 KK 复算查明并修正了一处复数阻抗符号约定 bug（解析器输出真实 Im(Z)，旧 KK 代码却按正幅值再取负，致谱被翻成反因果共轭）。修正 Z=Zr+jZi + 高频感性尾裁剪后，全样 220 条谱 KK 警告由 133 降为 0、μ_median≈0.007。→ headline LRS 主窗口实为 KK 干净，强主张由“KK 一致 + 主窗口 Rb 一致 + 有界高温段 Eₐ”支撑。（这是相对原计划的诚实更正：原以为高温窗口 KK 脏，实为方法学伪影。Eₐ/σ 与 KK 无关、数值不变。脚本 kk_diagnostic.py / kk_verify_all.py 可复现。）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DRT：</w:t>
      </w:r>
      <w:r>
        <w:rPr>
          <w:rFonts w:ascii="Times New Roman" w:hAnsi="Times New Roman" w:eastAsia="宋体"/>
          <w:sz w:val="21"/>
        </w:rPr>
        <w:t>改 NNLS，或明确“DRT 仅 exploratory，不作机制证据”。</w:t>
      </w:r>
    </w:p>
    <w:p>
      <w:pPr>
        <w:spacing w:before="160" w:after="120"/>
      </w:pPr>
      <w:r>
        <w:rPr>
          <w:rFonts w:ascii="Times New Roman" w:hAnsi="Times New Roman" w:eastAsia="黑体"/>
          <w:b/>
          <w:color w:val="2B2B2B"/>
          <w:sz w:val="24"/>
        </w:rPr>
        <w:t>7.3　P2：Pillar 3 措辞对齐代码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措辞：</w:t>
      </w:r>
      <w:r>
        <w:rPr>
          <w:rFonts w:ascii="Times New Roman" w:hAnsi="Times New Roman" w:eastAsia="宋体"/>
          <w:sz w:val="21"/>
        </w:rPr>
        <w:t>不写收敛/发现；BO improvement=0、best=Trial1 定位为执行证明 + 诚实零结果；7 次几何修复写入 SI。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R4：</w:t>
      </w:r>
      <w:r>
        <w:rPr>
          <w:rFonts w:ascii="Times New Roman" w:hAnsi="Times New Roman" w:eastAsia="宋体"/>
          <w:sz w:val="21"/>
        </w:rPr>
        <w:t>R4 改名为 agent/human guardrail review，除非补真实 LLM API 调用记录（线 B 已具备 model+prompt hash+temperature=0）。</w:t>
      </w:r>
    </w:p>
    <w:p>
      <w:pPr>
        <w:spacing w:before="240" w:after="120"/>
      </w:pPr>
      <w:r>
        <w:rPr>
          <w:rFonts w:ascii="Times New Roman" w:hAnsi="Times New Roman" w:eastAsia="黑体"/>
          <w:b/>
          <w:color w:val="1F3864"/>
          <w:sz w:val="28"/>
        </w:rPr>
        <w:t>8　结论与展望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本工作以酸-黏土质子导体为母体系，给出一个受物理/QC/claim 治理的智能体材料发现框架：证据约束迁移智能体选/重组生物聚合物–黏土膜基元，冷却韧性描述符对韧性/非韧性体系具备区分力，物理/QC 门控的 BO+LLM 闭环如实报告诚实零结果，全程由确定性 claim 审计守门。其方法学贡献（claim 阶梯 + 确定性审计 + 执行引擎门禁）为可信智能体材料发现提供了可复现范式。</w:t>
      </w:r>
    </w:p>
    <w:p>
      <w:pPr>
        <w:spacing w:after="120" w:before="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升级路线（与本文并行推进的实验）：线 A（生物聚合物前瞻）将把 Pillar 1 提升至 A；线 B（真实前瞻 MOBO 闭环）将把 Pillar 3 提升至 A 并产出原生多目标 Pareto 前沿。两线均严格执行“测量前冻结 → push 盖戳 → 再动手”。若两线证据到位，本文可由子刊升级转投 Nature Communications。</w:t>
      </w:r>
    </w:p>
    <w:p>
      <w:pPr>
        <w:spacing w:before="240" w:after="120"/>
      </w:pPr>
      <w:r>
        <w:rPr>
          <w:rFonts w:ascii="Times New Roman" w:hAnsi="Times New Roman" w:eastAsia="黑体"/>
          <w:b/>
          <w:color w:val="1F3864"/>
          <w:sz w:val="28"/>
        </w:rPr>
        <w:t>图件清单（复用现有 Fig1–Fig7）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Fig 1：</w:t>
      </w:r>
      <w:r>
        <w:rPr>
          <w:rFonts w:ascii="Times New Roman" w:hAnsi="Times New Roman" w:eastAsia="宋体"/>
          <w:sz w:val="21"/>
        </w:rPr>
        <w:t>智能体工作流与 harness（memory/critic/heartbeat + LLM 网关）。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Fig 2：</w:t>
      </w:r>
      <w:r>
        <w:rPr>
          <w:rFonts w:ascii="Times New Roman" w:hAnsi="Times New Roman" w:eastAsia="宋体"/>
          <w:sz w:val="21"/>
        </w:rPr>
        <w:t>BO/LLM trade-off（含 improvement=0 的诚实呈现）。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Fig 3：</w:t>
      </w:r>
      <w:r>
        <w:rPr>
          <w:rFonts w:ascii="Times New Roman" w:hAnsi="Times New Roman" w:eastAsia="宋体"/>
          <w:sz w:val="21"/>
        </w:rPr>
        <w:t>Stage3 候选排名稳定性（top1=1.0、top3 Jaccard=1.0）。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Fig 4：</w:t>
      </w:r>
      <w:r>
        <w:rPr>
          <w:rFonts w:ascii="Times New Roman" w:hAnsi="Times New Roman" w:eastAsia="宋体"/>
          <w:sz w:val="21"/>
        </w:rPr>
        <w:t>宽温 σ(T)：LRS（韧性）vs CHITO（边界坍塌）。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Fig 5：</w:t>
      </w:r>
      <w:r>
        <w:rPr>
          <w:rFonts w:ascii="Times New Roman" w:hAnsi="Times New Roman" w:eastAsia="宋体"/>
          <w:sz w:val="21"/>
        </w:rPr>
        <w:t>Eₐ benchmark（含厚度标注，对标 POP-2020/MFM-300(Cr)/母体系）。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Fig 5b：</w:t>
      </w:r>
      <w:r>
        <w:rPr>
          <w:rFonts w:ascii="Times New Roman" w:hAnsi="Times New Roman" w:eastAsia="宋体"/>
          <w:sz w:val="21"/>
        </w:rPr>
        <w:t>已生成 Fig_pillar2_qc：面板 A Eₐ_high–厚度（厚度×家族混淆）；面板 B 符号修正后逐温度 KK 残差（全部 « 0.2，数据 KK 一致）。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Fig 6：</w:t>
      </w:r>
      <w:r>
        <w:rPr>
          <w:rFonts w:ascii="Times New Roman" w:hAnsi="Times New Roman" w:eastAsia="宋体"/>
          <w:sz w:val="21"/>
        </w:rPr>
        <w:t>EIS QC 边界（KK/Rb，三 claim band）。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b/>
          <w:sz w:val="21"/>
        </w:rPr>
        <w:t>Fig 7：</w:t>
      </w:r>
      <w:r>
        <w:rPr>
          <w:rFonts w:ascii="Times New Roman" w:hAnsi="Times New Roman" w:eastAsia="宋体"/>
          <w:sz w:val="21"/>
        </w:rPr>
        <w:t>BO 目标 / claim 审计裁决可视化。</w:t>
      </w:r>
    </w:p>
    <w:p>
      <w:pPr>
        <w:spacing w:before="240" w:after="120"/>
      </w:pPr>
      <w:r>
        <w:rPr>
          <w:rFonts w:ascii="Times New Roman" w:hAnsi="Times New Roman" w:eastAsia="黑体"/>
          <w:b/>
          <w:color w:val="1F3864"/>
          <w:sz w:val="28"/>
        </w:rPr>
        <w:t>SI 大纲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sz w:val="21"/>
        </w:rPr>
        <w:t>timing anchor 重建说明与 git 取证（commit 4b6ee61、文件名时间戳、1 天余量、5 选 2）。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sz w:val="21"/>
        </w:rPr>
        <w:t>完整 closed_loop_metrics（improvement=0、7 次几何修复、limitations）。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sz w:val="21"/>
        </w:rPr>
        <w:t>逐温度 KK residual 表（kk_residual_per_temperature.csv，独立 lin-KK 复算）+ 按 band 的 KK 警告比例（kk_warning_fraction_by_band_LRS.csv）+ Rb 一致性门控表（kk_rb_band_gating_table.csv，含 manual vs auto Rb）。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sz w:val="21"/>
        </w:rPr>
        <w:t>Eₐ_high vs 厚度散点（ea_vs_thickness.csv / Fig_pillar2_qc 面板 A）与几何审计（geometry_audit_v2.csv，geometry_conflict 处置）；4.25CS 弃用说明见 DEPRECATED_SAMPLES.md。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sz w:val="21"/>
        </w:rPr>
        <w:t>claim 审计完整裁决（允许/禁止措辞、各 band）。</w:t>
      </w:r>
    </w:p>
    <w:p>
      <w:pPr>
        <w:pStyle w:val="ListBullet"/>
        <w:spacing w:after="60" w:line="288" w:lineRule="auto"/>
        <w:ind w:left="425"/>
      </w:pPr>
      <w:r>
        <w:rPr>
          <w:rFonts w:ascii="Times New Roman" w:hAnsi="Times New Roman" w:eastAsia="宋体"/>
          <w:sz w:val="21"/>
        </w:rPr>
        <w:t>线 A / 线 B 预注册包与 push 时间戳（原生前瞻证据）。</w:t>
      </w:r>
    </w:p>
    <w:p>
      <w:pPr>
        <w:spacing w:after="120" w:before="200" w:line="300" w:lineRule="auto"/>
        <w:jc w:val="center"/>
      </w:pPr>
      <w:r>
        <w:rPr>
          <w:rFonts w:ascii="Times New Roman" w:hAnsi="Times New Roman" w:eastAsia="宋体"/>
          <w:b w:val="0"/>
          <w:i w:val="0"/>
          <w:color w:val="999999"/>
          <w:sz w:val="18"/>
        </w:rPr>
        <w:t>——初稿 v1 结束（黄色框为实验升级插槽）——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