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23"/>
        <w:rPr>
          <w:rFonts w:ascii="Times New Roman"/>
        </w:rPr>
      </w:pPr>
    </w:p>
    <w:p>
      <w:pPr>
        <w:pStyle w:val="BodyText"/>
        <w:spacing w:after="0"/>
        <w:rPr>
          <w:rFonts w:ascii="Times New Roman"/>
        </w:rPr>
        <w:sectPr>
          <w:type w:val="continuous"/>
          <w:pgSz w:w="11910" w:h="15880"/>
          <w:pgMar w:top="940" w:bottom="280" w:left="708" w:right="708"/>
        </w:sectPr>
      </w:pPr>
    </w:p>
    <w:p>
      <w:pPr>
        <w:spacing w:before="77"/>
        <w:ind w:left="3740" w:right="0" w:firstLine="0"/>
        <w:jc w:val="left"/>
        <w:rPr>
          <w:sz w:val="16"/>
        </w:rPr>
      </w:pPr>
      <w:r>
        <w:rPr>
          <w:sz w:val="16"/>
        </w:rPr>
        <w:drawing>
          <wp:anchor distT="0" distB="0" distL="0" distR="0" allowOverlap="1" layoutInCell="1" locked="0" behindDoc="0" simplePos="0" relativeHeight="15730688">
            <wp:simplePos x="0" y="0"/>
            <wp:positionH relativeFrom="page">
              <wp:posOffset>543053</wp:posOffset>
            </wp:positionH>
            <wp:positionV relativeFrom="paragraph">
              <wp:posOffset>-592553</wp:posOffset>
            </wp:positionV>
            <wp:extent cx="734947" cy="75447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34947" cy="754478"/>
                    </a:xfrm>
                    <a:prstGeom prst="rect">
                      <a:avLst/>
                    </a:prstGeom>
                  </pic:spPr>
                </pic:pic>
              </a:graphicData>
            </a:graphic>
          </wp:anchor>
        </w:drawing>
      </w:r>
      <w:bookmarkStart w:name="SANDO: Two novel mutations in POLG1 gene" w:id="1"/>
      <w:bookmarkEnd w:id="1"/>
      <w:r>
        <w:rPr/>
      </w:r>
      <w:r>
        <w:rPr>
          <w:spacing w:val="-4"/>
          <w:sz w:val="16"/>
        </w:rPr>
        <w:t>Neuromuscular</w:t>
      </w:r>
      <w:r>
        <w:rPr>
          <w:spacing w:val="5"/>
          <w:sz w:val="16"/>
        </w:rPr>
        <w:t> </w:t>
      </w:r>
      <w:r>
        <w:rPr>
          <w:spacing w:val="-4"/>
          <w:sz w:val="16"/>
        </w:rPr>
        <w:t>Disorders</w:t>
      </w:r>
      <w:r>
        <w:rPr>
          <w:spacing w:val="5"/>
          <w:sz w:val="16"/>
        </w:rPr>
        <w:t> </w:t>
      </w:r>
      <w:r>
        <w:rPr>
          <w:spacing w:val="-4"/>
          <w:sz w:val="16"/>
        </w:rPr>
        <w:t>16</w:t>
      </w:r>
      <w:r>
        <w:rPr>
          <w:spacing w:val="6"/>
          <w:sz w:val="16"/>
        </w:rPr>
        <w:t> </w:t>
      </w:r>
      <w:r>
        <w:rPr>
          <w:spacing w:val="-4"/>
          <w:sz w:val="16"/>
        </w:rPr>
        <w:t>(2006)</w:t>
      </w:r>
      <w:r>
        <w:rPr>
          <w:spacing w:val="5"/>
          <w:sz w:val="16"/>
        </w:rPr>
        <w:t> </w:t>
      </w:r>
      <w:r>
        <w:rPr>
          <w:spacing w:val="-7"/>
          <w:sz w:val="16"/>
        </w:rPr>
        <w:t>507–509</w:t>
      </w:r>
    </w:p>
    <w:p>
      <w:pPr>
        <w:pStyle w:val="BodyText"/>
        <w:rPr>
          <w:sz w:val="16"/>
        </w:rPr>
      </w:pPr>
    </w:p>
    <w:p>
      <w:pPr>
        <w:pStyle w:val="BodyText"/>
        <w:spacing w:before="18"/>
        <w:rPr>
          <w:sz w:val="16"/>
        </w:rPr>
      </w:pPr>
    </w:p>
    <w:p>
      <w:pPr>
        <w:spacing w:before="0"/>
        <w:ind w:left="4563" w:right="0" w:firstLine="0"/>
        <w:jc w:val="left"/>
        <w:rPr>
          <w:sz w:val="24"/>
        </w:rPr>
      </w:pPr>
      <w:r>
        <w:rPr>
          <w:sz w:val="24"/>
        </w:rPr>
        <w:t>Case</w:t>
      </w:r>
      <w:r>
        <w:rPr>
          <w:spacing w:val="12"/>
          <w:sz w:val="24"/>
        </w:rPr>
        <w:t> </w:t>
      </w:r>
      <w:r>
        <w:rPr>
          <w:spacing w:val="-2"/>
          <w:sz w:val="24"/>
        </w:rPr>
        <w:t>report</w:t>
      </w:r>
    </w:p>
    <w:p>
      <w:pPr>
        <w:spacing w:line="240" w:lineRule="auto" w:before="165"/>
        <w:rPr>
          <w:sz w:val="16"/>
        </w:rPr>
      </w:pPr>
      <w:r>
        <w:rPr/>
        <w:br w:type="column"/>
      </w:r>
      <w:r>
        <w:rPr>
          <w:sz w:val="16"/>
        </w:rPr>
      </w:r>
    </w:p>
    <w:p>
      <w:pPr>
        <w:spacing w:before="0"/>
        <w:ind w:left="147" w:right="0" w:firstLine="0"/>
        <w:jc w:val="left"/>
        <w:rPr>
          <w:rFonts w:ascii="Times New Roman"/>
          <w:sz w:val="16"/>
        </w:rPr>
      </w:pPr>
      <w:r>
        <w:rPr>
          <w:rFonts w:ascii="Times New Roman"/>
          <w:sz w:val="16"/>
        </w:rPr>
        <w:drawing>
          <wp:anchor distT="0" distB="0" distL="0" distR="0" allowOverlap="1" layoutInCell="1" locked="0" behindDoc="0" simplePos="0" relativeHeight="15730176">
            <wp:simplePos x="0" y="0"/>
            <wp:positionH relativeFrom="page">
              <wp:posOffset>6323038</wp:posOffset>
            </wp:positionH>
            <wp:positionV relativeFrom="paragraph">
              <wp:posOffset>-812769</wp:posOffset>
            </wp:positionV>
            <wp:extent cx="593023" cy="72431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3023" cy="724319"/>
                    </a:xfrm>
                    <a:prstGeom prst="rect">
                      <a:avLst/>
                    </a:prstGeom>
                  </pic:spPr>
                </pic:pic>
              </a:graphicData>
            </a:graphic>
          </wp:anchor>
        </w:drawing>
      </w:r>
      <w:hyperlink r:id="rId7">
        <w:r>
          <w:rPr>
            <w:rFonts w:ascii="Times New Roman"/>
            <w:spacing w:val="-2"/>
            <w:sz w:val="16"/>
          </w:rPr>
          <w:t>www.elsevier.com/locate/nmd</w:t>
        </w:r>
      </w:hyperlink>
    </w:p>
    <w:p>
      <w:pPr>
        <w:spacing w:after="0"/>
        <w:jc w:val="left"/>
        <w:rPr>
          <w:rFonts w:ascii="Times New Roman"/>
          <w:sz w:val="16"/>
        </w:rPr>
        <w:sectPr>
          <w:type w:val="continuous"/>
          <w:pgSz w:w="11910" w:h="15880"/>
          <w:pgMar w:top="940" w:bottom="280" w:left="708" w:right="708"/>
          <w:cols w:num="2" w:equalWidth="0">
            <w:col w:w="6856" w:space="1171"/>
            <w:col w:w="2467"/>
          </w:cols>
        </w:sectPr>
      </w:pPr>
    </w:p>
    <w:p>
      <w:pPr>
        <w:pStyle w:val="Title"/>
      </w:pPr>
      <w:bookmarkStart w:name="Introduction" w:id="2"/>
      <w:bookmarkEnd w:id="2"/>
      <w:r>
        <w:rPr/>
      </w:r>
      <w:r>
        <w:rPr/>
        <w:t>SANDO:</w:t>
      </w:r>
      <w:r>
        <w:rPr>
          <w:spacing w:val="31"/>
        </w:rPr>
        <w:t> </w:t>
      </w:r>
      <w:r>
        <w:rPr/>
        <w:t>Two</w:t>
      </w:r>
      <w:r>
        <w:rPr>
          <w:spacing w:val="32"/>
        </w:rPr>
        <w:t> </w:t>
      </w:r>
      <w:r>
        <w:rPr/>
        <w:t>novel</w:t>
      </w:r>
      <w:r>
        <w:rPr>
          <w:spacing w:val="30"/>
        </w:rPr>
        <w:t> </w:t>
      </w:r>
      <w:r>
        <w:rPr/>
        <w:t>mutations</w:t>
      </w:r>
      <w:r>
        <w:rPr>
          <w:spacing w:val="32"/>
        </w:rPr>
        <w:t> </w:t>
      </w:r>
      <w:r>
        <w:rPr/>
        <w:t>in</w:t>
      </w:r>
      <w:r>
        <w:rPr>
          <w:spacing w:val="31"/>
        </w:rPr>
        <w:t> </w:t>
      </w:r>
      <w:r>
        <w:rPr/>
        <w:t>POLG1</w:t>
      </w:r>
      <w:r>
        <w:rPr>
          <w:spacing w:val="32"/>
        </w:rPr>
        <w:t> </w:t>
      </w:r>
      <w:r>
        <w:rPr>
          <w:spacing w:val="-4"/>
        </w:rPr>
        <w:t>gene</w:t>
      </w:r>
    </w:p>
    <w:p>
      <w:pPr>
        <w:spacing w:line="235" w:lineRule="auto" w:before="274"/>
        <w:ind w:left="536" w:right="784" w:firstLine="0"/>
        <w:jc w:val="center"/>
        <w:rPr>
          <w:sz w:val="26"/>
        </w:rPr>
      </w:pPr>
      <w:bookmarkStart w:name="Clinical case" w:id="3"/>
      <w:bookmarkEnd w:id="3"/>
      <w:r>
        <w:rPr/>
      </w:r>
      <w:r>
        <w:rPr>
          <w:spacing w:val="-2"/>
          <w:position w:val="1"/>
          <w:sz w:val="26"/>
        </w:rPr>
        <w:t>Miguel Fernandes Gago </w:t>
      </w:r>
      <w:r>
        <w:rPr>
          <w:spacing w:val="-2"/>
          <w:position w:val="7"/>
          <w:sz w:val="17"/>
        </w:rPr>
        <w:t>*</w:t>
      </w:r>
      <w:r>
        <w:rPr>
          <w:spacing w:val="-2"/>
          <w:position w:val="1"/>
          <w:sz w:val="26"/>
        </w:rPr>
        <w:t>, M.J. Rosas, Joana </w:t>
      </w:r>
      <w:r>
        <w:rPr>
          <w:spacing w:val="5"/>
          <w:w w:val="104"/>
          <w:position w:val="1"/>
          <w:sz w:val="26"/>
        </w:rPr>
        <w:t>Guimar</w:t>
      </w:r>
      <w:r>
        <w:rPr>
          <w:spacing w:val="-103"/>
          <w:w w:val="104"/>
          <w:position w:val="1"/>
          <w:sz w:val="26"/>
        </w:rPr>
        <w:t>a</w:t>
      </w:r>
      <w:r>
        <w:rPr>
          <w:spacing w:val="26"/>
          <w:w w:val="72"/>
          <w:sz w:val="26"/>
        </w:rPr>
        <w:t>˜</w:t>
      </w:r>
      <w:r>
        <w:rPr>
          <w:spacing w:val="5"/>
          <w:w w:val="97"/>
          <w:position w:val="1"/>
          <w:sz w:val="26"/>
        </w:rPr>
        <w:t>es,</w:t>
      </w:r>
      <w:r>
        <w:rPr>
          <w:spacing w:val="-3"/>
          <w:w w:val="99"/>
          <w:position w:val="1"/>
          <w:sz w:val="26"/>
        </w:rPr>
        <w:t> </w:t>
      </w:r>
      <w:r>
        <w:rPr>
          <w:spacing w:val="-2"/>
          <w:position w:val="1"/>
          <w:sz w:val="26"/>
        </w:rPr>
        <w:t>Mariana </w:t>
      </w:r>
      <w:r>
        <w:rPr>
          <w:spacing w:val="-2"/>
          <w:position w:val="1"/>
          <w:sz w:val="26"/>
        </w:rPr>
        <w:t>Ferreira, </w:t>
      </w:r>
      <w:r>
        <w:rPr>
          <w:sz w:val="26"/>
        </w:rPr>
        <w:t>Laura Vilarinho, L´ıgia Castro, Stirling Carpenter</w:t>
      </w:r>
    </w:p>
    <w:p>
      <w:pPr>
        <w:spacing w:before="184"/>
        <w:ind w:left="625" w:right="784" w:firstLine="0"/>
        <w:jc w:val="center"/>
        <w:rPr>
          <w:rFonts w:ascii="Times New Roman"/>
          <w:i/>
          <w:sz w:val="16"/>
        </w:rPr>
      </w:pPr>
      <w:r>
        <w:rPr>
          <w:rFonts w:ascii="Times New Roman"/>
          <w:i/>
          <w:w w:val="105"/>
          <w:sz w:val="16"/>
        </w:rPr>
        <w:t>Hospital</w:t>
      </w:r>
      <w:r>
        <w:rPr>
          <w:rFonts w:ascii="Times New Roman"/>
          <w:i/>
          <w:spacing w:val="-1"/>
          <w:w w:val="105"/>
          <w:sz w:val="16"/>
        </w:rPr>
        <w:t> </w:t>
      </w:r>
      <w:r>
        <w:rPr>
          <w:rFonts w:ascii="Times New Roman"/>
          <w:i/>
          <w:w w:val="105"/>
          <w:sz w:val="16"/>
        </w:rPr>
        <w:t>de</w:t>
      </w:r>
      <w:r>
        <w:rPr>
          <w:rFonts w:ascii="Times New Roman"/>
          <w:i/>
          <w:spacing w:val="1"/>
          <w:w w:val="105"/>
          <w:sz w:val="16"/>
        </w:rPr>
        <w:t> </w:t>
      </w:r>
      <w:r>
        <w:rPr>
          <w:rFonts w:ascii="Times New Roman"/>
          <w:i/>
          <w:w w:val="105"/>
          <w:sz w:val="16"/>
        </w:rPr>
        <w:t>Sao</w:t>
      </w:r>
      <w:r>
        <w:rPr>
          <w:rFonts w:ascii="Times New Roman"/>
          <w:i/>
          <w:spacing w:val="-1"/>
          <w:w w:val="105"/>
          <w:sz w:val="16"/>
        </w:rPr>
        <w:t> </w:t>
      </w:r>
      <w:r>
        <w:rPr>
          <w:rFonts w:ascii="Times New Roman"/>
          <w:i/>
          <w:w w:val="105"/>
          <w:sz w:val="16"/>
        </w:rPr>
        <w:t>Joao,</w:t>
      </w:r>
      <w:r>
        <w:rPr>
          <w:rFonts w:ascii="Times New Roman"/>
          <w:i/>
          <w:spacing w:val="1"/>
          <w:w w:val="105"/>
          <w:sz w:val="16"/>
        </w:rPr>
        <w:t> </w:t>
      </w:r>
      <w:r>
        <w:rPr>
          <w:rFonts w:ascii="Times New Roman"/>
          <w:i/>
          <w:w w:val="105"/>
          <w:sz w:val="16"/>
        </w:rPr>
        <w:t>Neurologia, Department of Neurology, Porto, </w:t>
      </w:r>
      <w:r>
        <w:rPr>
          <w:rFonts w:ascii="Times New Roman"/>
          <w:i/>
          <w:spacing w:val="-2"/>
          <w:w w:val="105"/>
          <w:sz w:val="16"/>
        </w:rPr>
        <w:t>Portugal</w:t>
      </w:r>
    </w:p>
    <w:p>
      <w:pPr>
        <w:spacing w:before="138"/>
        <w:ind w:left="624" w:right="784" w:firstLine="0"/>
        <w:jc w:val="center"/>
        <w:rPr>
          <w:sz w:val="16"/>
        </w:rPr>
      </w:pPr>
      <w:r>
        <w:rPr>
          <w:spacing w:val="-2"/>
          <w:sz w:val="16"/>
        </w:rPr>
        <w:t>Received</w:t>
      </w:r>
      <w:r>
        <w:rPr>
          <w:sz w:val="16"/>
        </w:rPr>
        <w:t> </w:t>
      </w:r>
      <w:r>
        <w:rPr>
          <w:spacing w:val="-2"/>
          <w:sz w:val="16"/>
        </w:rPr>
        <w:t>2</w:t>
      </w:r>
      <w:r>
        <w:rPr>
          <w:spacing w:val="1"/>
          <w:sz w:val="16"/>
        </w:rPr>
        <w:t> </w:t>
      </w:r>
      <w:r>
        <w:rPr>
          <w:spacing w:val="-2"/>
          <w:sz w:val="16"/>
        </w:rPr>
        <w:t>March</w:t>
      </w:r>
      <w:r>
        <w:rPr>
          <w:spacing w:val="-1"/>
          <w:sz w:val="16"/>
        </w:rPr>
        <w:t> </w:t>
      </w:r>
      <w:r>
        <w:rPr>
          <w:spacing w:val="-2"/>
          <w:sz w:val="16"/>
        </w:rPr>
        <w:t>2006;</w:t>
      </w:r>
      <w:r>
        <w:rPr>
          <w:sz w:val="16"/>
        </w:rPr>
        <w:t> </w:t>
      </w:r>
      <w:r>
        <w:rPr>
          <w:spacing w:val="-2"/>
          <w:sz w:val="16"/>
        </w:rPr>
        <w:t>received</w:t>
      </w:r>
      <w:r>
        <w:rPr>
          <w:spacing w:val="1"/>
          <w:sz w:val="16"/>
        </w:rPr>
        <w:t> </w:t>
      </w:r>
      <w:r>
        <w:rPr>
          <w:spacing w:val="-2"/>
          <w:sz w:val="16"/>
        </w:rPr>
        <w:t>in</w:t>
      </w:r>
      <w:r>
        <w:rPr>
          <w:spacing w:val="1"/>
          <w:sz w:val="16"/>
        </w:rPr>
        <w:t> </w:t>
      </w:r>
      <w:r>
        <w:rPr>
          <w:spacing w:val="-2"/>
          <w:sz w:val="16"/>
        </w:rPr>
        <w:t>revised</w:t>
      </w:r>
      <w:r>
        <w:rPr>
          <w:sz w:val="16"/>
        </w:rPr>
        <w:t> </w:t>
      </w:r>
      <w:r>
        <w:rPr>
          <w:spacing w:val="-2"/>
          <w:sz w:val="16"/>
        </w:rPr>
        <w:t>form</w:t>
      </w:r>
      <w:r>
        <w:rPr>
          <w:spacing w:val="1"/>
          <w:sz w:val="16"/>
        </w:rPr>
        <w:t> </w:t>
      </w:r>
      <w:r>
        <w:rPr>
          <w:spacing w:val="-2"/>
          <w:sz w:val="16"/>
        </w:rPr>
        <w:t>17</w:t>
      </w:r>
      <w:r>
        <w:rPr>
          <w:spacing w:val="1"/>
          <w:sz w:val="16"/>
        </w:rPr>
        <w:t> </w:t>
      </w:r>
      <w:r>
        <w:rPr>
          <w:spacing w:val="-2"/>
          <w:sz w:val="16"/>
        </w:rPr>
        <w:t>May</w:t>
      </w:r>
      <w:r>
        <w:rPr>
          <w:spacing w:val="-1"/>
          <w:sz w:val="16"/>
        </w:rPr>
        <w:t> </w:t>
      </w:r>
      <w:r>
        <w:rPr>
          <w:spacing w:val="-2"/>
          <w:sz w:val="16"/>
        </w:rPr>
        <w:t>2006;</w:t>
      </w:r>
      <w:r>
        <w:rPr>
          <w:spacing w:val="1"/>
          <w:sz w:val="16"/>
        </w:rPr>
        <w:t> </w:t>
      </w:r>
      <w:r>
        <w:rPr>
          <w:spacing w:val="-2"/>
          <w:sz w:val="16"/>
        </w:rPr>
        <w:t>accepted</w:t>
      </w:r>
      <w:r>
        <w:rPr>
          <w:sz w:val="16"/>
        </w:rPr>
        <w:t> </w:t>
      </w:r>
      <w:r>
        <w:rPr>
          <w:spacing w:val="-2"/>
          <w:sz w:val="16"/>
        </w:rPr>
        <w:t>25</w:t>
      </w:r>
      <w:r>
        <w:rPr>
          <w:spacing w:val="1"/>
          <w:sz w:val="16"/>
        </w:rPr>
        <w:t> </w:t>
      </w:r>
      <w:r>
        <w:rPr>
          <w:spacing w:val="-2"/>
          <w:sz w:val="16"/>
        </w:rPr>
        <w:t>May</w:t>
      </w:r>
      <w:r>
        <w:rPr>
          <w:sz w:val="16"/>
        </w:rPr>
        <w:t> </w:t>
      </w:r>
      <w:r>
        <w:rPr>
          <w:spacing w:val="-4"/>
          <w:sz w:val="16"/>
        </w:rPr>
        <w:t>2006</w:t>
      </w:r>
    </w:p>
    <w:p>
      <w:pPr>
        <w:pStyle w:val="BodyText"/>
      </w:pPr>
    </w:p>
    <w:p>
      <w:pPr>
        <w:pStyle w:val="BodyText"/>
        <w:spacing w:before="174"/>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270255</wp:posOffset>
                </wp:positionV>
                <wp:extent cx="6377305"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377305" cy="6985"/>
                        </a:xfrm>
                        <a:custGeom>
                          <a:avLst/>
                          <a:gdLst/>
                          <a:ahLst/>
                          <a:cxnLst/>
                          <a:rect l="l" t="t" r="r" b="b"/>
                          <a:pathLst>
                            <a:path w="6377305" h="6985">
                              <a:moveTo>
                                <a:pt x="6377038" y="0"/>
                              </a:moveTo>
                              <a:lnTo>
                                <a:pt x="0" y="0"/>
                              </a:lnTo>
                              <a:lnTo>
                                <a:pt x="0" y="6480"/>
                              </a:lnTo>
                              <a:lnTo>
                                <a:pt x="6377038" y="6480"/>
                              </a:lnTo>
                              <a:lnTo>
                                <a:pt x="6377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279922pt;width:502.129pt;height:.5102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58"/>
        <w:ind w:left="142" w:right="0" w:firstLine="0"/>
        <w:jc w:val="left"/>
        <w:rPr>
          <w:rFonts w:ascii="Times New Roman"/>
          <w:sz w:val="18"/>
        </w:rPr>
      </w:pPr>
      <w:r>
        <w:rPr>
          <w:rFonts w:ascii="Times New Roman"/>
          <w:spacing w:val="-2"/>
          <w:w w:val="105"/>
          <w:sz w:val="18"/>
        </w:rPr>
        <w:t>Abstract</w:t>
      </w:r>
    </w:p>
    <w:p>
      <w:pPr>
        <w:pStyle w:val="BodyText"/>
        <w:spacing w:before="26"/>
        <w:rPr>
          <w:rFonts w:ascii="Times New Roman"/>
          <w:sz w:val="18"/>
        </w:rPr>
      </w:pPr>
    </w:p>
    <w:p>
      <w:pPr>
        <w:spacing w:line="256" w:lineRule="auto" w:before="0"/>
        <w:ind w:left="142" w:right="303" w:firstLine="233"/>
        <w:jc w:val="both"/>
        <w:rPr>
          <w:sz w:val="18"/>
        </w:rPr>
      </w:pPr>
      <w:r>
        <w:rPr>
          <w:sz w:val="18"/>
        </w:rPr>
        <w:t>Sensory</w:t>
      </w:r>
      <w:r>
        <w:rPr>
          <w:spacing w:val="-11"/>
          <w:sz w:val="18"/>
        </w:rPr>
        <w:t> </w:t>
      </w:r>
      <w:r>
        <w:rPr>
          <w:sz w:val="18"/>
        </w:rPr>
        <w:t>ataxia</w:t>
      </w:r>
      <w:r>
        <w:rPr>
          <w:spacing w:val="-11"/>
          <w:sz w:val="18"/>
        </w:rPr>
        <w:t> </w:t>
      </w:r>
      <w:r>
        <w:rPr>
          <w:sz w:val="18"/>
        </w:rPr>
        <w:t>with</w:t>
      </w:r>
      <w:r>
        <w:rPr>
          <w:spacing w:val="-10"/>
          <w:sz w:val="18"/>
        </w:rPr>
        <w:t> </w:t>
      </w:r>
      <w:r>
        <w:rPr>
          <w:sz w:val="18"/>
        </w:rPr>
        <w:t>neuropathy,</w:t>
      </w:r>
      <w:r>
        <w:rPr>
          <w:spacing w:val="-11"/>
          <w:sz w:val="18"/>
        </w:rPr>
        <w:t> </w:t>
      </w:r>
      <w:r>
        <w:rPr>
          <w:sz w:val="18"/>
        </w:rPr>
        <w:t>dysarthria</w:t>
      </w:r>
      <w:r>
        <w:rPr>
          <w:spacing w:val="-11"/>
          <w:sz w:val="18"/>
        </w:rPr>
        <w:t> </w:t>
      </w:r>
      <w:r>
        <w:rPr>
          <w:sz w:val="18"/>
        </w:rPr>
        <w:t>and</w:t>
      </w:r>
      <w:r>
        <w:rPr>
          <w:spacing w:val="-11"/>
          <w:sz w:val="18"/>
        </w:rPr>
        <w:t> </w:t>
      </w:r>
      <w:r>
        <w:rPr>
          <w:sz w:val="18"/>
        </w:rPr>
        <w:t>ophthalmoparesis</w:t>
      </w:r>
      <w:r>
        <w:rPr>
          <w:spacing w:val="-10"/>
          <w:sz w:val="18"/>
        </w:rPr>
        <w:t> </w:t>
      </w:r>
      <w:r>
        <w:rPr>
          <w:sz w:val="18"/>
        </w:rPr>
        <w:t>represent</w:t>
      </w:r>
      <w:r>
        <w:rPr>
          <w:spacing w:val="-11"/>
          <w:sz w:val="18"/>
        </w:rPr>
        <w:t> </w:t>
      </w:r>
      <w:r>
        <w:rPr>
          <w:sz w:val="18"/>
        </w:rPr>
        <w:t>the</w:t>
      </w:r>
      <w:r>
        <w:rPr>
          <w:spacing w:val="-11"/>
          <w:sz w:val="18"/>
        </w:rPr>
        <w:t> </w:t>
      </w:r>
      <w:r>
        <w:rPr>
          <w:sz w:val="18"/>
        </w:rPr>
        <w:t>clinical</w:t>
      </w:r>
      <w:r>
        <w:rPr>
          <w:spacing w:val="-10"/>
          <w:sz w:val="18"/>
        </w:rPr>
        <w:t> </w:t>
      </w:r>
      <w:r>
        <w:rPr>
          <w:sz w:val="18"/>
        </w:rPr>
        <w:t>triad</w:t>
      </w:r>
      <w:r>
        <w:rPr>
          <w:spacing w:val="-11"/>
          <w:sz w:val="18"/>
        </w:rPr>
        <w:t> </w:t>
      </w:r>
      <w:r>
        <w:rPr>
          <w:sz w:val="18"/>
        </w:rPr>
        <w:t>of</w:t>
      </w:r>
      <w:r>
        <w:rPr>
          <w:spacing w:val="-11"/>
          <w:sz w:val="18"/>
        </w:rPr>
        <w:t> </w:t>
      </w:r>
      <w:r>
        <w:rPr>
          <w:sz w:val="18"/>
        </w:rPr>
        <w:t>SANDO,</w:t>
      </w:r>
      <w:r>
        <w:rPr>
          <w:spacing w:val="-10"/>
          <w:sz w:val="18"/>
        </w:rPr>
        <w:t> </w:t>
      </w:r>
      <w:r>
        <w:rPr>
          <w:sz w:val="18"/>
        </w:rPr>
        <w:t>a</w:t>
      </w:r>
      <w:r>
        <w:rPr>
          <w:spacing w:val="-11"/>
          <w:sz w:val="18"/>
        </w:rPr>
        <w:t> </w:t>
      </w:r>
      <w:r>
        <w:rPr>
          <w:sz w:val="18"/>
        </w:rPr>
        <w:t>speciﬁc</w:t>
      </w:r>
      <w:r>
        <w:rPr>
          <w:spacing w:val="-10"/>
          <w:sz w:val="18"/>
        </w:rPr>
        <w:t> </w:t>
      </w:r>
      <w:r>
        <w:rPr>
          <w:sz w:val="18"/>
        </w:rPr>
        <w:t>mitochon- </w:t>
      </w:r>
      <w:r>
        <w:rPr>
          <w:spacing w:val="-2"/>
          <w:sz w:val="18"/>
        </w:rPr>
        <w:t>drial</w:t>
      </w:r>
      <w:r>
        <w:rPr>
          <w:spacing w:val="-3"/>
          <w:sz w:val="18"/>
        </w:rPr>
        <w:t> </w:t>
      </w:r>
      <w:r>
        <w:rPr>
          <w:spacing w:val="-2"/>
          <w:sz w:val="18"/>
        </w:rPr>
        <w:t>phenotype</w:t>
      </w:r>
      <w:r>
        <w:rPr>
          <w:spacing w:val="-3"/>
          <w:sz w:val="18"/>
        </w:rPr>
        <w:t> </w:t>
      </w:r>
      <w:r>
        <w:rPr>
          <w:spacing w:val="-2"/>
          <w:sz w:val="18"/>
        </w:rPr>
        <w:t>ﬁrst</w:t>
      </w:r>
      <w:r>
        <w:rPr>
          <w:spacing w:val="-3"/>
          <w:sz w:val="18"/>
        </w:rPr>
        <w:t> </w:t>
      </w:r>
      <w:r>
        <w:rPr>
          <w:spacing w:val="-2"/>
          <w:sz w:val="18"/>
        </w:rPr>
        <w:t>reported</w:t>
      </w:r>
      <w:r>
        <w:rPr>
          <w:spacing w:val="-3"/>
          <w:sz w:val="18"/>
        </w:rPr>
        <w:t> </w:t>
      </w:r>
      <w:r>
        <w:rPr>
          <w:spacing w:val="-2"/>
          <w:sz w:val="18"/>
        </w:rPr>
        <w:t>in</w:t>
      </w:r>
      <w:r>
        <w:rPr>
          <w:spacing w:val="-3"/>
          <w:sz w:val="18"/>
        </w:rPr>
        <w:t> </w:t>
      </w:r>
      <w:r>
        <w:rPr>
          <w:spacing w:val="-2"/>
          <w:sz w:val="18"/>
        </w:rPr>
        <w:t>1997</w:t>
      </w:r>
      <w:r>
        <w:rPr>
          <w:spacing w:val="-3"/>
          <w:sz w:val="18"/>
        </w:rPr>
        <w:t> </w:t>
      </w:r>
      <w:r>
        <w:rPr>
          <w:spacing w:val="-2"/>
          <w:sz w:val="18"/>
        </w:rPr>
        <w:t>in</w:t>
      </w:r>
      <w:r>
        <w:rPr>
          <w:spacing w:val="-3"/>
          <w:sz w:val="18"/>
        </w:rPr>
        <w:t> </w:t>
      </w:r>
      <w:r>
        <w:rPr>
          <w:spacing w:val="-2"/>
          <w:sz w:val="18"/>
        </w:rPr>
        <w:t>association</w:t>
      </w:r>
      <w:r>
        <w:rPr>
          <w:spacing w:val="-3"/>
          <w:sz w:val="18"/>
        </w:rPr>
        <w:t> </w:t>
      </w:r>
      <w:r>
        <w:rPr>
          <w:spacing w:val="-2"/>
          <w:sz w:val="18"/>
        </w:rPr>
        <w:t>with</w:t>
      </w:r>
      <w:r>
        <w:rPr>
          <w:spacing w:val="-3"/>
          <w:sz w:val="18"/>
        </w:rPr>
        <w:t> </w:t>
      </w:r>
      <w:r>
        <w:rPr>
          <w:spacing w:val="-2"/>
          <w:sz w:val="18"/>
        </w:rPr>
        <w:t>multiple mitochondrial</w:t>
      </w:r>
      <w:r>
        <w:rPr>
          <w:spacing w:val="-3"/>
          <w:sz w:val="18"/>
        </w:rPr>
        <w:t> </w:t>
      </w:r>
      <w:r>
        <w:rPr>
          <w:spacing w:val="-2"/>
          <w:sz w:val="18"/>
        </w:rPr>
        <w:t>DNA</w:t>
      </w:r>
      <w:r>
        <w:rPr>
          <w:spacing w:val="-3"/>
          <w:sz w:val="18"/>
        </w:rPr>
        <w:t> </w:t>
      </w:r>
      <w:r>
        <w:rPr>
          <w:spacing w:val="-2"/>
          <w:sz w:val="18"/>
        </w:rPr>
        <w:t>deletions</w:t>
      </w:r>
      <w:r>
        <w:rPr>
          <w:spacing w:val="-3"/>
          <w:sz w:val="18"/>
        </w:rPr>
        <w:t> </w:t>
      </w:r>
      <w:r>
        <w:rPr>
          <w:spacing w:val="-2"/>
          <w:sz w:val="18"/>
        </w:rPr>
        <w:t>and</w:t>
      </w:r>
      <w:r>
        <w:rPr>
          <w:spacing w:val="-3"/>
          <w:sz w:val="18"/>
        </w:rPr>
        <w:t> </w:t>
      </w:r>
      <w:r>
        <w:rPr>
          <w:spacing w:val="-2"/>
          <w:sz w:val="18"/>
        </w:rPr>
        <w:t>mutations</w:t>
      </w:r>
      <w:r>
        <w:rPr>
          <w:spacing w:val="-3"/>
          <w:sz w:val="18"/>
        </w:rPr>
        <w:t> </w:t>
      </w:r>
      <w:r>
        <w:rPr>
          <w:spacing w:val="-2"/>
          <w:sz w:val="18"/>
        </w:rPr>
        <w:t>in</w:t>
      </w:r>
      <w:r>
        <w:rPr>
          <w:spacing w:val="-3"/>
          <w:sz w:val="18"/>
        </w:rPr>
        <w:t> </w:t>
      </w:r>
      <w:r>
        <w:rPr>
          <w:rFonts w:ascii="Times New Roman" w:hAnsi="Times New Roman"/>
          <w:i/>
          <w:spacing w:val="-2"/>
          <w:sz w:val="18"/>
        </w:rPr>
        <w:t>POLG1</w:t>
      </w:r>
      <w:r>
        <w:rPr>
          <w:rFonts w:ascii="Times New Roman" w:hAnsi="Times New Roman"/>
          <w:i/>
          <w:spacing w:val="-4"/>
          <w:sz w:val="18"/>
        </w:rPr>
        <w:t> </w:t>
      </w:r>
      <w:r>
        <w:rPr>
          <w:spacing w:val="-2"/>
          <w:sz w:val="18"/>
        </w:rPr>
        <w:t>or</w:t>
      </w:r>
      <w:r>
        <w:rPr>
          <w:spacing w:val="-3"/>
          <w:sz w:val="18"/>
        </w:rPr>
        <w:t> </w:t>
      </w:r>
      <w:r>
        <w:rPr>
          <w:spacing w:val="-2"/>
          <w:sz w:val="18"/>
        </w:rPr>
        <w:t>more </w:t>
      </w:r>
      <w:r>
        <w:rPr>
          <w:sz w:val="18"/>
        </w:rPr>
        <w:t>rarely in the C10orf2 (twinkle-helicase) gene. We report a 44-year-old man with SANDO who harboured two novel mutations (P648R/R807C) in the POLG1 gene.</w:t>
      </w:r>
    </w:p>
    <w:p>
      <w:pPr>
        <w:spacing w:line="203" w:lineRule="exact" w:before="0"/>
        <w:ind w:left="142" w:right="0" w:firstLine="0"/>
        <w:jc w:val="left"/>
        <w:rPr>
          <w:rFonts w:ascii="Times New Roman" w:hAnsi="Times New Roman"/>
          <w:sz w:val="18"/>
        </w:rPr>
      </w:pPr>
      <w:r>
        <w:rPr>
          <w:rFonts w:ascii="Times New Roman" w:hAnsi="Times New Roman"/>
          <w:sz w:val="18"/>
        </w:rPr>
        <w:t>©</w:t>
      </w:r>
      <w:r>
        <w:rPr>
          <w:rFonts w:ascii="Times New Roman" w:hAnsi="Times New Roman"/>
          <w:spacing w:val="20"/>
          <w:sz w:val="18"/>
        </w:rPr>
        <w:t> </w:t>
      </w:r>
      <w:r>
        <w:rPr>
          <w:rFonts w:ascii="Times New Roman" w:hAnsi="Times New Roman"/>
          <w:sz w:val="18"/>
        </w:rPr>
        <w:t>2006</w:t>
      </w:r>
      <w:r>
        <w:rPr>
          <w:rFonts w:ascii="Times New Roman" w:hAnsi="Times New Roman"/>
          <w:spacing w:val="20"/>
          <w:sz w:val="18"/>
        </w:rPr>
        <w:t> </w:t>
      </w:r>
      <w:r>
        <w:rPr>
          <w:rFonts w:ascii="Times New Roman" w:hAnsi="Times New Roman"/>
          <w:sz w:val="18"/>
        </w:rPr>
        <w:t>Elsevier</w:t>
      </w:r>
      <w:r>
        <w:rPr>
          <w:rFonts w:ascii="Times New Roman" w:hAnsi="Times New Roman"/>
          <w:spacing w:val="22"/>
          <w:sz w:val="18"/>
        </w:rPr>
        <w:t> </w:t>
      </w:r>
      <w:r>
        <w:rPr>
          <w:rFonts w:ascii="Times New Roman" w:hAnsi="Times New Roman"/>
          <w:sz w:val="18"/>
        </w:rPr>
        <w:t>B.V.</w:t>
      </w:r>
      <w:r>
        <w:rPr>
          <w:rFonts w:ascii="Times New Roman" w:hAnsi="Times New Roman"/>
          <w:spacing w:val="20"/>
          <w:sz w:val="18"/>
        </w:rPr>
        <w:t> </w:t>
      </w:r>
      <w:r>
        <w:rPr>
          <w:rFonts w:ascii="Times New Roman" w:hAnsi="Times New Roman"/>
          <w:sz w:val="18"/>
        </w:rPr>
        <w:t>All</w:t>
      </w:r>
      <w:r>
        <w:rPr>
          <w:rFonts w:ascii="Times New Roman" w:hAnsi="Times New Roman"/>
          <w:spacing w:val="23"/>
          <w:sz w:val="18"/>
        </w:rPr>
        <w:t> </w:t>
      </w:r>
      <w:r>
        <w:rPr>
          <w:rFonts w:ascii="Times New Roman" w:hAnsi="Times New Roman"/>
          <w:sz w:val="18"/>
        </w:rPr>
        <w:t>rights</w:t>
      </w:r>
      <w:r>
        <w:rPr>
          <w:rFonts w:ascii="Times New Roman" w:hAnsi="Times New Roman"/>
          <w:spacing w:val="21"/>
          <w:sz w:val="18"/>
        </w:rPr>
        <w:t> </w:t>
      </w:r>
      <w:r>
        <w:rPr>
          <w:rFonts w:ascii="Times New Roman" w:hAnsi="Times New Roman"/>
          <w:spacing w:val="-2"/>
          <w:sz w:val="18"/>
        </w:rPr>
        <w:t>reserved.</w:t>
      </w:r>
    </w:p>
    <w:p>
      <w:pPr>
        <w:pStyle w:val="BodyText"/>
        <w:spacing w:before="28"/>
        <w:rPr>
          <w:rFonts w:ascii="Times New Roman"/>
          <w:sz w:val="18"/>
        </w:rPr>
      </w:pPr>
    </w:p>
    <w:p>
      <w:pPr>
        <w:spacing w:before="1"/>
        <w:ind w:left="142" w:right="0" w:firstLine="0"/>
        <w:jc w:val="left"/>
        <w:rPr>
          <w:sz w:val="16"/>
        </w:rPr>
      </w:pPr>
      <w:r>
        <w:rPr>
          <w:rFonts w:ascii="Times New Roman"/>
          <w:i/>
          <w:sz w:val="16"/>
        </w:rPr>
        <w:t>Keywords:</w:t>
      </w:r>
      <w:r>
        <w:rPr>
          <w:rFonts w:ascii="Times New Roman"/>
          <w:i/>
          <w:spacing w:val="17"/>
          <w:sz w:val="16"/>
        </w:rPr>
        <w:t> </w:t>
      </w:r>
      <w:r>
        <w:rPr>
          <w:sz w:val="16"/>
        </w:rPr>
        <w:t>SANDO;</w:t>
      </w:r>
      <w:r>
        <w:rPr>
          <w:spacing w:val="-1"/>
          <w:sz w:val="16"/>
        </w:rPr>
        <w:t> </w:t>
      </w:r>
      <w:r>
        <w:rPr>
          <w:sz w:val="16"/>
        </w:rPr>
        <w:t>Sensory</w:t>
      </w:r>
      <w:r>
        <w:rPr>
          <w:spacing w:val="-2"/>
          <w:sz w:val="16"/>
        </w:rPr>
        <w:t> </w:t>
      </w:r>
      <w:r>
        <w:rPr>
          <w:sz w:val="16"/>
        </w:rPr>
        <w:t>ataxic</w:t>
      </w:r>
      <w:r>
        <w:rPr>
          <w:spacing w:val="-1"/>
          <w:sz w:val="16"/>
        </w:rPr>
        <w:t> </w:t>
      </w:r>
      <w:r>
        <w:rPr>
          <w:sz w:val="16"/>
        </w:rPr>
        <w:t>neuropathy;</w:t>
      </w:r>
      <w:r>
        <w:rPr>
          <w:spacing w:val="-1"/>
          <w:sz w:val="16"/>
        </w:rPr>
        <w:t> </w:t>
      </w:r>
      <w:r>
        <w:rPr>
          <w:sz w:val="16"/>
        </w:rPr>
        <w:t>Dysarthria;</w:t>
      </w:r>
      <w:r>
        <w:rPr>
          <w:spacing w:val="-1"/>
          <w:sz w:val="16"/>
        </w:rPr>
        <w:t> </w:t>
      </w:r>
      <w:r>
        <w:rPr>
          <w:sz w:val="16"/>
        </w:rPr>
        <w:t>Ophthalmoparesis;</w:t>
      </w:r>
      <w:r>
        <w:rPr>
          <w:spacing w:val="-1"/>
          <w:sz w:val="16"/>
        </w:rPr>
        <w:t> </w:t>
      </w:r>
      <w:r>
        <w:rPr>
          <w:sz w:val="16"/>
        </w:rPr>
        <w:t>POLG1</w:t>
      </w:r>
      <w:r>
        <w:rPr>
          <w:spacing w:val="-1"/>
          <w:sz w:val="16"/>
        </w:rPr>
        <w:t> </w:t>
      </w:r>
      <w:r>
        <w:rPr>
          <w:spacing w:val="-4"/>
          <w:sz w:val="16"/>
        </w:rPr>
        <w:t>gene</w:t>
      </w:r>
    </w:p>
    <w:p>
      <w:pPr>
        <w:pStyle w:val="BodyText"/>
        <w:spacing w:before="3"/>
        <w:rPr>
          <w:sz w:val="15"/>
        </w:rPr>
      </w:pPr>
      <w:r>
        <w:rPr>
          <w:sz w:val="15"/>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125955</wp:posOffset>
                </wp:positionV>
                <wp:extent cx="6377305"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77305" cy="6985"/>
                        </a:xfrm>
                        <a:custGeom>
                          <a:avLst/>
                          <a:gdLst/>
                          <a:ahLst/>
                          <a:cxnLst/>
                          <a:rect l="l" t="t" r="r" b="b"/>
                          <a:pathLst>
                            <a:path w="6377305" h="6985">
                              <a:moveTo>
                                <a:pt x="6377038" y="0"/>
                              </a:moveTo>
                              <a:lnTo>
                                <a:pt x="0" y="0"/>
                              </a:lnTo>
                              <a:lnTo>
                                <a:pt x="0" y="6479"/>
                              </a:lnTo>
                              <a:lnTo>
                                <a:pt x="6377038" y="6479"/>
                              </a:lnTo>
                              <a:lnTo>
                                <a:pt x="6377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917781pt;width:502.129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spacing w:before="183"/>
      </w:pPr>
    </w:p>
    <w:p>
      <w:pPr>
        <w:pStyle w:val="BodyText"/>
        <w:spacing w:after="0"/>
        <w:sectPr>
          <w:type w:val="continuous"/>
          <w:pgSz w:w="11910" w:h="15880"/>
          <w:pgMar w:top="940" w:bottom="280" w:left="708" w:right="708"/>
        </w:sectPr>
      </w:pPr>
    </w:p>
    <w:p>
      <w:pPr>
        <w:pStyle w:val="ListParagraph"/>
        <w:numPr>
          <w:ilvl w:val="0"/>
          <w:numId w:val="1"/>
        </w:numPr>
        <w:tabs>
          <w:tab w:pos="361" w:val="left" w:leader="none"/>
        </w:tabs>
        <w:spacing w:line="240" w:lineRule="auto" w:before="69" w:after="0"/>
        <w:ind w:left="361" w:right="0" w:hanging="219"/>
        <w:jc w:val="left"/>
        <w:rPr>
          <w:rFonts w:ascii="Times New Roman"/>
          <w:sz w:val="20"/>
        </w:rPr>
      </w:pPr>
      <w:r>
        <w:rPr>
          <w:rFonts w:ascii="Times New Roman"/>
          <w:spacing w:val="-2"/>
          <w:w w:val="105"/>
          <w:sz w:val="20"/>
        </w:rPr>
        <w:t>Introduction</w:t>
      </w:r>
    </w:p>
    <w:p>
      <w:pPr>
        <w:pStyle w:val="BodyText"/>
        <w:spacing w:before="22"/>
        <w:rPr>
          <w:rFonts w:ascii="Times New Roman"/>
        </w:rPr>
      </w:pPr>
    </w:p>
    <w:p>
      <w:pPr>
        <w:pStyle w:val="BodyText"/>
        <w:spacing w:line="252" w:lineRule="auto"/>
        <w:ind w:left="142" w:right="38" w:firstLine="239"/>
        <w:jc w:val="both"/>
      </w:pPr>
      <w:r>
        <w:rPr/>
        <w:t>The</w:t>
      </w:r>
      <w:r>
        <w:rPr>
          <w:spacing w:val="-7"/>
        </w:rPr>
        <w:t> </w:t>
      </w:r>
      <w:r>
        <w:rPr/>
        <w:t>clinical</w:t>
      </w:r>
      <w:r>
        <w:rPr>
          <w:spacing w:val="-7"/>
        </w:rPr>
        <w:t> </w:t>
      </w:r>
      <w:r>
        <w:rPr/>
        <w:t>triad</w:t>
      </w:r>
      <w:r>
        <w:rPr>
          <w:spacing w:val="-7"/>
        </w:rPr>
        <w:t> </w:t>
      </w:r>
      <w:r>
        <w:rPr/>
        <w:t>of</w:t>
      </w:r>
      <w:r>
        <w:rPr>
          <w:spacing w:val="-7"/>
        </w:rPr>
        <w:t> </w:t>
      </w:r>
      <w:r>
        <w:rPr/>
        <w:t>sensory</w:t>
      </w:r>
      <w:r>
        <w:rPr>
          <w:spacing w:val="-6"/>
        </w:rPr>
        <w:t> </w:t>
      </w:r>
      <w:r>
        <w:rPr/>
        <w:t>ataxic</w:t>
      </w:r>
      <w:r>
        <w:rPr>
          <w:spacing w:val="-7"/>
        </w:rPr>
        <w:t> </w:t>
      </w:r>
      <w:r>
        <w:rPr/>
        <w:t>neuropathy,</w:t>
      </w:r>
      <w:r>
        <w:rPr>
          <w:spacing w:val="-7"/>
        </w:rPr>
        <w:t> </w:t>
      </w:r>
      <w:r>
        <w:rPr/>
        <w:t>dys- arthria and ophthalmoparesis (SANDO) was ﬁrst pro- posed in 1997 as an unique mitochondrial phenotype </w:t>
      </w:r>
      <w:r>
        <w:rPr>
          <w:spacing w:val="-4"/>
        </w:rPr>
        <w:t>associated with multiple mtDNA deletions </w:t>
      </w:r>
      <w:hyperlink w:history="true" w:anchor="_bookmark1">
        <w:r>
          <w:rPr>
            <w:color w:val="000066"/>
            <w:spacing w:val="-4"/>
          </w:rPr>
          <w:t>[1]</w:t>
        </w:r>
      </w:hyperlink>
      <w:r>
        <w:rPr>
          <w:spacing w:val="-4"/>
        </w:rPr>
        <w:t>. This clin- ical picture was initially described in four sporadic unre- </w:t>
      </w:r>
      <w:r>
        <w:rPr/>
        <w:t>lated</w:t>
      </w:r>
      <w:r>
        <w:rPr>
          <w:spacing w:val="-7"/>
        </w:rPr>
        <w:t> </w:t>
      </w:r>
      <w:r>
        <w:rPr/>
        <w:t>patients</w:t>
      </w:r>
      <w:r>
        <w:rPr>
          <w:spacing w:val="-6"/>
        </w:rPr>
        <w:t> </w:t>
      </w:r>
      <w:r>
        <w:rPr/>
        <w:t>with</w:t>
      </w:r>
      <w:r>
        <w:rPr>
          <w:spacing w:val="-7"/>
        </w:rPr>
        <w:t> </w:t>
      </w:r>
      <w:r>
        <w:rPr/>
        <w:t>adult</w:t>
      </w:r>
      <w:r>
        <w:rPr>
          <w:spacing w:val="-7"/>
        </w:rPr>
        <w:t> </w:t>
      </w:r>
      <w:r>
        <w:rPr/>
        <w:t>onset</w:t>
      </w:r>
      <w:r>
        <w:rPr>
          <w:spacing w:val="-6"/>
        </w:rPr>
        <w:t> </w:t>
      </w:r>
      <w:r>
        <w:rPr/>
        <w:t>of</w:t>
      </w:r>
      <w:r>
        <w:rPr>
          <w:spacing w:val="-7"/>
        </w:rPr>
        <w:t> </w:t>
      </w:r>
      <w:r>
        <w:rPr/>
        <w:t>severe</w:t>
      </w:r>
      <w:r>
        <w:rPr>
          <w:spacing w:val="-6"/>
        </w:rPr>
        <w:t> </w:t>
      </w:r>
      <w:r>
        <w:rPr/>
        <w:t>sensory</w:t>
      </w:r>
      <w:r>
        <w:rPr>
          <w:spacing w:val="-6"/>
        </w:rPr>
        <w:t> </w:t>
      </w:r>
      <w:r>
        <w:rPr/>
        <w:t>ataxic neuropathy</w:t>
      </w:r>
      <w:r>
        <w:rPr>
          <w:spacing w:val="-5"/>
        </w:rPr>
        <w:t> </w:t>
      </w:r>
      <w:r>
        <w:rPr/>
        <w:t>in</w:t>
      </w:r>
      <w:r>
        <w:rPr>
          <w:spacing w:val="-5"/>
        </w:rPr>
        <w:t> </w:t>
      </w:r>
      <w:r>
        <w:rPr/>
        <w:t>association</w:t>
      </w:r>
      <w:r>
        <w:rPr>
          <w:spacing w:val="-5"/>
        </w:rPr>
        <w:t> </w:t>
      </w:r>
      <w:r>
        <w:rPr/>
        <w:t>with</w:t>
      </w:r>
      <w:r>
        <w:rPr>
          <w:spacing w:val="-4"/>
        </w:rPr>
        <w:t> </w:t>
      </w:r>
      <w:r>
        <w:rPr/>
        <w:t>dysarthria</w:t>
      </w:r>
      <w:r>
        <w:rPr>
          <w:spacing w:val="-5"/>
        </w:rPr>
        <w:t> </w:t>
      </w:r>
      <w:r>
        <w:rPr/>
        <w:t>and</w:t>
      </w:r>
      <w:r>
        <w:rPr>
          <w:spacing w:val="-5"/>
        </w:rPr>
        <w:t> </w:t>
      </w:r>
      <w:r>
        <w:rPr/>
        <w:t>chronic progressive external ophthalmoplegia. The patients had</w:t>
      </w:r>
      <w:r>
        <w:rPr>
          <w:spacing w:val="-8"/>
        </w:rPr>
        <w:t> </w:t>
      </w:r>
      <w:r>
        <w:rPr/>
        <w:t>ataxic</w:t>
      </w:r>
      <w:r>
        <w:rPr>
          <w:spacing w:val="-7"/>
        </w:rPr>
        <w:t> </w:t>
      </w:r>
      <w:r>
        <w:rPr/>
        <w:t>gait,</w:t>
      </w:r>
      <w:r>
        <w:rPr>
          <w:spacing w:val="-8"/>
        </w:rPr>
        <w:t> </w:t>
      </w:r>
      <w:r>
        <w:rPr/>
        <w:t>loss</w:t>
      </w:r>
      <w:r>
        <w:rPr>
          <w:spacing w:val="-8"/>
        </w:rPr>
        <w:t> </w:t>
      </w:r>
      <w:r>
        <w:rPr/>
        <w:t>of</w:t>
      </w:r>
      <w:r>
        <w:rPr>
          <w:spacing w:val="-7"/>
        </w:rPr>
        <w:t> </w:t>
      </w:r>
      <w:r>
        <w:rPr/>
        <w:t>distal</w:t>
      </w:r>
      <w:r>
        <w:rPr>
          <w:spacing w:val="-8"/>
        </w:rPr>
        <w:t> </w:t>
      </w:r>
      <w:r>
        <w:rPr/>
        <w:t>proprioception</w:t>
      </w:r>
      <w:r>
        <w:rPr>
          <w:spacing w:val="-8"/>
        </w:rPr>
        <w:t> </w:t>
      </w:r>
      <w:r>
        <w:rPr/>
        <w:t>and</w:t>
      </w:r>
      <w:r>
        <w:rPr>
          <w:spacing w:val="-8"/>
        </w:rPr>
        <w:t> </w:t>
      </w:r>
      <w:r>
        <w:rPr/>
        <w:t>vibra- </w:t>
      </w:r>
      <w:r>
        <w:rPr>
          <w:spacing w:val="-4"/>
        </w:rPr>
        <w:t>tion, areﬂexia</w:t>
      </w:r>
      <w:r>
        <w:rPr>
          <w:spacing w:val="-5"/>
        </w:rPr>
        <w:t> </w:t>
      </w:r>
      <w:r>
        <w:rPr>
          <w:spacing w:val="-4"/>
        </w:rPr>
        <w:t>on the</w:t>
      </w:r>
      <w:r>
        <w:rPr>
          <w:spacing w:val="-5"/>
        </w:rPr>
        <w:t> </w:t>
      </w:r>
      <w:r>
        <w:rPr>
          <w:spacing w:val="-4"/>
        </w:rPr>
        <w:t>lower limbs, positive Romberg sign </w:t>
      </w:r>
      <w:r>
        <w:rPr/>
        <w:t>and electrophysiologic and pathologic evidence of a peripheral axonal neuropathy. Skeletal muscle biopsy showed</w:t>
      </w:r>
      <w:r>
        <w:rPr>
          <w:spacing w:val="-13"/>
        </w:rPr>
        <w:t> </w:t>
      </w:r>
      <w:r>
        <w:rPr/>
        <w:t>myopathic</w:t>
      </w:r>
      <w:r>
        <w:rPr>
          <w:spacing w:val="-12"/>
        </w:rPr>
        <w:t> </w:t>
      </w:r>
      <w:r>
        <w:rPr/>
        <w:t>changes</w:t>
      </w:r>
      <w:r>
        <w:rPr>
          <w:spacing w:val="-12"/>
        </w:rPr>
        <w:t> </w:t>
      </w:r>
      <w:r>
        <w:rPr/>
        <w:t>with</w:t>
      </w:r>
      <w:r>
        <w:rPr>
          <w:spacing w:val="-12"/>
        </w:rPr>
        <w:t> </w:t>
      </w:r>
      <w:r>
        <w:rPr/>
        <w:t>centralized</w:t>
      </w:r>
      <w:r>
        <w:rPr>
          <w:spacing w:val="-12"/>
        </w:rPr>
        <w:t> </w:t>
      </w:r>
      <w:r>
        <w:rPr/>
        <w:t>nuclei</w:t>
      </w:r>
      <w:r>
        <w:rPr>
          <w:spacing w:val="-12"/>
        </w:rPr>
        <w:t> </w:t>
      </w:r>
      <w:r>
        <w:rPr/>
        <w:t>and ragged-red ﬁbers. Molecular analysis in muscle and </w:t>
      </w:r>
      <w:r>
        <w:rPr>
          <w:spacing w:val="-2"/>
        </w:rPr>
        <w:t>peripheral nerve</w:t>
      </w:r>
      <w:r>
        <w:rPr>
          <w:spacing w:val="-2"/>
        </w:rPr>
        <w:t> detected</w:t>
      </w:r>
      <w:r>
        <w:rPr>
          <w:spacing w:val="-2"/>
        </w:rPr>
        <w:t> multiple</w:t>
      </w:r>
      <w:r>
        <w:rPr>
          <w:spacing w:val="-2"/>
        </w:rPr>
        <w:t> mitochondrial</w:t>
      </w:r>
      <w:r>
        <w:rPr>
          <w:spacing w:val="-2"/>
        </w:rPr>
        <w:t> DNA </w:t>
      </w:r>
      <w:r>
        <w:rPr/>
        <w:t>(mtDNA)</w:t>
      </w:r>
      <w:r>
        <w:rPr>
          <w:spacing w:val="-7"/>
        </w:rPr>
        <w:t> </w:t>
      </w:r>
      <w:r>
        <w:rPr/>
        <w:t>deletions</w:t>
      </w:r>
      <w:r>
        <w:rPr>
          <w:spacing w:val="-7"/>
        </w:rPr>
        <w:t> </w:t>
      </w:r>
      <w:r>
        <w:rPr/>
        <w:t>but</w:t>
      </w:r>
      <w:r>
        <w:rPr>
          <w:spacing w:val="-6"/>
        </w:rPr>
        <w:t> </w:t>
      </w:r>
      <w:r>
        <w:rPr/>
        <w:t>the</w:t>
      </w:r>
      <w:r>
        <w:rPr>
          <w:spacing w:val="-6"/>
        </w:rPr>
        <w:t> </w:t>
      </w:r>
      <w:r>
        <w:rPr/>
        <w:t>genes</w:t>
      </w:r>
      <w:r>
        <w:rPr>
          <w:spacing w:val="-6"/>
        </w:rPr>
        <w:t> </w:t>
      </w:r>
      <w:r>
        <w:rPr/>
        <w:t>responsible</w:t>
      </w:r>
      <w:r>
        <w:rPr>
          <w:spacing w:val="-7"/>
        </w:rPr>
        <w:t> </w:t>
      </w:r>
      <w:r>
        <w:rPr/>
        <w:t>were</w:t>
      </w:r>
      <w:r>
        <w:rPr>
          <w:spacing w:val="-7"/>
        </w:rPr>
        <w:t> </w:t>
      </w:r>
      <w:r>
        <w:rPr/>
        <w:t>not further investigated. More recently, mutations in the POLG1</w:t>
      </w:r>
      <w:r>
        <w:rPr>
          <w:spacing w:val="21"/>
        </w:rPr>
        <w:t> </w:t>
      </w:r>
      <w:r>
        <w:rPr/>
        <w:t>(DNA</w:t>
      </w:r>
      <w:r>
        <w:rPr>
          <w:spacing w:val="21"/>
        </w:rPr>
        <w:t> </w:t>
      </w:r>
      <w:r>
        <w:rPr/>
        <w:t>polymerase-</w:t>
      </w:r>
      <w:r>
        <w:rPr>
          <w:rFonts w:ascii="Times New Roman" w:hAnsi="Times New Roman"/>
        </w:rPr>
        <w:t>c</w:t>
      </w:r>
      <w:r>
        <w:rPr/>
        <w:t>A)</w:t>
      </w:r>
      <w:r>
        <w:rPr>
          <w:spacing w:val="20"/>
        </w:rPr>
        <w:t> </w:t>
      </w:r>
      <w:hyperlink w:history="true" w:anchor="_bookmark1">
        <w:r>
          <w:rPr>
            <w:color w:val="000066"/>
          </w:rPr>
          <w:t>[2–4]</w:t>
        </w:r>
      </w:hyperlink>
      <w:r>
        <w:rPr>
          <w:color w:val="000066"/>
          <w:spacing w:val="21"/>
        </w:rPr>
        <w:t> </w:t>
      </w:r>
      <w:r>
        <w:rPr/>
        <w:t>and</w:t>
      </w:r>
      <w:r>
        <w:rPr>
          <w:spacing w:val="20"/>
        </w:rPr>
        <w:t> </w:t>
      </w:r>
      <w:r>
        <w:rPr/>
        <w:t>the</w:t>
      </w:r>
      <w:r>
        <w:rPr>
          <w:spacing w:val="20"/>
        </w:rPr>
        <w:t> </w:t>
      </w:r>
      <w:r>
        <w:rPr>
          <w:spacing w:val="-2"/>
        </w:rPr>
        <w:t>C10orf2</w:t>
      </w:r>
    </w:p>
    <w:p>
      <w:pPr>
        <w:pStyle w:val="BodyText"/>
        <w:spacing w:before="26"/>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176313</wp:posOffset>
                </wp:positionV>
                <wp:extent cx="45593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1270"/>
                        </a:xfrm>
                        <a:custGeom>
                          <a:avLst/>
                          <a:gdLst/>
                          <a:ahLst/>
                          <a:cxnLst/>
                          <a:rect l="l" t="t" r="r" b="b"/>
                          <a:pathLst>
                            <a:path w="455930" h="0">
                              <a:moveTo>
                                <a:pt x="0" y="0"/>
                              </a:moveTo>
                              <a:lnTo>
                                <a:pt x="455752" y="0"/>
                              </a:lnTo>
                            </a:path>
                          </a:pathLst>
                        </a:custGeom>
                        <a:ln w="64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882934pt;width:35.9pt;height:.1pt;mso-position-horizontal-relative:page;mso-position-vertical-relative:paragraph;z-index:-15727616;mso-wrap-distance-left:0;mso-wrap-distance-right:0" id="docshape3" coordorigin="850,278" coordsize="718,0" path="m850,278l1568,278e" filled="false" stroked="true" strokeweight=".51pt" strokecolor="#000000">
                <v:path arrowok="t"/>
                <v:stroke dashstyle="solid"/>
                <w10:wrap type="topAndBottom"/>
              </v:shape>
            </w:pict>
          </mc:Fallback>
        </mc:AlternateContent>
      </w:r>
    </w:p>
    <w:p>
      <w:pPr>
        <w:spacing w:before="43"/>
        <w:ind w:left="250" w:right="0" w:firstLine="0"/>
        <w:jc w:val="left"/>
        <w:rPr>
          <w:sz w:val="16"/>
        </w:rPr>
      </w:pPr>
      <w:r>
        <w:rPr>
          <w:sz w:val="16"/>
          <w:vertAlign w:val="superscript"/>
        </w:rPr>
        <w:t>*</w:t>
      </w:r>
      <w:r>
        <w:rPr>
          <w:spacing w:val="15"/>
          <w:sz w:val="16"/>
          <w:vertAlign w:val="baseline"/>
        </w:rPr>
        <w:t> </w:t>
      </w:r>
      <w:r>
        <w:rPr>
          <w:sz w:val="16"/>
          <w:vertAlign w:val="baseline"/>
        </w:rPr>
        <w:t>Corresponding</w:t>
      </w:r>
      <w:r>
        <w:rPr>
          <w:spacing w:val="3"/>
          <w:sz w:val="16"/>
          <w:vertAlign w:val="baseline"/>
        </w:rPr>
        <w:t> </w:t>
      </w:r>
      <w:r>
        <w:rPr>
          <w:spacing w:val="-2"/>
          <w:sz w:val="16"/>
          <w:vertAlign w:val="baseline"/>
        </w:rPr>
        <w:t>author.</w:t>
      </w:r>
    </w:p>
    <w:p>
      <w:pPr>
        <w:spacing w:before="10"/>
        <w:ind w:left="378" w:right="0" w:firstLine="0"/>
        <w:jc w:val="left"/>
        <w:rPr>
          <w:sz w:val="16"/>
        </w:rPr>
      </w:pPr>
      <w:r>
        <w:rPr>
          <w:rFonts w:ascii="Times New Roman"/>
          <w:i/>
          <w:sz w:val="16"/>
        </w:rPr>
        <w:t>E-mail</w:t>
      </w:r>
      <w:r>
        <w:rPr>
          <w:rFonts w:ascii="Times New Roman"/>
          <w:i/>
          <w:spacing w:val="2"/>
          <w:sz w:val="16"/>
        </w:rPr>
        <w:t> </w:t>
      </w:r>
      <w:r>
        <w:rPr>
          <w:rFonts w:ascii="Times New Roman"/>
          <w:i/>
          <w:sz w:val="16"/>
        </w:rPr>
        <w:t>address:</w:t>
      </w:r>
      <w:r>
        <w:rPr>
          <w:rFonts w:ascii="Times New Roman"/>
          <w:i/>
          <w:spacing w:val="2"/>
          <w:sz w:val="16"/>
        </w:rPr>
        <w:t> </w:t>
      </w:r>
      <w:hyperlink r:id="rId8">
        <w:r>
          <w:rPr>
            <w:color w:val="000066"/>
            <w:sz w:val="16"/>
          </w:rPr>
          <w:t>miguelfgago@yahoo.com</w:t>
        </w:r>
      </w:hyperlink>
      <w:r>
        <w:rPr>
          <w:color w:val="000066"/>
          <w:spacing w:val="2"/>
          <w:sz w:val="16"/>
        </w:rPr>
        <w:t> </w:t>
      </w:r>
      <w:r>
        <w:rPr>
          <w:sz w:val="16"/>
        </w:rPr>
        <w:t>(M.F.</w:t>
      </w:r>
      <w:r>
        <w:rPr>
          <w:spacing w:val="4"/>
          <w:sz w:val="16"/>
        </w:rPr>
        <w:t> </w:t>
      </w:r>
      <w:r>
        <w:rPr>
          <w:spacing w:val="-2"/>
          <w:sz w:val="16"/>
        </w:rPr>
        <w:t>Gago).</w:t>
      </w:r>
    </w:p>
    <w:p>
      <w:pPr>
        <w:pStyle w:val="BodyText"/>
        <w:spacing w:line="252" w:lineRule="auto" w:before="72"/>
        <w:ind w:left="142"/>
      </w:pPr>
      <w:r>
        <w:rPr/>
        <w:br w:type="column"/>
      </w:r>
      <w:r>
        <w:rPr>
          <w:spacing w:val="-2"/>
        </w:rPr>
        <w:t>gene</w:t>
      </w:r>
      <w:r>
        <w:rPr>
          <w:spacing w:val="11"/>
        </w:rPr>
        <w:t> </w:t>
      </w:r>
      <w:r>
        <w:rPr>
          <w:spacing w:val="-2"/>
        </w:rPr>
        <w:t>(Twinkle</w:t>
      </w:r>
      <w:r>
        <w:rPr>
          <w:spacing w:val="13"/>
        </w:rPr>
        <w:t> </w:t>
      </w:r>
      <w:r>
        <w:rPr>
          <w:spacing w:val="-2"/>
        </w:rPr>
        <w:t>helicase)</w:t>
      </w:r>
      <w:r>
        <w:rPr>
          <w:spacing w:val="13"/>
        </w:rPr>
        <w:t> </w:t>
      </w:r>
      <w:hyperlink w:history="true" w:anchor="_bookmark1">
        <w:r>
          <w:rPr>
            <w:color w:val="000066"/>
            <w:spacing w:val="-2"/>
          </w:rPr>
          <w:t>[5]</w:t>
        </w:r>
      </w:hyperlink>
      <w:r>
        <w:rPr>
          <w:color w:val="000066"/>
          <w:spacing w:val="11"/>
        </w:rPr>
        <w:t> </w:t>
      </w:r>
      <w:r>
        <w:rPr>
          <w:spacing w:val="-2"/>
        </w:rPr>
        <w:t>genes</w:t>
      </w:r>
      <w:r>
        <w:rPr>
          <w:spacing w:val="13"/>
        </w:rPr>
        <w:t> </w:t>
      </w:r>
      <w:r>
        <w:rPr>
          <w:spacing w:val="-2"/>
        </w:rPr>
        <w:t>have</w:t>
      </w:r>
      <w:r>
        <w:rPr>
          <w:spacing w:val="11"/>
        </w:rPr>
        <w:t> </w:t>
      </w:r>
      <w:r>
        <w:rPr>
          <w:spacing w:val="-2"/>
        </w:rPr>
        <w:t>been</w:t>
      </w:r>
      <w:r>
        <w:rPr>
          <w:spacing w:val="12"/>
        </w:rPr>
        <w:t> </w:t>
      </w:r>
      <w:r>
        <w:rPr>
          <w:spacing w:val="-2"/>
        </w:rPr>
        <w:t>described </w:t>
      </w:r>
      <w:r>
        <w:rPr/>
        <w:t>(</w:t>
      </w:r>
      <w:hyperlink w:history="true" w:anchor="_bookmark0">
        <w:r>
          <w:rPr>
            <w:color w:val="000066"/>
          </w:rPr>
          <w:t>Table 1</w:t>
        </w:r>
      </w:hyperlink>
      <w:r>
        <w:rPr/>
        <w:t>).</w:t>
      </w:r>
    </w:p>
    <w:p>
      <w:pPr>
        <w:pStyle w:val="BodyText"/>
        <w:spacing w:before="10"/>
      </w:pPr>
    </w:p>
    <w:p>
      <w:pPr>
        <w:pStyle w:val="ListParagraph"/>
        <w:numPr>
          <w:ilvl w:val="0"/>
          <w:numId w:val="1"/>
        </w:numPr>
        <w:tabs>
          <w:tab w:pos="362" w:val="left" w:leader="none"/>
        </w:tabs>
        <w:spacing w:line="240" w:lineRule="auto" w:before="0" w:after="0"/>
        <w:ind w:left="362" w:right="0" w:hanging="220"/>
        <w:jc w:val="left"/>
        <w:rPr>
          <w:rFonts w:ascii="Times New Roman"/>
          <w:sz w:val="20"/>
        </w:rPr>
      </w:pPr>
      <w:r>
        <w:rPr>
          <w:rFonts w:ascii="Times New Roman"/>
          <w:sz w:val="20"/>
        </w:rPr>
        <w:t>Clinical</w:t>
      </w:r>
      <w:r>
        <w:rPr>
          <w:rFonts w:ascii="Times New Roman"/>
          <w:spacing w:val="24"/>
          <w:sz w:val="20"/>
        </w:rPr>
        <w:t> </w:t>
      </w:r>
      <w:r>
        <w:rPr>
          <w:rFonts w:ascii="Times New Roman"/>
          <w:spacing w:val="-4"/>
          <w:sz w:val="20"/>
        </w:rPr>
        <w:t>case</w:t>
      </w:r>
    </w:p>
    <w:p>
      <w:pPr>
        <w:pStyle w:val="BodyText"/>
        <w:spacing w:before="22"/>
        <w:rPr>
          <w:rFonts w:ascii="Times New Roman"/>
        </w:rPr>
      </w:pPr>
    </w:p>
    <w:p>
      <w:pPr>
        <w:pStyle w:val="BodyText"/>
        <w:spacing w:line="252" w:lineRule="auto"/>
        <w:ind w:left="142" w:right="302" w:firstLine="239"/>
        <w:jc w:val="both"/>
      </w:pPr>
      <w:r>
        <w:rPr/>
        <w:t>A 44-year-old man presented at age 39 progressive </w:t>
      </w:r>
      <w:r>
        <w:rPr>
          <w:spacing w:val="-2"/>
        </w:rPr>
        <w:t>bilateral</w:t>
      </w:r>
      <w:r>
        <w:rPr>
          <w:spacing w:val="-5"/>
        </w:rPr>
        <w:t> </w:t>
      </w:r>
      <w:r>
        <w:rPr>
          <w:spacing w:val="-2"/>
        </w:rPr>
        <w:t>ptosis,</w:t>
      </w:r>
      <w:r>
        <w:rPr>
          <w:spacing w:val="-4"/>
        </w:rPr>
        <w:t> </w:t>
      </w:r>
      <w:r>
        <w:rPr>
          <w:spacing w:val="-2"/>
        </w:rPr>
        <w:t>unsteadiness</w:t>
      </w:r>
      <w:r>
        <w:rPr>
          <w:spacing w:val="-4"/>
        </w:rPr>
        <w:t> </w:t>
      </w:r>
      <w:r>
        <w:rPr>
          <w:spacing w:val="-2"/>
        </w:rPr>
        <w:t>gait</w:t>
      </w:r>
      <w:r>
        <w:rPr>
          <w:spacing w:val="-5"/>
        </w:rPr>
        <w:t> </w:t>
      </w:r>
      <w:r>
        <w:rPr>
          <w:spacing w:val="-2"/>
        </w:rPr>
        <w:t>and</w:t>
      </w:r>
      <w:r>
        <w:rPr>
          <w:spacing w:val="-5"/>
        </w:rPr>
        <w:t> </w:t>
      </w:r>
      <w:r>
        <w:rPr>
          <w:spacing w:val="-2"/>
        </w:rPr>
        <w:t>muscle</w:t>
      </w:r>
      <w:r>
        <w:rPr>
          <w:spacing w:val="-5"/>
        </w:rPr>
        <w:t> </w:t>
      </w:r>
      <w:r>
        <w:rPr>
          <w:spacing w:val="-2"/>
        </w:rPr>
        <w:t>weakness </w:t>
      </w:r>
      <w:r>
        <w:rPr>
          <w:spacing w:val="-4"/>
        </w:rPr>
        <w:t>with</w:t>
      </w:r>
      <w:r>
        <w:rPr>
          <w:spacing w:val="-6"/>
        </w:rPr>
        <w:t> </w:t>
      </w:r>
      <w:r>
        <w:rPr>
          <w:spacing w:val="-4"/>
        </w:rPr>
        <w:t>diﬃculty</w:t>
      </w:r>
      <w:r>
        <w:rPr>
          <w:spacing w:val="-6"/>
        </w:rPr>
        <w:t> </w:t>
      </w:r>
      <w:r>
        <w:rPr>
          <w:spacing w:val="-4"/>
        </w:rPr>
        <w:t>in</w:t>
      </w:r>
      <w:r>
        <w:rPr>
          <w:spacing w:val="-5"/>
        </w:rPr>
        <w:t> </w:t>
      </w:r>
      <w:r>
        <w:rPr>
          <w:spacing w:val="-4"/>
        </w:rPr>
        <w:t>dressing</w:t>
      </w:r>
      <w:r>
        <w:rPr>
          <w:spacing w:val="-5"/>
        </w:rPr>
        <w:t> </w:t>
      </w:r>
      <w:r>
        <w:rPr>
          <w:spacing w:val="-4"/>
        </w:rPr>
        <w:t>and</w:t>
      </w:r>
      <w:r>
        <w:rPr>
          <w:spacing w:val="-6"/>
        </w:rPr>
        <w:t> </w:t>
      </w:r>
      <w:r>
        <w:rPr>
          <w:spacing w:val="-4"/>
        </w:rPr>
        <w:t>lifting</w:t>
      </w:r>
      <w:r>
        <w:rPr>
          <w:spacing w:val="-6"/>
        </w:rPr>
        <w:t> </w:t>
      </w:r>
      <w:r>
        <w:rPr>
          <w:spacing w:val="-4"/>
        </w:rPr>
        <w:t>objects.</w:t>
      </w:r>
      <w:r>
        <w:rPr>
          <w:spacing w:val="-6"/>
        </w:rPr>
        <w:t> </w:t>
      </w:r>
      <w:r>
        <w:rPr>
          <w:spacing w:val="-4"/>
        </w:rPr>
        <w:t>Three</w:t>
      </w:r>
      <w:r>
        <w:rPr>
          <w:spacing w:val="-5"/>
        </w:rPr>
        <w:t> </w:t>
      </w:r>
      <w:r>
        <w:rPr>
          <w:spacing w:val="-4"/>
        </w:rPr>
        <w:t>years </w:t>
      </w:r>
      <w:r>
        <w:rPr/>
        <w:t>later he noticed dysphagia and diplopia and </w:t>
      </w:r>
      <w:r>
        <w:rPr/>
        <w:t>sought medical advice. Neurological examination revealed droopy</w:t>
      </w:r>
      <w:r>
        <w:rPr>
          <w:spacing w:val="-1"/>
        </w:rPr>
        <w:t> </w:t>
      </w:r>
      <w:r>
        <w:rPr/>
        <w:t>eyes which</w:t>
      </w:r>
      <w:r>
        <w:rPr>
          <w:spacing w:val="-1"/>
        </w:rPr>
        <w:t> </w:t>
      </w:r>
      <w:r>
        <w:rPr/>
        <w:t>worsened</w:t>
      </w:r>
      <w:r>
        <w:rPr>
          <w:spacing w:val="-1"/>
        </w:rPr>
        <w:t> </w:t>
      </w:r>
      <w:r>
        <w:rPr/>
        <w:t>after</w:t>
      </w:r>
      <w:r>
        <w:rPr>
          <w:spacing w:val="-1"/>
        </w:rPr>
        <w:t> </w:t>
      </w:r>
      <w:r>
        <w:rPr/>
        <w:t>repeated</w:t>
      </w:r>
      <w:r>
        <w:rPr>
          <w:spacing w:val="-1"/>
        </w:rPr>
        <w:t> </w:t>
      </w:r>
      <w:r>
        <w:rPr/>
        <w:t>eye</w:t>
      </w:r>
      <w:r>
        <w:rPr>
          <w:spacing w:val="-1"/>
        </w:rPr>
        <w:t> </w:t>
      </w:r>
      <w:r>
        <w:rPr/>
        <w:t>move- ments</w:t>
      </w:r>
      <w:r>
        <w:rPr>
          <w:spacing w:val="-13"/>
        </w:rPr>
        <w:t> </w:t>
      </w:r>
      <w:r>
        <w:rPr/>
        <w:t>and</w:t>
      </w:r>
      <w:r>
        <w:rPr>
          <w:spacing w:val="-12"/>
        </w:rPr>
        <w:t> </w:t>
      </w:r>
      <w:r>
        <w:rPr/>
        <w:t>external</w:t>
      </w:r>
      <w:r>
        <w:rPr>
          <w:spacing w:val="-12"/>
        </w:rPr>
        <w:t> </w:t>
      </w:r>
      <w:r>
        <w:rPr/>
        <w:t>ophthalmoparesis</w:t>
      </w:r>
      <w:r>
        <w:rPr>
          <w:spacing w:val="-12"/>
        </w:rPr>
        <w:t> </w:t>
      </w:r>
      <w:r>
        <w:rPr/>
        <w:t>with</w:t>
      </w:r>
      <w:r>
        <w:rPr>
          <w:spacing w:val="-12"/>
        </w:rPr>
        <w:t> </w:t>
      </w:r>
      <w:r>
        <w:rPr/>
        <w:t>diplopia</w:t>
      </w:r>
      <w:r>
        <w:rPr>
          <w:spacing w:val="-12"/>
        </w:rPr>
        <w:t> </w:t>
      </w:r>
      <w:r>
        <w:rPr/>
        <w:t>on horizontal gaze. The patient also presented ﬂuctuant dysarthria and dysphagia which worsened at the end </w:t>
      </w:r>
      <w:r>
        <w:rPr>
          <w:spacing w:val="-2"/>
        </w:rPr>
        <w:t>of</w:t>
      </w:r>
      <w:r>
        <w:rPr>
          <w:spacing w:val="-11"/>
        </w:rPr>
        <w:t> </w:t>
      </w:r>
      <w:r>
        <w:rPr>
          <w:spacing w:val="-2"/>
        </w:rPr>
        <w:t>the</w:t>
      </w:r>
      <w:r>
        <w:rPr>
          <w:spacing w:val="-10"/>
        </w:rPr>
        <w:t> </w:t>
      </w:r>
      <w:r>
        <w:rPr>
          <w:spacing w:val="-2"/>
        </w:rPr>
        <w:t>day.</w:t>
      </w:r>
      <w:r>
        <w:rPr>
          <w:spacing w:val="-10"/>
        </w:rPr>
        <w:t> </w:t>
      </w:r>
      <w:r>
        <w:rPr>
          <w:spacing w:val="-2"/>
        </w:rPr>
        <w:t>There</w:t>
      </w:r>
      <w:r>
        <w:rPr>
          <w:spacing w:val="-10"/>
        </w:rPr>
        <w:t> </w:t>
      </w:r>
      <w:r>
        <w:rPr>
          <w:spacing w:val="-2"/>
        </w:rPr>
        <w:t>was</w:t>
      </w:r>
      <w:r>
        <w:rPr>
          <w:spacing w:val="-10"/>
        </w:rPr>
        <w:t> </w:t>
      </w:r>
      <w:r>
        <w:rPr>
          <w:spacing w:val="-2"/>
        </w:rPr>
        <w:t>distal</w:t>
      </w:r>
      <w:r>
        <w:rPr>
          <w:spacing w:val="-10"/>
        </w:rPr>
        <w:t> </w:t>
      </w:r>
      <w:r>
        <w:rPr>
          <w:spacing w:val="-2"/>
        </w:rPr>
        <w:t>limb</w:t>
      </w:r>
      <w:r>
        <w:rPr>
          <w:spacing w:val="-10"/>
        </w:rPr>
        <w:t> </w:t>
      </w:r>
      <w:r>
        <w:rPr>
          <w:spacing w:val="-2"/>
        </w:rPr>
        <w:t>muscles</w:t>
      </w:r>
      <w:r>
        <w:rPr>
          <w:spacing w:val="-10"/>
        </w:rPr>
        <w:t> </w:t>
      </w:r>
      <w:r>
        <w:rPr>
          <w:spacing w:val="-2"/>
        </w:rPr>
        <w:t>weakness</w:t>
      </w:r>
      <w:r>
        <w:rPr>
          <w:spacing w:val="-10"/>
        </w:rPr>
        <w:t> </w:t>
      </w:r>
      <w:r>
        <w:rPr>
          <w:spacing w:val="-2"/>
        </w:rPr>
        <w:t>with </w:t>
      </w:r>
      <w:r>
        <w:rPr/>
        <w:t>reduced deep tendon reﬂexes. Perception of vibration and position was absent below the iliac crests. Touch, pain and temperature senses were preserved. Signs of </w:t>
      </w:r>
      <w:r>
        <w:rPr>
          <w:spacing w:val="-2"/>
        </w:rPr>
        <w:t>cerebellar</w:t>
      </w:r>
      <w:r>
        <w:rPr>
          <w:spacing w:val="-4"/>
        </w:rPr>
        <w:t> </w:t>
      </w:r>
      <w:r>
        <w:rPr>
          <w:spacing w:val="-2"/>
        </w:rPr>
        <w:t>dysfunction</w:t>
      </w:r>
      <w:r>
        <w:rPr>
          <w:spacing w:val="-4"/>
        </w:rPr>
        <w:t> </w:t>
      </w:r>
      <w:r>
        <w:rPr>
          <w:spacing w:val="-2"/>
        </w:rPr>
        <w:t>were</w:t>
      </w:r>
      <w:r>
        <w:rPr>
          <w:spacing w:val="-4"/>
        </w:rPr>
        <w:t> </w:t>
      </w:r>
      <w:r>
        <w:rPr>
          <w:spacing w:val="-2"/>
        </w:rPr>
        <w:t>also</w:t>
      </w:r>
      <w:r>
        <w:rPr>
          <w:spacing w:val="-4"/>
        </w:rPr>
        <w:t> </w:t>
      </w:r>
      <w:r>
        <w:rPr>
          <w:spacing w:val="-2"/>
        </w:rPr>
        <w:t>evident.</w:t>
      </w:r>
      <w:r>
        <w:rPr>
          <w:spacing w:val="-4"/>
        </w:rPr>
        <w:t> </w:t>
      </w:r>
      <w:r>
        <w:rPr>
          <w:spacing w:val="-2"/>
        </w:rPr>
        <w:t>Romberg</w:t>
      </w:r>
      <w:r>
        <w:rPr>
          <w:spacing w:val="-4"/>
        </w:rPr>
        <w:t> </w:t>
      </w:r>
      <w:r>
        <w:rPr>
          <w:spacing w:val="-2"/>
        </w:rPr>
        <w:t>sign </w:t>
      </w:r>
      <w:r>
        <w:rPr/>
        <w:t>was positive.</w:t>
      </w:r>
    </w:p>
    <w:p>
      <w:pPr>
        <w:pStyle w:val="BodyText"/>
        <w:spacing w:line="252" w:lineRule="auto" w:before="7"/>
        <w:ind w:left="142" w:right="302" w:firstLine="239"/>
        <w:jc w:val="both"/>
      </w:pPr>
      <w:r>
        <w:rPr/>
        <w:t>There was no history of neurological disease in </w:t>
      </w:r>
      <w:r>
        <w:rPr/>
        <w:t>the patient’s family, although four sibs had died at birth</w:t>
      </w:r>
      <w:r>
        <w:rPr>
          <w:spacing w:val="40"/>
        </w:rPr>
        <w:t> </w:t>
      </w:r>
      <w:r>
        <w:rPr/>
        <w:t>of unknown cause.</w:t>
      </w:r>
    </w:p>
    <w:p>
      <w:pPr>
        <w:pStyle w:val="BodyText"/>
        <w:spacing w:after="0" w:line="252" w:lineRule="auto"/>
        <w:jc w:val="both"/>
        <w:sectPr>
          <w:type w:val="continuous"/>
          <w:pgSz w:w="11910" w:h="15880"/>
          <w:pgMar w:top="940" w:bottom="280" w:left="708" w:right="708"/>
          <w:cols w:num="2" w:equalWidth="0">
            <w:col w:w="4965" w:space="295"/>
            <w:col w:w="5234"/>
          </w:cols>
        </w:sectPr>
      </w:pPr>
    </w:p>
    <w:p>
      <w:pPr>
        <w:pStyle w:val="BodyText"/>
        <w:spacing w:before="53"/>
        <w:rPr>
          <w:sz w:val="16"/>
        </w:rPr>
      </w:pPr>
    </w:p>
    <w:p>
      <w:pPr>
        <w:spacing w:line="259" w:lineRule="auto" w:before="0"/>
        <w:ind w:left="142" w:right="3713" w:firstLine="0"/>
        <w:jc w:val="left"/>
        <w:rPr>
          <w:rFonts w:ascii="Times New Roman" w:hAnsi="Times New Roman"/>
          <w:sz w:val="16"/>
        </w:rPr>
      </w:pPr>
      <w:r>
        <w:rPr>
          <w:rFonts w:ascii="Times New Roman" w:hAnsi="Times New Roman"/>
          <w:sz w:val="16"/>
        </w:rPr>
        <w:t>0960-8966/$ - see front matter</w:t>
      </w:r>
      <w:r>
        <w:rPr>
          <w:rFonts w:ascii="Times New Roman" w:hAnsi="Times New Roman"/>
          <w:spacing w:val="40"/>
          <w:sz w:val="16"/>
        </w:rPr>
        <w:t> </w:t>
      </w:r>
      <w:r>
        <w:rPr>
          <w:rFonts w:ascii="Times New Roman" w:hAnsi="Times New Roman"/>
          <w:sz w:val="16"/>
        </w:rPr>
        <w:t>© 2006 Elsevier B.V. All rights </w:t>
      </w:r>
      <w:r>
        <w:rPr>
          <w:rFonts w:ascii="Times New Roman" w:hAnsi="Times New Roman"/>
          <w:sz w:val="16"/>
        </w:rPr>
        <w:t>reserved.</w:t>
      </w:r>
      <w:r>
        <w:rPr>
          <w:rFonts w:ascii="Times New Roman" w:hAnsi="Times New Roman"/>
          <w:spacing w:val="80"/>
          <w:sz w:val="16"/>
        </w:rPr>
        <w:t> </w:t>
      </w:r>
      <w:r>
        <w:rPr>
          <w:rFonts w:ascii="Times New Roman" w:hAnsi="Times New Roman"/>
          <w:spacing w:val="-2"/>
          <w:sz w:val="16"/>
        </w:rPr>
        <w:t>doi:10.1016/j.nmd.2006.05.016</w:t>
      </w:r>
    </w:p>
    <w:p>
      <w:pPr>
        <w:spacing w:after="0" w:line="259" w:lineRule="auto"/>
        <w:jc w:val="left"/>
        <w:rPr>
          <w:rFonts w:ascii="Times New Roman" w:hAnsi="Times New Roman"/>
          <w:sz w:val="16"/>
        </w:rPr>
        <w:sectPr>
          <w:type w:val="continuous"/>
          <w:pgSz w:w="11910" w:h="15880"/>
          <w:pgMar w:top="940" w:bottom="280" w:left="708" w:right="708"/>
        </w:sectPr>
      </w:pPr>
    </w:p>
    <w:p>
      <w:pPr>
        <w:tabs>
          <w:tab w:pos="3154" w:val="left" w:leader="none"/>
        </w:tabs>
        <w:spacing w:before="49"/>
        <w:ind w:left="304" w:right="0" w:firstLine="0"/>
        <w:jc w:val="left"/>
        <w:rPr>
          <w:rFonts w:ascii="Times New Roman" w:hAnsi="Times New Roman"/>
          <w:i/>
          <w:sz w:val="16"/>
        </w:rPr>
      </w:pPr>
      <w:bookmarkStart w:name="_bookmark0" w:id="4"/>
      <w:bookmarkEnd w:id="4"/>
      <w:r>
        <w:rPr/>
      </w:r>
      <w:r>
        <w:rPr>
          <w:spacing w:val="-5"/>
          <w:sz w:val="16"/>
        </w:rPr>
        <w:t>508</w:t>
      </w:r>
      <w:r>
        <w:rPr>
          <w:sz w:val="16"/>
        </w:rPr>
        <w:tab/>
      </w:r>
      <w:r>
        <w:rPr>
          <w:rFonts w:ascii="Times New Roman" w:hAnsi="Times New Roman"/>
          <w:i/>
          <w:sz w:val="16"/>
        </w:rPr>
        <w:t>M.F.</w:t>
      </w:r>
      <w:r>
        <w:rPr>
          <w:rFonts w:ascii="Times New Roman" w:hAnsi="Times New Roman"/>
          <w:i/>
          <w:spacing w:val="21"/>
          <w:sz w:val="16"/>
        </w:rPr>
        <w:t> </w:t>
      </w:r>
      <w:r>
        <w:rPr>
          <w:rFonts w:ascii="Times New Roman" w:hAnsi="Times New Roman"/>
          <w:i/>
          <w:sz w:val="16"/>
        </w:rPr>
        <w:t>Gago</w:t>
      </w:r>
      <w:r>
        <w:rPr>
          <w:rFonts w:ascii="Times New Roman" w:hAnsi="Times New Roman"/>
          <w:i/>
          <w:spacing w:val="21"/>
          <w:sz w:val="16"/>
        </w:rPr>
        <w:t> </w:t>
      </w:r>
      <w:r>
        <w:rPr>
          <w:rFonts w:ascii="Times New Roman" w:hAnsi="Times New Roman"/>
          <w:i/>
          <w:sz w:val="16"/>
        </w:rPr>
        <w:t>et</w:t>
      </w:r>
      <w:r>
        <w:rPr>
          <w:rFonts w:ascii="Times New Roman" w:hAnsi="Times New Roman"/>
          <w:i/>
          <w:spacing w:val="22"/>
          <w:sz w:val="16"/>
        </w:rPr>
        <w:t> </w:t>
      </w:r>
      <w:r>
        <w:rPr>
          <w:rFonts w:ascii="Times New Roman" w:hAnsi="Times New Roman"/>
          <w:i/>
          <w:sz w:val="16"/>
        </w:rPr>
        <w:t>al.</w:t>
      </w:r>
      <w:r>
        <w:rPr>
          <w:rFonts w:ascii="Times New Roman" w:hAnsi="Times New Roman"/>
          <w:i/>
          <w:spacing w:val="22"/>
          <w:sz w:val="16"/>
        </w:rPr>
        <w:t> </w:t>
      </w:r>
      <w:r>
        <w:rPr>
          <w:rFonts w:ascii="Times New Roman" w:hAnsi="Times New Roman"/>
          <w:i/>
          <w:sz w:val="16"/>
        </w:rPr>
        <w:t>/</w:t>
      </w:r>
      <w:r>
        <w:rPr>
          <w:rFonts w:ascii="Times New Roman" w:hAnsi="Times New Roman"/>
          <w:i/>
          <w:spacing w:val="21"/>
          <w:sz w:val="16"/>
        </w:rPr>
        <w:t> </w:t>
      </w:r>
      <w:r>
        <w:rPr>
          <w:rFonts w:ascii="Times New Roman" w:hAnsi="Times New Roman"/>
          <w:i/>
          <w:sz w:val="16"/>
        </w:rPr>
        <w:t>Neuromuscular</w:t>
      </w:r>
      <w:r>
        <w:rPr>
          <w:rFonts w:ascii="Times New Roman" w:hAnsi="Times New Roman"/>
          <w:i/>
          <w:spacing w:val="21"/>
          <w:sz w:val="16"/>
        </w:rPr>
        <w:t> </w:t>
      </w:r>
      <w:r>
        <w:rPr>
          <w:rFonts w:ascii="Times New Roman" w:hAnsi="Times New Roman"/>
          <w:i/>
          <w:sz w:val="16"/>
        </w:rPr>
        <w:t>Disorders</w:t>
      </w:r>
      <w:r>
        <w:rPr>
          <w:rFonts w:ascii="Times New Roman" w:hAnsi="Times New Roman"/>
          <w:i/>
          <w:spacing w:val="22"/>
          <w:sz w:val="16"/>
        </w:rPr>
        <w:t> </w:t>
      </w:r>
      <w:r>
        <w:rPr>
          <w:rFonts w:ascii="Times New Roman" w:hAnsi="Times New Roman"/>
          <w:i/>
          <w:sz w:val="16"/>
        </w:rPr>
        <w:t>16</w:t>
      </w:r>
      <w:r>
        <w:rPr>
          <w:rFonts w:ascii="Times New Roman" w:hAnsi="Times New Roman"/>
          <w:i/>
          <w:spacing w:val="21"/>
          <w:sz w:val="16"/>
        </w:rPr>
        <w:t> </w:t>
      </w:r>
      <w:r>
        <w:rPr>
          <w:rFonts w:ascii="Times New Roman" w:hAnsi="Times New Roman"/>
          <w:i/>
          <w:sz w:val="16"/>
        </w:rPr>
        <w:t>(2006)</w:t>
      </w:r>
      <w:r>
        <w:rPr>
          <w:rFonts w:ascii="Times New Roman" w:hAnsi="Times New Roman"/>
          <w:i/>
          <w:spacing w:val="21"/>
          <w:sz w:val="16"/>
        </w:rPr>
        <w:t> </w:t>
      </w:r>
      <w:r>
        <w:rPr>
          <w:rFonts w:ascii="Times New Roman" w:hAnsi="Times New Roman"/>
          <w:i/>
          <w:spacing w:val="-2"/>
          <w:sz w:val="16"/>
        </w:rPr>
        <w:t>507–509</w:t>
      </w:r>
    </w:p>
    <w:p>
      <w:pPr>
        <w:pStyle w:val="BodyText"/>
        <w:spacing w:before="72"/>
        <w:rPr>
          <w:rFonts w:ascii="Times New Roman"/>
          <w:i/>
          <w:sz w:val="16"/>
        </w:rPr>
      </w:pPr>
    </w:p>
    <w:p>
      <w:pPr>
        <w:spacing w:before="0"/>
        <w:ind w:left="304" w:right="0" w:firstLine="0"/>
        <w:jc w:val="left"/>
        <w:rPr>
          <w:sz w:val="16"/>
        </w:rPr>
      </w:pPr>
      <w:r>
        <w:rPr>
          <w:sz w:val="16"/>
        </w:rPr>
        <w:t>Table</w:t>
      </w:r>
      <w:r>
        <w:rPr>
          <w:spacing w:val="5"/>
          <w:sz w:val="16"/>
        </w:rPr>
        <w:t> </w:t>
      </w:r>
      <w:r>
        <w:rPr>
          <w:spacing w:val="-10"/>
          <w:sz w:val="16"/>
        </w:rPr>
        <w:t>1</w:t>
      </w:r>
    </w:p>
    <w:p>
      <w:pPr>
        <w:spacing w:before="18" w:after="49"/>
        <w:ind w:left="304" w:right="0" w:firstLine="0"/>
        <w:jc w:val="left"/>
        <w:rPr>
          <w:sz w:val="16"/>
        </w:rPr>
      </w:pPr>
      <w:r>
        <w:rPr>
          <w:sz w:val="16"/>
        </w:rPr>
        <w:t>Genotype</w:t>
      </w:r>
      <w:r>
        <w:rPr>
          <w:spacing w:val="-3"/>
          <w:sz w:val="16"/>
        </w:rPr>
        <w:t> </w:t>
      </w:r>
      <w:r>
        <w:rPr>
          <w:sz w:val="16"/>
        </w:rPr>
        <w:t>expression</w:t>
      </w:r>
      <w:r>
        <w:rPr>
          <w:spacing w:val="-3"/>
          <w:sz w:val="16"/>
        </w:rPr>
        <w:t> </w:t>
      </w:r>
      <w:r>
        <w:rPr>
          <w:sz w:val="16"/>
        </w:rPr>
        <w:t>and</w:t>
      </w:r>
      <w:r>
        <w:rPr>
          <w:spacing w:val="-2"/>
          <w:sz w:val="16"/>
        </w:rPr>
        <w:t> </w:t>
      </w:r>
      <w:r>
        <w:rPr>
          <w:sz w:val="16"/>
        </w:rPr>
        <w:t>other</w:t>
      </w:r>
      <w:r>
        <w:rPr>
          <w:spacing w:val="-4"/>
          <w:sz w:val="16"/>
        </w:rPr>
        <w:t> </w:t>
      </w:r>
      <w:r>
        <w:rPr>
          <w:sz w:val="16"/>
        </w:rPr>
        <w:t>data</w:t>
      </w:r>
      <w:r>
        <w:rPr>
          <w:spacing w:val="-2"/>
          <w:sz w:val="16"/>
        </w:rPr>
        <w:t> </w:t>
      </w:r>
      <w:r>
        <w:rPr>
          <w:sz w:val="16"/>
        </w:rPr>
        <w:t>of</w:t>
      </w:r>
      <w:r>
        <w:rPr>
          <w:spacing w:val="-3"/>
          <w:sz w:val="16"/>
        </w:rPr>
        <w:t> </w:t>
      </w:r>
      <w:r>
        <w:rPr>
          <w:sz w:val="16"/>
        </w:rPr>
        <w:t>diﬀerent</w:t>
      </w:r>
      <w:r>
        <w:rPr>
          <w:spacing w:val="-2"/>
          <w:sz w:val="16"/>
        </w:rPr>
        <w:t> </w:t>
      </w:r>
      <w:r>
        <w:rPr>
          <w:sz w:val="16"/>
        </w:rPr>
        <w:t>SANDO</w:t>
      </w:r>
      <w:r>
        <w:rPr>
          <w:spacing w:val="-2"/>
          <w:sz w:val="16"/>
        </w:rPr>
        <w:t> phenotypes</w:t>
      </w: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1269"/>
        <w:gridCol w:w="1754"/>
        <w:gridCol w:w="1557"/>
        <w:gridCol w:w="1832"/>
        <w:gridCol w:w="1515"/>
      </w:tblGrid>
      <w:tr>
        <w:trPr>
          <w:trHeight w:val="266" w:hRule="atLeast"/>
        </w:trPr>
        <w:tc>
          <w:tcPr>
            <w:tcW w:w="2120" w:type="dxa"/>
            <w:tcBorders>
              <w:top w:val="single" w:sz="6" w:space="0" w:color="000000"/>
              <w:bottom w:val="single" w:sz="4" w:space="0" w:color="000000"/>
            </w:tcBorders>
          </w:tcPr>
          <w:p>
            <w:pPr>
              <w:pStyle w:val="TableParagraph"/>
              <w:spacing w:before="41"/>
              <w:ind w:left="-1"/>
              <w:rPr>
                <w:sz w:val="16"/>
              </w:rPr>
            </w:pPr>
            <w:r>
              <w:rPr>
                <w:sz w:val="16"/>
              </w:rPr>
              <w:t>Author</w:t>
            </w:r>
            <w:r>
              <w:rPr>
                <w:spacing w:val="6"/>
                <w:sz w:val="16"/>
              </w:rPr>
              <w:t> </w:t>
            </w:r>
            <w:r>
              <w:rPr>
                <w:sz w:val="16"/>
              </w:rPr>
              <w:t>and</w:t>
            </w:r>
            <w:r>
              <w:rPr>
                <w:spacing w:val="7"/>
                <w:sz w:val="16"/>
              </w:rPr>
              <w:t> </w:t>
            </w:r>
            <w:r>
              <w:rPr>
                <w:spacing w:val="-4"/>
                <w:sz w:val="16"/>
              </w:rPr>
              <w:t>year</w:t>
            </w:r>
          </w:p>
        </w:tc>
        <w:tc>
          <w:tcPr>
            <w:tcW w:w="1269" w:type="dxa"/>
            <w:tcBorders>
              <w:top w:val="single" w:sz="6" w:space="0" w:color="000000"/>
              <w:bottom w:val="single" w:sz="4" w:space="0" w:color="000000"/>
            </w:tcBorders>
          </w:tcPr>
          <w:p>
            <w:pPr>
              <w:pStyle w:val="TableParagraph"/>
              <w:spacing w:before="41"/>
              <w:rPr>
                <w:sz w:val="16"/>
              </w:rPr>
            </w:pPr>
            <w:r>
              <w:rPr>
                <w:spacing w:val="-2"/>
                <w:sz w:val="16"/>
              </w:rPr>
              <w:t>Origin</w:t>
            </w:r>
          </w:p>
        </w:tc>
        <w:tc>
          <w:tcPr>
            <w:tcW w:w="1754" w:type="dxa"/>
            <w:tcBorders>
              <w:top w:val="single" w:sz="6" w:space="0" w:color="000000"/>
              <w:bottom w:val="single" w:sz="4" w:space="0" w:color="000000"/>
            </w:tcBorders>
          </w:tcPr>
          <w:p>
            <w:pPr>
              <w:pStyle w:val="TableParagraph"/>
              <w:spacing w:before="41"/>
              <w:rPr>
                <w:sz w:val="16"/>
              </w:rPr>
            </w:pPr>
            <w:r>
              <w:rPr>
                <w:sz w:val="16"/>
              </w:rPr>
              <w:t>Onset</w:t>
            </w:r>
            <w:r>
              <w:rPr>
                <w:spacing w:val="-4"/>
                <w:sz w:val="16"/>
              </w:rPr>
              <w:t> </w:t>
            </w:r>
            <w:r>
              <w:rPr>
                <w:sz w:val="16"/>
              </w:rPr>
              <w:t>age</w:t>
            </w:r>
            <w:r>
              <w:rPr>
                <w:spacing w:val="-2"/>
                <w:sz w:val="16"/>
              </w:rPr>
              <w:t> (years)</w:t>
            </w:r>
          </w:p>
        </w:tc>
        <w:tc>
          <w:tcPr>
            <w:tcW w:w="1557" w:type="dxa"/>
            <w:tcBorders>
              <w:top w:val="single" w:sz="6" w:space="0" w:color="000000"/>
              <w:bottom w:val="single" w:sz="4" w:space="0" w:color="000000"/>
            </w:tcBorders>
          </w:tcPr>
          <w:p>
            <w:pPr>
              <w:pStyle w:val="TableParagraph"/>
              <w:spacing w:before="41"/>
              <w:ind w:left="281"/>
              <w:rPr>
                <w:sz w:val="16"/>
              </w:rPr>
            </w:pPr>
            <w:r>
              <w:rPr>
                <w:spacing w:val="-2"/>
                <w:sz w:val="16"/>
              </w:rPr>
              <w:t>Muscle</w:t>
            </w:r>
            <w:r>
              <w:rPr>
                <w:spacing w:val="5"/>
                <w:sz w:val="16"/>
              </w:rPr>
              <w:t> </w:t>
            </w:r>
            <w:r>
              <w:rPr>
                <w:spacing w:val="-2"/>
                <w:sz w:val="16"/>
              </w:rPr>
              <w:t>biopsy</w:t>
            </w:r>
          </w:p>
        </w:tc>
        <w:tc>
          <w:tcPr>
            <w:tcW w:w="1832" w:type="dxa"/>
            <w:tcBorders>
              <w:top w:val="single" w:sz="6" w:space="0" w:color="000000"/>
              <w:bottom w:val="single" w:sz="4" w:space="0" w:color="000000"/>
            </w:tcBorders>
          </w:tcPr>
          <w:p>
            <w:pPr>
              <w:pStyle w:val="TableParagraph"/>
              <w:spacing w:before="41"/>
              <w:ind w:left="281"/>
              <w:rPr>
                <w:sz w:val="16"/>
              </w:rPr>
            </w:pPr>
            <w:r>
              <w:rPr>
                <w:w w:val="105"/>
                <w:sz w:val="16"/>
              </w:rPr>
              <w:t>POLG</w:t>
            </w:r>
            <w:r>
              <w:rPr>
                <w:spacing w:val="16"/>
                <w:w w:val="105"/>
                <w:sz w:val="16"/>
              </w:rPr>
              <w:t> </w:t>
            </w:r>
            <w:r>
              <w:rPr>
                <w:w w:val="105"/>
                <w:sz w:val="16"/>
              </w:rPr>
              <w:t>1</w:t>
            </w:r>
            <w:r>
              <w:rPr>
                <w:spacing w:val="18"/>
                <w:w w:val="105"/>
                <w:sz w:val="16"/>
              </w:rPr>
              <w:t> </w:t>
            </w:r>
            <w:r>
              <w:rPr>
                <w:spacing w:val="-2"/>
                <w:w w:val="105"/>
                <w:sz w:val="16"/>
              </w:rPr>
              <w:t>mutation</w:t>
            </w:r>
          </w:p>
        </w:tc>
        <w:tc>
          <w:tcPr>
            <w:tcW w:w="1515" w:type="dxa"/>
            <w:tcBorders>
              <w:top w:val="single" w:sz="6" w:space="0" w:color="000000"/>
              <w:bottom w:val="single" w:sz="4" w:space="0" w:color="000000"/>
            </w:tcBorders>
          </w:tcPr>
          <w:p>
            <w:pPr>
              <w:pStyle w:val="TableParagraph"/>
              <w:spacing w:before="41"/>
              <w:ind w:left="280"/>
              <w:rPr>
                <w:sz w:val="16"/>
              </w:rPr>
            </w:pPr>
            <w:r>
              <w:rPr>
                <w:sz w:val="16"/>
              </w:rPr>
              <w:t>C10orf2</w:t>
            </w:r>
            <w:r>
              <w:rPr>
                <w:spacing w:val="1"/>
                <w:sz w:val="16"/>
              </w:rPr>
              <w:t> </w:t>
            </w:r>
            <w:r>
              <w:rPr>
                <w:spacing w:val="-5"/>
                <w:sz w:val="16"/>
              </w:rPr>
              <w:t>mutation</w:t>
            </w:r>
          </w:p>
        </w:tc>
      </w:tr>
      <w:tr>
        <w:trPr>
          <w:trHeight w:val="246" w:hRule="atLeast"/>
        </w:trPr>
        <w:tc>
          <w:tcPr>
            <w:tcW w:w="2120" w:type="dxa"/>
            <w:tcBorders>
              <w:top w:val="single" w:sz="4" w:space="0" w:color="000000"/>
            </w:tcBorders>
          </w:tcPr>
          <w:p>
            <w:pPr>
              <w:pStyle w:val="TableParagraph"/>
              <w:spacing w:before="43"/>
              <w:ind w:left="-1"/>
              <w:rPr>
                <w:sz w:val="16"/>
              </w:rPr>
            </w:pPr>
            <w:r>
              <w:rPr>
                <w:sz w:val="16"/>
              </w:rPr>
              <w:t>Van</w:t>
            </w:r>
            <w:r>
              <w:rPr>
                <w:spacing w:val="4"/>
                <w:sz w:val="16"/>
              </w:rPr>
              <w:t> </w:t>
            </w:r>
            <w:r>
              <w:rPr>
                <w:sz w:val="16"/>
              </w:rPr>
              <w:t>Goethem</w:t>
            </w:r>
            <w:r>
              <w:rPr>
                <w:spacing w:val="4"/>
                <w:sz w:val="16"/>
              </w:rPr>
              <w:t> </w:t>
            </w:r>
            <w:r>
              <w:rPr>
                <w:sz w:val="16"/>
              </w:rPr>
              <w:t>et</w:t>
            </w:r>
            <w:r>
              <w:rPr>
                <w:spacing w:val="5"/>
                <w:sz w:val="16"/>
              </w:rPr>
              <w:t> </w:t>
            </w:r>
            <w:r>
              <w:rPr>
                <w:sz w:val="16"/>
              </w:rPr>
              <w:t>al.</w:t>
            </w:r>
            <w:r>
              <w:rPr>
                <w:spacing w:val="5"/>
                <w:sz w:val="16"/>
              </w:rPr>
              <w:t> </w:t>
            </w:r>
            <w:r>
              <w:rPr>
                <w:spacing w:val="-2"/>
                <w:sz w:val="16"/>
              </w:rPr>
              <w:t>(2003)</w:t>
            </w:r>
          </w:p>
        </w:tc>
        <w:tc>
          <w:tcPr>
            <w:tcW w:w="1269" w:type="dxa"/>
            <w:tcBorders>
              <w:top w:val="single" w:sz="4" w:space="0" w:color="000000"/>
            </w:tcBorders>
          </w:tcPr>
          <w:p>
            <w:pPr>
              <w:pStyle w:val="TableParagraph"/>
              <w:spacing w:before="43"/>
              <w:rPr>
                <w:sz w:val="16"/>
              </w:rPr>
            </w:pPr>
            <w:r>
              <w:rPr>
                <w:spacing w:val="-2"/>
                <w:sz w:val="16"/>
              </w:rPr>
              <w:t>Belgium</w:t>
            </w:r>
          </w:p>
        </w:tc>
        <w:tc>
          <w:tcPr>
            <w:tcW w:w="1754" w:type="dxa"/>
            <w:tcBorders>
              <w:top w:val="single" w:sz="4" w:space="0" w:color="000000"/>
            </w:tcBorders>
          </w:tcPr>
          <w:p>
            <w:pPr>
              <w:pStyle w:val="TableParagraph"/>
              <w:spacing w:before="43"/>
              <w:rPr>
                <w:sz w:val="16"/>
              </w:rPr>
            </w:pPr>
            <w:r>
              <w:rPr>
                <w:spacing w:val="-5"/>
                <w:sz w:val="16"/>
              </w:rPr>
              <w:t>19</w:t>
            </w:r>
          </w:p>
        </w:tc>
        <w:tc>
          <w:tcPr>
            <w:tcW w:w="1557" w:type="dxa"/>
            <w:tcBorders>
              <w:top w:val="single" w:sz="4" w:space="0" w:color="000000"/>
            </w:tcBorders>
          </w:tcPr>
          <w:p>
            <w:pPr>
              <w:pStyle w:val="TableParagraph"/>
              <w:spacing w:before="43"/>
              <w:ind w:left="281"/>
              <w:rPr>
                <w:sz w:val="16"/>
              </w:rPr>
            </w:pPr>
            <w:r>
              <w:rPr>
                <w:spacing w:val="-2"/>
                <w:sz w:val="16"/>
              </w:rPr>
              <w:t>Normal</w:t>
            </w:r>
          </w:p>
        </w:tc>
        <w:tc>
          <w:tcPr>
            <w:tcW w:w="1832" w:type="dxa"/>
            <w:tcBorders>
              <w:top w:val="single" w:sz="4" w:space="0" w:color="000000"/>
            </w:tcBorders>
          </w:tcPr>
          <w:p>
            <w:pPr>
              <w:pStyle w:val="TableParagraph"/>
              <w:spacing w:before="43"/>
              <w:ind w:left="281"/>
              <w:rPr>
                <w:sz w:val="16"/>
              </w:rPr>
            </w:pPr>
            <w:r>
              <w:rPr>
                <w:sz w:val="16"/>
              </w:rPr>
              <w:t>R627W</w:t>
            </w:r>
            <w:r>
              <w:rPr>
                <w:spacing w:val="1"/>
                <w:sz w:val="16"/>
              </w:rPr>
              <w:t> </w:t>
            </w:r>
            <w:r>
              <w:rPr>
                <w:sz w:val="16"/>
              </w:rPr>
              <w:t>+</w:t>
            </w:r>
            <w:r>
              <w:rPr>
                <w:spacing w:val="3"/>
                <w:sz w:val="16"/>
              </w:rPr>
              <w:t> </w:t>
            </w:r>
            <w:r>
              <w:rPr>
                <w:spacing w:val="-2"/>
                <w:sz w:val="16"/>
              </w:rPr>
              <w:t>A467T</w:t>
            </w:r>
          </w:p>
        </w:tc>
        <w:tc>
          <w:tcPr>
            <w:tcW w:w="1515" w:type="dxa"/>
            <w:tcBorders>
              <w:top w:val="single" w:sz="4" w:space="0" w:color="000000"/>
            </w:tcBorders>
          </w:tcPr>
          <w:p>
            <w:pPr>
              <w:pStyle w:val="TableParagraph"/>
              <w:ind w:left="0"/>
              <w:rPr>
                <w:rFonts w:ascii="Times New Roman"/>
                <w:sz w:val="16"/>
              </w:rPr>
            </w:pPr>
          </w:p>
        </w:tc>
      </w:tr>
      <w:tr>
        <w:trPr>
          <w:trHeight w:val="199" w:hRule="atLeast"/>
        </w:trPr>
        <w:tc>
          <w:tcPr>
            <w:tcW w:w="2120" w:type="dxa"/>
          </w:tcPr>
          <w:p>
            <w:pPr>
              <w:pStyle w:val="TableParagraph"/>
              <w:spacing w:line="178" w:lineRule="exact"/>
              <w:ind w:left="-1"/>
              <w:rPr>
                <w:sz w:val="16"/>
              </w:rPr>
            </w:pPr>
            <w:r>
              <w:rPr>
                <w:sz w:val="16"/>
              </w:rPr>
              <w:t>Van</w:t>
            </w:r>
            <w:r>
              <w:rPr>
                <w:spacing w:val="4"/>
                <w:sz w:val="16"/>
              </w:rPr>
              <w:t> </w:t>
            </w:r>
            <w:r>
              <w:rPr>
                <w:sz w:val="16"/>
              </w:rPr>
              <w:t>Goethem</w:t>
            </w:r>
            <w:r>
              <w:rPr>
                <w:spacing w:val="4"/>
                <w:sz w:val="16"/>
              </w:rPr>
              <w:t> </w:t>
            </w:r>
            <w:r>
              <w:rPr>
                <w:sz w:val="16"/>
              </w:rPr>
              <w:t>et</w:t>
            </w:r>
            <w:r>
              <w:rPr>
                <w:spacing w:val="5"/>
                <w:sz w:val="16"/>
              </w:rPr>
              <w:t> </w:t>
            </w:r>
            <w:r>
              <w:rPr>
                <w:sz w:val="16"/>
              </w:rPr>
              <w:t>al.</w:t>
            </w:r>
            <w:r>
              <w:rPr>
                <w:spacing w:val="5"/>
                <w:sz w:val="16"/>
              </w:rPr>
              <w:t> </w:t>
            </w:r>
            <w:r>
              <w:rPr>
                <w:spacing w:val="-2"/>
                <w:sz w:val="16"/>
              </w:rPr>
              <w:t>(2004)</w:t>
            </w:r>
          </w:p>
        </w:tc>
        <w:tc>
          <w:tcPr>
            <w:tcW w:w="1269" w:type="dxa"/>
          </w:tcPr>
          <w:p>
            <w:pPr>
              <w:pStyle w:val="TableParagraph"/>
              <w:spacing w:line="178" w:lineRule="exact"/>
              <w:rPr>
                <w:sz w:val="16"/>
              </w:rPr>
            </w:pPr>
            <w:r>
              <w:rPr>
                <w:spacing w:val="-2"/>
                <w:sz w:val="16"/>
              </w:rPr>
              <w:t>Finland</w:t>
            </w:r>
          </w:p>
        </w:tc>
        <w:tc>
          <w:tcPr>
            <w:tcW w:w="1754" w:type="dxa"/>
          </w:tcPr>
          <w:p>
            <w:pPr>
              <w:pStyle w:val="TableParagraph"/>
              <w:spacing w:line="178" w:lineRule="exact"/>
              <w:rPr>
                <w:sz w:val="16"/>
              </w:rPr>
            </w:pPr>
            <w:r>
              <w:rPr>
                <w:spacing w:val="-5"/>
                <w:w w:val="95"/>
                <w:sz w:val="16"/>
              </w:rPr>
              <w:t>30</w:t>
            </w:r>
          </w:p>
        </w:tc>
        <w:tc>
          <w:tcPr>
            <w:tcW w:w="1557" w:type="dxa"/>
          </w:tcPr>
          <w:p>
            <w:pPr>
              <w:pStyle w:val="TableParagraph"/>
              <w:spacing w:line="178" w:lineRule="exact"/>
              <w:ind w:left="281"/>
              <w:rPr>
                <w:sz w:val="16"/>
              </w:rPr>
            </w:pPr>
            <w:r>
              <w:rPr>
                <w:spacing w:val="-2"/>
                <w:sz w:val="16"/>
              </w:rPr>
              <w:t>Normal</w:t>
            </w:r>
          </w:p>
        </w:tc>
        <w:tc>
          <w:tcPr>
            <w:tcW w:w="1832" w:type="dxa"/>
          </w:tcPr>
          <w:p>
            <w:pPr>
              <w:pStyle w:val="TableParagraph"/>
              <w:spacing w:line="178" w:lineRule="exact"/>
              <w:ind w:left="281"/>
              <w:rPr>
                <w:sz w:val="16"/>
              </w:rPr>
            </w:pPr>
            <w:r>
              <w:rPr>
                <w:sz w:val="16"/>
              </w:rPr>
              <w:t>W748S</w:t>
            </w:r>
            <w:r>
              <w:rPr>
                <w:spacing w:val="-8"/>
                <w:sz w:val="16"/>
              </w:rPr>
              <w:t> </w:t>
            </w:r>
            <w:r>
              <w:rPr>
                <w:sz w:val="16"/>
              </w:rPr>
              <w:t>+</w:t>
            </w:r>
            <w:r>
              <w:rPr>
                <w:spacing w:val="-7"/>
                <w:sz w:val="16"/>
              </w:rPr>
              <w:t> </w:t>
            </w:r>
            <w:r>
              <w:rPr>
                <w:spacing w:val="-2"/>
                <w:sz w:val="16"/>
              </w:rPr>
              <w:t>W748S</w:t>
            </w:r>
          </w:p>
        </w:tc>
        <w:tc>
          <w:tcPr>
            <w:tcW w:w="1515" w:type="dxa"/>
          </w:tcPr>
          <w:p>
            <w:pPr>
              <w:pStyle w:val="TableParagraph"/>
              <w:ind w:left="0"/>
              <w:rPr>
                <w:rFonts w:ascii="Times New Roman"/>
                <w:sz w:val="12"/>
              </w:rPr>
            </w:pPr>
          </w:p>
        </w:tc>
      </w:tr>
      <w:tr>
        <w:trPr>
          <w:trHeight w:val="198" w:hRule="atLeast"/>
        </w:trPr>
        <w:tc>
          <w:tcPr>
            <w:tcW w:w="2120" w:type="dxa"/>
          </w:tcPr>
          <w:p>
            <w:pPr>
              <w:pStyle w:val="TableParagraph"/>
              <w:spacing w:line="178" w:lineRule="exact"/>
              <w:ind w:left="-1"/>
              <w:rPr>
                <w:sz w:val="16"/>
              </w:rPr>
            </w:pPr>
            <w:r>
              <w:rPr>
                <w:sz w:val="16"/>
              </w:rPr>
              <w:t>Van</w:t>
            </w:r>
            <w:r>
              <w:rPr>
                <w:spacing w:val="4"/>
                <w:sz w:val="16"/>
              </w:rPr>
              <w:t> </w:t>
            </w:r>
            <w:r>
              <w:rPr>
                <w:sz w:val="16"/>
              </w:rPr>
              <w:t>Goethem</w:t>
            </w:r>
            <w:r>
              <w:rPr>
                <w:spacing w:val="4"/>
                <w:sz w:val="16"/>
              </w:rPr>
              <w:t> </w:t>
            </w:r>
            <w:r>
              <w:rPr>
                <w:sz w:val="16"/>
              </w:rPr>
              <w:t>et</w:t>
            </w:r>
            <w:r>
              <w:rPr>
                <w:spacing w:val="5"/>
                <w:sz w:val="16"/>
              </w:rPr>
              <w:t> </w:t>
            </w:r>
            <w:r>
              <w:rPr>
                <w:sz w:val="16"/>
              </w:rPr>
              <w:t>al.</w:t>
            </w:r>
            <w:r>
              <w:rPr>
                <w:spacing w:val="5"/>
                <w:sz w:val="16"/>
              </w:rPr>
              <w:t> </w:t>
            </w:r>
            <w:r>
              <w:rPr>
                <w:spacing w:val="-2"/>
                <w:sz w:val="16"/>
              </w:rPr>
              <w:t>(2004)</w:t>
            </w:r>
          </w:p>
        </w:tc>
        <w:tc>
          <w:tcPr>
            <w:tcW w:w="1269" w:type="dxa"/>
          </w:tcPr>
          <w:p>
            <w:pPr>
              <w:pStyle w:val="TableParagraph"/>
              <w:spacing w:line="178" w:lineRule="exact"/>
              <w:rPr>
                <w:sz w:val="16"/>
              </w:rPr>
            </w:pPr>
            <w:r>
              <w:rPr>
                <w:sz w:val="16"/>
              </w:rPr>
              <w:t>G.</w:t>
            </w:r>
            <w:r>
              <w:rPr>
                <w:spacing w:val="29"/>
                <w:sz w:val="16"/>
              </w:rPr>
              <w:t> </w:t>
            </w:r>
            <w:r>
              <w:rPr>
                <w:spacing w:val="-2"/>
                <w:sz w:val="16"/>
              </w:rPr>
              <w:t>Britain</w:t>
            </w:r>
          </w:p>
        </w:tc>
        <w:tc>
          <w:tcPr>
            <w:tcW w:w="1754" w:type="dxa"/>
          </w:tcPr>
          <w:p>
            <w:pPr>
              <w:pStyle w:val="TableParagraph"/>
              <w:spacing w:line="178" w:lineRule="exact"/>
              <w:rPr>
                <w:sz w:val="16"/>
              </w:rPr>
            </w:pPr>
            <w:r>
              <w:rPr>
                <w:spacing w:val="-5"/>
                <w:w w:val="95"/>
                <w:sz w:val="16"/>
              </w:rPr>
              <w:t>20</w:t>
            </w:r>
          </w:p>
        </w:tc>
        <w:tc>
          <w:tcPr>
            <w:tcW w:w="1557" w:type="dxa"/>
          </w:tcPr>
          <w:p>
            <w:pPr>
              <w:pStyle w:val="TableParagraph"/>
              <w:spacing w:line="178" w:lineRule="exact"/>
              <w:ind w:left="281"/>
              <w:rPr>
                <w:sz w:val="16"/>
              </w:rPr>
            </w:pPr>
            <w:r>
              <w:rPr>
                <w:spacing w:val="-2"/>
                <w:sz w:val="16"/>
              </w:rPr>
              <w:t>Normal</w:t>
            </w:r>
          </w:p>
        </w:tc>
        <w:tc>
          <w:tcPr>
            <w:tcW w:w="1832" w:type="dxa"/>
          </w:tcPr>
          <w:p>
            <w:pPr>
              <w:pStyle w:val="TableParagraph"/>
              <w:spacing w:line="178" w:lineRule="exact"/>
              <w:ind w:left="281"/>
              <w:rPr>
                <w:sz w:val="16"/>
              </w:rPr>
            </w:pPr>
            <w:r>
              <w:rPr>
                <w:sz w:val="16"/>
              </w:rPr>
              <w:t>W748S</w:t>
            </w:r>
            <w:r>
              <w:rPr>
                <w:spacing w:val="-8"/>
                <w:sz w:val="16"/>
              </w:rPr>
              <w:t> </w:t>
            </w:r>
            <w:r>
              <w:rPr>
                <w:sz w:val="16"/>
              </w:rPr>
              <w:t>+</w:t>
            </w:r>
            <w:r>
              <w:rPr>
                <w:spacing w:val="-7"/>
                <w:sz w:val="16"/>
              </w:rPr>
              <w:t> </w:t>
            </w:r>
            <w:r>
              <w:rPr>
                <w:spacing w:val="-2"/>
                <w:sz w:val="16"/>
              </w:rPr>
              <w:t>A467T</w:t>
            </w:r>
          </w:p>
        </w:tc>
        <w:tc>
          <w:tcPr>
            <w:tcW w:w="1515" w:type="dxa"/>
          </w:tcPr>
          <w:p>
            <w:pPr>
              <w:pStyle w:val="TableParagraph"/>
              <w:ind w:left="0"/>
              <w:rPr>
                <w:rFonts w:ascii="Times New Roman"/>
                <w:sz w:val="12"/>
              </w:rPr>
            </w:pPr>
          </w:p>
        </w:tc>
      </w:tr>
      <w:tr>
        <w:trPr>
          <w:trHeight w:val="198" w:hRule="atLeast"/>
        </w:trPr>
        <w:tc>
          <w:tcPr>
            <w:tcW w:w="2120" w:type="dxa"/>
          </w:tcPr>
          <w:p>
            <w:pPr>
              <w:pStyle w:val="TableParagraph"/>
              <w:spacing w:line="177" w:lineRule="exact"/>
              <w:ind w:left="-1"/>
              <w:rPr>
                <w:sz w:val="16"/>
              </w:rPr>
            </w:pPr>
            <w:r>
              <w:rPr>
                <w:spacing w:val="-2"/>
                <w:sz w:val="16"/>
              </w:rPr>
              <w:t>Winterthun</w:t>
            </w:r>
            <w:r>
              <w:rPr>
                <w:spacing w:val="3"/>
                <w:sz w:val="16"/>
              </w:rPr>
              <w:t> </w:t>
            </w:r>
            <w:r>
              <w:rPr>
                <w:spacing w:val="-2"/>
                <w:sz w:val="16"/>
              </w:rPr>
              <w:t>et</w:t>
            </w:r>
            <w:r>
              <w:rPr>
                <w:spacing w:val="4"/>
                <w:sz w:val="16"/>
              </w:rPr>
              <w:t> </w:t>
            </w:r>
            <w:r>
              <w:rPr>
                <w:spacing w:val="-2"/>
                <w:sz w:val="16"/>
              </w:rPr>
              <w:t>al.</w:t>
            </w:r>
            <w:r>
              <w:rPr>
                <w:spacing w:val="5"/>
                <w:sz w:val="16"/>
              </w:rPr>
              <w:t> </w:t>
            </w:r>
            <w:r>
              <w:rPr>
                <w:spacing w:val="-2"/>
                <w:sz w:val="16"/>
              </w:rPr>
              <w:t>(2005)</w:t>
            </w:r>
          </w:p>
        </w:tc>
        <w:tc>
          <w:tcPr>
            <w:tcW w:w="1269" w:type="dxa"/>
          </w:tcPr>
          <w:p>
            <w:pPr>
              <w:pStyle w:val="TableParagraph"/>
              <w:spacing w:line="177" w:lineRule="exact"/>
              <w:rPr>
                <w:sz w:val="16"/>
              </w:rPr>
            </w:pPr>
            <w:r>
              <w:rPr>
                <w:spacing w:val="-2"/>
                <w:sz w:val="16"/>
              </w:rPr>
              <w:t>Norway</w:t>
            </w:r>
          </w:p>
        </w:tc>
        <w:tc>
          <w:tcPr>
            <w:tcW w:w="1754" w:type="dxa"/>
          </w:tcPr>
          <w:p>
            <w:pPr>
              <w:pStyle w:val="TableParagraph"/>
              <w:spacing w:line="177" w:lineRule="exact"/>
              <w:rPr>
                <w:sz w:val="16"/>
              </w:rPr>
            </w:pPr>
            <w:r>
              <w:rPr>
                <w:spacing w:val="-5"/>
                <w:sz w:val="16"/>
              </w:rPr>
              <w:t>23</w:t>
            </w:r>
          </w:p>
        </w:tc>
        <w:tc>
          <w:tcPr>
            <w:tcW w:w="1557" w:type="dxa"/>
          </w:tcPr>
          <w:p>
            <w:pPr>
              <w:pStyle w:val="TableParagraph"/>
              <w:spacing w:line="177" w:lineRule="exact"/>
              <w:ind w:left="281"/>
              <w:rPr>
                <w:sz w:val="16"/>
              </w:rPr>
            </w:pPr>
            <w:r>
              <w:rPr>
                <w:spacing w:val="-2"/>
                <w:sz w:val="16"/>
              </w:rPr>
              <w:t>Normal</w:t>
            </w:r>
          </w:p>
        </w:tc>
        <w:tc>
          <w:tcPr>
            <w:tcW w:w="1832" w:type="dxa"/>
          </w:tcPr>
          <w:p>
            <w:pPr>
              <w:pStyle w:val="TableParagraph"/>
              <w:spacing w:line="177" w:lineRule="exact"/>
              <w:ind w:left="281"/>
              <w:rPr>
                <w:sz w:val="16"/>
              </w:rPr>
            </w:pPr>
            <w:r>
              <w:rPr>
                <w:spacing w:val="-2"/>
                <w:sz w:val="16"/>
              </w:rPr>
              <w:t>Q947H/W748S</w:t>
            </w:r>
          </w:p>
        </w:tc>
        <w:tc>
          <w:tcPr>
            <w:tcW w:w="1515" w:type="dxa"/>
          </w:tcPr>
          <w:p>
            <w:pPr>
              <w:pStyle w:val="TableParagraph"/>
              <w:ind w:left="0"/>
              <w:rPr>
                <w:rFonts w:ascii="Times New Roman"/>
                <w:sz w:val="12"/>
              </w:rPr>
            </w:pPr>
          </w:p>
        </w:tc>
      </w:tr>
      <w:tr>
        <w:trPr>
          <w:trHeight w:val="199" w:hRule="atLeast"/>
        </w:trPr>
        <w:tc>
          <w:tcPr>
            <w:tcW w:w="2120" w:type="dxa"/>
          </w:tcPr>
          <w:p>
            <w:pPr>
              <w:pStyle w:val="TableParagraph"/>
              <w:spacing w:line="178" w:lineRule="exact"/>
              <w:ind w:left="-1"/>
              <w:rPr>
                <w:sz w:val="16"/>
              </w:rPr>
            </w:pPr>
            <w:r>
              <w:rPr>
                <w:sz w:val="16"/>
              </w:rPr>
              <w:t>Hudson et</w:t>
            </w:r>
            <w:r>
              <w:rPr>
                <w:spacing w:val="1"/>
                <w:sz w:val="16"/>
              </w:rPr>
              <w:t> </w:t>
            </w:r>
            <w:r>
              <w:rPr>
                <w:sz w:val="16"/>
              </w:rPr>
              <w:t>al.</w:t>
            </w:r>
            <w:r>
              <w:rPr>
                <w:spacing w:val="1"/>
                <w:sz w:val="16"/>
              </w:rPr>
              <w:t> </w:t>
            </w:r>
            <w:r>
              <w:rPr>
                <w:spacing w:val="-2"/>
                <w:sz w:val="16"/>
              </w:rPr>
              <w:t>(2005)</w:t>
            </w:r>
          </w:p>
        </w:tc>
        <w:tc>
          <w:tcPr>
            <w:tcW w:w="1269" w:type="dxa"/>
          </w:tcPr>
          <w:p>
            <w:pPr>
              <w:pStyle w:val="TableParagraph"/>
              <w:spacing w:line="178" w:lineRule="exact"/>
              <w:rPr>
                <w:sz w:val="16"/>
              </w:rPr>
            </w:pPr>
            <w:r>
              <w:rPr>
                <w:spacing w:val="-2"/>
                <w:sz w:val="16"/>
              </w:rPr>
              <w:t>Germany</w:t>
            </w:r>
          </w:p>
        </w:tc>
        <w:tc>
          <w:tcPr>
            <w:tcW w:w="1754" w:type="dxa"/>
          </w:tcPr>
          <w:p>
            <w:pPr>
              <w:pStyle w:val="TableParagraph"/>
              <w:spacing w:line="178" w:lineRule="exact"/>
              <w:rPr>
                <w:sz w:val="16"/>
              </w:rPr>
            </w:pPr>
            <w:r>
              <w:rPr>
                <w:spacing w:val="-5"/>
                <w:sz w:val="16"/>
              </w:rPr>
              <w:t>36</w:t>
            </w:r>
          </w:p>
        </w:tc>
        <w:tc>
          <w:tcPr>
            <w:tcW w:w="1557" w:type="dxa"/>
          </w:tcPr>
          <w:p>
            <w:pPr>
              <w:pStyle w:val="TableParagraph"/>
              <w:spacing w:line="178" w:lineRule="exact"/>
              <w:ind w:left="281"/>
              <w:rPr>
                <w:sz w:val="16"/>
              </w:rPr>
            </w:pPr>
            <w:r>
              <w:rPr>
                <w:spacing w:val="-2"/>
                <w:sz w:val="16"/>
              </w:rPr>
              <w:t>Unknown</w:t>
            </w:r>
          </w:p>
        </w:tc>
        <w:tc>
          <w:tcPr>
            <w:tcW w:w="1832" w:type="dxa"/>
          </w:tcPr>
          <w:p>
            <w:pPr>
              <w:pStyle w:val="TableParagraph"/>
              <w:ind w:left="0"/>
              <w:rPr>
                <w:rFonts w:ascii="Times New Roman"/>
                <w:sz w:val="12"/>
              </w:rPr>
            </w:pPr>
          </w:p>
        </w:tc>
        <w:tc>
          <w:tcPr>
            <w:tcW w:w="1515" w:type="dxa"/>
          </w:tcPr>
          <w:p>
            <w:pPr>
              <w:pStyle w:val="TableParagraph"/>
              <w:spacing w:line="178" w:lineRule="exact"/>
              <w:ind w:left="280"/>
              <w:rPr>
                <w:sz w:val="16"/>
              </w:rPr>
            </w:pPr>
            <w:r>
              <w:rPr>
                <w:spacing w:val="-2"/>
                <w:sz w:val="16"/>
              </w:rPr>
              <w:t>K319E</w:t>
            </w:r>
          </w:p>
        </w:tc>
      </w:tr>
      <w:tr>
        <w:trPr>
          <w:trHeight w:val="221" w:hRule="atLeast"/>
        </w:trPr>
        <w:tc>
          <w:tcPr>
            <w:tcW w:w="2120" w:type="dxa"/>
            <w:tcBorders>
              <w:bottom w:val="single" w:sz="4" w:space="0" w:color="000000"/>
            </w:tcBorders>
          </w:tcPr>
          <w:p>
            <w:pPr>
              <w:pStyle w:val="TableParagraph"/>
              <w:spacing w:line="178" w:lineRule="exact"/>
              <w:ind w:left="-1"/>
              <w:rPr>
                <w:sz w:val="16"/>
              </w:rPr>
            </w:pPr>
            <w:r>
              <w:rPr>
                <w:spacing w:val="-4"/>
                <w:sz w:val="16"/>
              </w:rPr>
              <w:t>Present</w:t>
            </w:r>
            <w:r>
              <w:rPr>
                <w:spacing w:val="4"/>
                <w:sz w:val="16"/>
              </w:rPr>
              <w:t> </w:t>
            </w:r>
            <w:r>
              <w:rPr>
                <w:spacing w:val="-4"/>
                <w:sz w:val="16"/>
              </w:rPr>
              <w:t>case</w:t>
            </w:r>
          </w:p>
        </w:tc>
        <w:tc>
          <w:tcPr>
            <w:tcW w:w="1269" w:type="dxa"/>
            <w:tcBorders>
              <w:bottom w:val="single" w:sz="4" w:space="0" w:color="000000"/>
            </w:tcBorders>
          </w:tcPr>
          <w:p>
            <w:pPr>
              <w:pStyle w:val="TableParagraph"/>
              <w:spacing w:line="178" w:lineRule="exact"/>
              <w:rPr>
                <w:sz w:val="16"/>
              </w:rPr>
            </w:pPr>
            <w:r>
              <w:rPr>
                <w:spacing w:val="-2"/>
                <w:sz w:val="16"/>
              </w:rPr>
              <w:t>Portugal</w:t>
            </w:r>
          </w:p>
        </w:tc>
        <w:tc>
          <w:tcPr>
            <w:tcW w:w="1754" w:type="dxa"/>
            <w:tcBorders>
              <w:bottom w:val="single" w:sz="4" w:space="0" w:color="000000"/>
            </w:tcBorders>
          </w:tcPr>
          <w:p>
            <w:pPr>
              <w:pStyle w:val="TableParagraph"/>
              <w:spacing w:line="178" w:lineRule="exact"/>
              <w:rPr>
                <w:sz w:val="16"/>
              </w:rPr>
            </w:pPr>
            <w:r>
              <w:rPr>
                <w:spacing w:val="-5"/>
                <w:sz w:val="16"/>
              </w:rPr>
              <w:t>39</w:t>
            </w:r>
          </w:p>
        </w:tc>
        <w:tc>
          <w:tcPr>
            <w:tcW w:w="1557" w:type="dxa"/>
            <w:tcBorders>
              <w:bottom w:val="single" w:sz="4" w:space="0" w:color="000000"/>
            </w:tcBorders>
          </w:tcPr>
          <w:p>
            <w:pPr>
              <w:pStyle w:val="TableParagraph"/>
              <w:spacing w:line="178" w:lineRule="exact"/>
              <w:ind w:left="281"/>
              <w:rPr>
                <w:sz w:val="16"/>
              </w:rPr>
            </w:pPr>
            <w:r>
              <w:rPr>
                <w:spacing w:val="-5"/>
                <w:w w:val="110"/>
                <w:sz w:val="16"/>
              </w:rPr>
              <w:t>RRF</w:t>
            </w:r>
          </w:p>
        </w:tc>
        <w:tc>
          <w:tcPr>
            <w:tcW w:w="1832" w:type="dxa"/>
            <w:tcBorders>
              <w:bottom w:val="single" w:sz="4" w:space="0" w:color="000000"/>
            </w:tcBorders>
          </w:tcPr>
          <w:p>
            <w:pPr>
              <w:pStyle w:val="TableParagraph"/>
              <w:spacing w:line="178" w:lineRule="exact"/>
              <w:ind w:left="281"/>
              <w:rPr>
                <w:sz w:val="16"/>
              </w:rPr>
            </w:pPr>
            <w:r>
              <w:rPr>
                <w:sz w:val="16"/>
              </w:rPr>
              <w:t>P648R</w:t>
            </w:r>
            <w:r>
              <w:rPr>
                <w:spacing w:val="-8"/>
                <w:sz w:val="16"/>
              </w:rPr>
              <w:t> </w:t>
            </w:r>
            <w:r>
              <w:rPr>
                <w:sz w:val="16"/>
              </w:rPr>
              <w:t>+</w:t>
            </w:r>
            <w:r>
              <w:rPr>
                <w:spacing w:val="-6"/>
                <w:sz w:val="16"/>
              </w:rPr>
              <w:t> </w:t>
            </w:r>
            <w:r>
              <w:rPr>
                <w:spacing w:val="-2"/>
                <w:sz w:val="16"/>
              </w:rPr>
              <w:t>R807C</w:t>
            </w:r>
          </w:p>
        </w:tc>
        <w:tc>
          <w:tcPr>
            <w:tcW w:w="1515" w:type="dxa"/>
            <w:tcBorders>
              <w:bottom w:val="single" w:sz="4" w:space="0" w:color="000000"/>
            </w:tcBorders>
          </w:tcPr>
          <w:p>
            <w:pPr>
              <w:pStyle w:val="TableParagraph"/>
              <w:ind w:left="0"/>
              <w:rPr>
                <w:rFonts w:ascii="Times New Roman"/>
                <w:sz w:val="14"/>
              </w:rPr>
            </w:pPr>
          </w:p>
        </w:tc>
      </w:tr>
      <w:tr>
        <w:trPr>
          <w:trHeight w:val="236" w:hRule="atLeast"/>
        </w:trPr>
        <w:tc>
          <w:tcPr>
            <w:tcW w:w="2120" w:type="dxa"/>
            <w:tcBorders>
              <w:top w:val="single" w:sz="4" w:space="0" w:color="000000"/>
            </w:tcBorders>
          </w:tcPr>
          <w:p>
            <w:pPr>
              <w:pStyle w:val="TableParagraph"/>
              <w:spacing w:line="165" w:lineRule="exact" w:before="51"/>
              <w:ind w:left="-1"/>
              <w:rPr>
                <w:sz w:val="16"/>
              </w:rPr>
            </w:pPr>
            <w:r>
              <w:rPr>
                <w:sz w:val="16"/>
              </w:rPr>
              <w:t>RRF,</w:t>
            </w:r>
            <w:r>
              <w:rPr>
                <w:spacing w:val="10"/>
                <w:sz w:val="16"/>
              </w:rPr>
              <w:t> </w:t>
            </w:r>
            <w:r>
              <w:rPr>
                <w:sz w:val="16"/>
              </w:rPr>
              <w:t>ragged</w:t>
            </w:r>
            <w:r>
              <w:rPr>
                <w:spacing w:val="8"/>
                <w:sz w:val="16"/>
              </w:rPr>
              <w:t> </w:t>
            </w:r>
            <w:r>
              <w:rPr>
                <w:sz w:val="16"/>
              </w:rPr>
              <w:t>red</w:t>
            </w:r>
            <w:r>
              <w:rPr>
                <w:spacing w:val="10"/>
                <w:sz w:val="16"/>
              </w:rPr>
              <w:t> </w:t>
            </w:r>
            <w:r>
              <w:rPr>
                <w:spacing w:val="-2"/>
                <w:sz w:val="16"/>
              </w:rPr>
              <w:t>ﬁbers.</w:t>
            </w:r>
          </w:p>
        </w:tc>
        <w:tc>
          <w:tcPr>
            <w:tcW w:w="1269" w:type="dxa"/>
            <w:tcBorders>
              <w:top w:val="single" w:sz="4" w:space="0" w:color="000000"/>
            </w:tcBorders>
          </w:tcPr>
          <w:p>
            <w:pPr>
              <w:pStyle w:val="TableParagraph"/>
              <w:ind w:left="0"/>
              <w:rPr>
                <w:rFonts w:ascii="Times New Roman"/>
                <w:sz w:val="16"/>
              </w:rPr>
            </w:pPr>
          </w:p>
        </w:tc>
        <w:tc>
          <w:tcPr>
            <w:tcW w:w="1754" w:type="dxa"/>
            <w:tcBorders>
              <w:top w:val="single" w:sz="4" w:space="0" w:color="000000"/>
            </w:tcBorders>
          </w:tcPr>
          <w:p>
            <w:pPr>
              <w:pStyle w:val="TableParagraph"/>
              <w:ind w:left="0"/>
              <w:rPr>
                <w:rFonts w:ascii="Times New Roman"/>
                <w:sz w:val="16"/>
              </w:rPr>
            </w:pPr>
          </w:p>
        </w:tc>
        <w:tc>
          <w:tcPr>
            <w:tcW w:w="1557" w:type="dxa"/>
            <w:tcBorders>
              <w:top w:val="single" w:sz="4" w:space="0" w:color="000000"/>
            </w:tcBorders>
          </w:tcPr>
          <w:p>
            <w:pPr>
              <w:pStyle w:val="TableParagraph"/>
              <w:ind w:left="0"/>
              <w:rPr>
                <w:rFonts w:ascii="Times New Roman"/>
                <w:sz w:val="16"/>
              </w:rPr>
            </w:pPr>
          </w:p>
        </w:tc>
        <w:tc>
          <w:tcPr>
            <w:tcW w:w="1832" w:type="dxa"/>
            <w:tcBorders>
              <w:top w:val="single" w:sz="4" w:space="0" w:color="000000"/>
            </w:tcBorders>
          </w:tcPr>
          <w:p>
            <w:pPr>
              <w:pStyle w:val="TableParagraph"/>
              <w:ind w:left="0"/>
              <w:rPr>
                <w:rFonts w:ascii="Times New Roman"/>
                <w:sz w:val="16"/>
              </w:rPr>
            </w:pPr>
          </w:p>
        </w:tc>
        <w:tc>
          <w:tcPr>
            <w:tcW w:w="1515" w:type="dxa"/>
            <w:tcBorders>
              <w:top w:val="single" w:sz="4" w:space="0" w:color="000000"/>
            </w:tcBorders>
          </w:tcPr>
          <w:p>
            <w:pPr>
              <w:pStyle w:val="TableParagraph"/>
              <w:ind w:left="0"/>
              <w:rPr>
                <w:rFonts w:ascii="Times New Roman"/>
                <w:sz w:val="16"/>
              </w:rPr>
            </w:pPr>
          </w:p>
        </w:tc>
      </w:tr>
    </w:tbl>
    <w:p>
      <w:pPr>
        <w:pStyle w:val="BodyText"/>
      </w:pPr>
    </w:p>
    <w:p>
      <w:pPr>
        <w:pStyle w:val="BodyText"/>
        <w:spacing w:before="84"/>
      </w:pPr>
    </w:p>
    <w:p>
      <w:pPr>
        <w:pStyle w:val="BodyText"/>
        <w:spacing w:after="0"/>
        <w:sectPr>
          <w:pgSz w:w="11910" w:h="15880"/>
          <w:pgMar w:top="860" w:bottom="280" w:left="708" w:right="708"/>
        </w:sectPr>
      </w:pPr>
    </w:p>
    <w:p>
      <w:pPr>
        <w:pStyle w:val="BodyText"/>
        <w:spacing w:line="252" w:lineRule="auto" w:before="72"/>
        <w:ind w:left="304" w:right="38" w:firstLine="239"/>
        <w:jc w:val="both"/>
      </w:pPr>
      <w:r>
        <w:rPr/>
        <w:t>Routine studies showed increased levels of </w:t>
      </w:r>
      <w:r>
        <w:rPr/>
        <w:t>seric creatine kinase (350</w:t>
      </w:r>
      <w:r>
        <w:rPr>
          <w:spacing w:val="-9"/>
        </w:rPr>
        <w:t> </w:t>
      </w:r>
      <w:r>
        <w:rPr/>
        <w:t>U/L; NL</w:t>
      </w:r>
      <w:r>
        <w:rPr>
          <w:spacing w:val="-9"/>
        </w:rPr>
        <w:t> </w:t>
      </w:r>
      <w:r>
        <w:rPr/>
        <w:t>=</w:t>
      </w:r>
      <w:r>
        <w:rPr>
          <w:spacing w:val="-9"/>
        </w:rPr>
        <w:t> </w:t>
      </w:r>
      <w:r>
        <w:rPr/>
        <w:t>&lt;172) and pyruvate (0.29</w:t>
      </w:r>
      <w:r>
        <w:rPr>
          <w:spacing w:val="-13"/>
        </w:rPr>
        <w:t> </w:t>
      </w:r>
      <w:r>
        <w:rPr/>
        <w:t>mmol/L;</w:t>
      </w:r>
      <w:r>
        <w:rPr>
          <w:spacing w:val="40"/>
        </w:rPr>
        <w:t> </w:t>
      </w:r>
      <w:r>
        <w:rPr/>
        <w:t>NL</w:t>
      </w:r>
      <w:r>
        <w:rPr>
          <w:spacing w:val="-12"/>
        </w:rPr>
        <w:t> </w:t>
      </w:r>
      <w:r>
        <w:rPr/>
        <w:t>=</w:t>
      </w:r>
      <w:r>
        <w:rPr>
          <w:spacing w:val="-13"/>
        </w:rPr>
        <w:t> </w:t>
      </w:r>
      <w:r>
        <w:rPr/>
        <w:t>0.03–0.10);</w:t>
      </w:r>
      <w:r>
        <w:rPr>
          <w:spacing w:val="40"/>
        </w:rPr>
        <w:t> </w:t>
      </w:r>
      <w:r>
        <w:rPr/>
        <w:t>normal</w:t>
      </w:r>
      <w:r>
        <w:rPr>
          <w:spacing w:val="40"/>
        </w:rPr>
        <w:t> </w:t>
      </w:r>
      <w:r>
        <w:rPr/>
        <w:t>levels</w:t>
      </w:r>
      <w:r>
        <w:rPr>
          <w:spacing w:val="40"/>
        </w:rPr>
        <w:t> </w:t>
      </w:r>
      <w:r>
        <w:rPr/>
        <w:t>of lactate</w:t>
      </w:r>
      <w:r>
        <w:rPr>
          <w:spacing w:val="40"/>
        </w:rPr>
        <w:t> </w:t>
      </w:r>
      <w:r>
        <w:rPr/>
        <w:t>(1.93</w:t>
      </w:r>
      <w:r>
        <w:rPr>
          <w:spacing w:val="-9"/>
        </w:rPr>
        <w:t> </w:t>
      </w:r>
      <w:r>
        <w:rPr/>
        <w:t>mmol/L;</w:t>
      </w:r>
      <w:r>
        <w:rPr>
          <w:spacing w:val="40"/>
        </w:rPr>
        <w:t> </w:t>
      </w:r>
      <w:r>
        <w:rPr>
          <w:rFonts w:ascii="Times New Roman" w:hAnsi="Times New Roman"/>
          <w:i/>
        </w:rPr>
        <w:t>n</w:t>
      </w:r>
      <w:r>
        <w:rPr>
          <w:rFonts w:ascii="Times New Roman" w:hAnsi="Times New Roman"/>
          <w:i/>
          <w:spacing w:val="-11"/>
        </w:rPr>
        <w:t> </w:t>
      </w:r>
      <w:r>
        <w:rPr/>
        <w:t>=</w:t>
      </w:r>
      <w:r>
        <w:rPr>
          <w:spacing w:val="-9"/>
        </w:rPr>
        <w:t> </w:t>
      </w:r>
      <w:r>
        <w:rPr/>
        <w:t>0.5–2.2</w:t>
      </w:r>
      <w:r>
        <w:rPr>
          <w:spacing w:val="-9"/>
        </w:rPr>
        <w:t> </w:t>
      </w:r>
      <w:r>
        <w:rPr/>
        <w:t>mmol/L)</w:t>
      </w:r>
      <w:r>
        <w:rPr>
          <w:spacing w:val="40"/>
        </w:rPr>
        <w:t> </w:t>
      </w:r>
      <w:r>
        <w:rPr/>
        <w:t>and lactate:pyruvate ratio (6.65; </w:t>
      </w:r>
      <w:r>
        <w:rPr>
          <w:rFonts w:ascii="Times New Roman" w:hAnsi="Times New Roman"/>
          <w:i/>
        </w:rPr>
        <w:t>n</w:t>
      </w:r>
      <w:r>
        <w:rPr>
          <w:rFonts w:ascii="Times New Roman" w:hAnsi="Times New Roman"/>
          <w:i/>
          <w:spacing w:val="-13"/>
        </w:rPr>
        <w:t> </w:t>
      </w:r>
      <w:r>
        <w:rPr/>
        <w:t>&lt;</w:t>
      </w:r>
      <w:r>
        <w:rPr>
          <w:spacing w:val="-12"/>
        </w:rPr>
        <w:t> </w:t>
      </w:r>
      <w:r>
        <w:rPr/>
        <w:t>25). Cerebrospinal ﬂuid (CSF) protein was 1</w:t>
      </w:r>
      <w:r>
        <w:rPr>
          <w:spacing w:val="-12"/>
        </w:rPr>
        <w:t> </w:t>
      </w:r>
      <w:r>
        <w:rPr/>
        <w:t>g/L. Negative anti-ganglio- </w:t>
      </w:r>
      <w:r>
        <w:rPr>
          <w:spacing w:val="-2"/>
        </w:rPr>
        <w:t>side</w:t>
      </w:r>
      <w:r>
        <w:rPr>
          <w:spacing w:val="-4"/>
        </w:rPr>
        <w:t> </w:t>
      </w:r>
      <w:r>
        <w:rPr>
          <w:spacing w:val="-2"/>
        </w:rPr>
        <w:t>and</w:t>
      </w:r>
      <w:r>
        <w:rPr>
          <w:spacing w:val="-5"/>
        </w:rPr>
        <w:t> </w:t>
      </w:r>
      <w:r>
        <w:rPr>
          <w:spacing w:val="-2"/>
        </w:rPr>
        <w:t>anti-neuronal</w:t>
      </w:r>
      <w:r>
        <w:rPr>
          <w:spacing w:val="-5"/>
        </w:rPr>
        <w:t> </w:t>
      </w:r>
      <w:r>
        <w:rPr>
          <w:spacing w:val="-2"/>
        </w:rPr>
        <w:t>antibodies,</w:t>
      </w:r>
      <w:r>
        <w:rPr>
          <w:spacing w:val="-4"/>
        </w:rPr>
        <w:t> </w:t>
      </w:r>
      <w:r>
        <w:rPr>
          <w:spacing w:val="-2"/>
        </w:rPr>
        <w:t>normal</w:t>
      </w:r>
      <w:r>
        <w:rPr>
          <w:spacing w:val="-5"/>
        </w:rPr>
        <w:t> </w:t>
      </w:r>
      <w:r>
        <w:rPr>
          <w:spacing w:val="-2"/>
        </w:rPr>
        <w:t>immunolog- </w:t>
      </w:r>
      <w:r>
        <w:rPr/>
        <w:t>ic study and absence of toxic contact, excluded other possible etiologies of sensory neuronopathy. Fundo- scopic and cardiac evaluations as well as brain magnetic resonance imaging (MRI) and audiometry </w:t>
      </w:r>
      <w:r>
        <w:rPr>
          <w:spacing w:val="-2"/>
        </w:rPr>
        <w:t>were</w:t>
      </w:r>
      <w:r>
        <w:rPr>
          <w:spacing w:val="-4"/>
        </w:rPr>
        <w:t> </w:t>
      </w:r>
      <w:r>
        <w:rPr>
          <w:spacing w:val="-2"/>
        </w:rPr>
        <w:t>normal.</w:t>
      </w:r>
      <w:r>
        <w:rPr>
          <w:spacing w:val="-3"/>
        </w:rPr>
        <w:t> </w:t>
      </w:r>
      <w:r>
        <w:rPr>
          <w:spacing w:val="-2"/>
        </w:rPr>
        <w:t>Electromyography</w:t>
      </w:r>
      <w:r>
        <w:rPr>
          <w:spacing w:val="-4"/>
        </w:rPr>
        <w:t> </w:t>
      </w:r>
      <w:r>
        <w:rPr>
          <w:spacing w:val="-2"/>
        </w:rPr>
        <w:t>was</w:t>
      </w:r>
      <w:r>
        <w:rPr>
          <w:spacing w:val="-4"/>
        </w:rPr>
        <w:t> </w:t>
      </w:r>
      <w:r>
        <w:rPr>
          <w:spacing w:val="-2"/>
        </w:rPr>
        <w:t>normal,</w:t>
      </w:r>
      <w:r>
        <w:rPr>
          <w:spacing w:val="-4"/>
        </w:rPr>
        <w:t> </w:t>
      </w:r>
      <w:r>
        <w:rPr>
          <w:spacing w:val="-2"/>
        </w:rPr>
        <w:t>including </w:t>
      </w:r>
      <w:r>
        <w:rPr/>
        <w:t>single-ﬁber orbicularis oculi jitter test and repetitive </w:t>
      </w:r>
      <w:bookmarkStart w:name="Discussion" w:id="5"/>
      <w:bookmarkEnd w:id="5"/>
      <w:r>
        <w:rPr/>
        <w:t>motor</w:t>
      </w:r>
      <w:r>
        <w:rPr/>
        <w:t> nerve stimulation. Nerve conduction studies (NCS) showed normal motor response, but absence</w:t>
      </w:r>
      <w:r>
        <w:rPr>
          <w:spacing w:val="80"/>
        </w:rPr>
        <w:t> </w:t>
      </w:r>
      <w:bookmarkStart w:name="Acknowledgements" w:id="6"/>
      <w:bookmarkEnd w:id="6"/>
      <w:r>
        <w:rPr/>
        <w:t>of</w:t>
      </w:r>
      <w:r>
        <w:rPr>
          <w:spacing w:val="-3"/>
        </w:rPr>
        <w:t> </w:t>
      </w:r>
      <w:r>
        <w:rPr/>
        <w:t>median,</w:t>
      </w:r>
      <w:r>
        <w:rPr>
          <w:spacing w:val="-4"/>
        </w:rPr>
        <w:t> </w:t>
      </w:r>
      <w:r>
        <w:rPr/>
        <w:t>ulnar</w:t>
      </w:r>
      <w:r>
        <w:rPr>
          <w:spacing w:val="-3"/>
        </w:rPr>
        <w:t> </w:t>
      </w:r>
      <w:r>
        <w:rPr/>
        <w:t>and</w:t>
      </w:r>
      <w:r>
        <w:rPr>
          <w:spacing w:val="-3"/>
        </w:rPr>
        <w:t> </w:t>
      </w:r>
      <w:r>
        <w:rPr/>
        <w:t>superﬁcial</w:t>
      </w:r>
      <w:r>
        <w:rPr>
          <w:spacing w:val="-4"/>
        </w:rPr>
        <w:t> </w:t>
      </w:r>
      <w:r>
        <w:rPr/>
        <w:t>peroneal</w:t>
      </w:r>
      <w:r>
        <w:rPr>
          <w:spacing w:val="-4"/>
        </w:rPr>
        <w:t> </w:t>
      </w:r>
      <w:r>
        <w:rPr/>
        <w:t>nerve</w:t>
      </w:r>
      <w:r>
        <w:rPr>
          <w:spacing w:val="-3"/>
        </w:rPr>
        <w:t> </w:t>
      </w:r>
      <w:r>
        <w:rPr/>
        <w:t>action </w:t>
      </w:r>
      <w:r>
        <w:rPr>
          <w:spacing w:val="-2"/>
        </w:rPr>
        <w:t>potentials.</w:t>
      </w:r>
    </w:p>
    <w:p>
      <w:pPr>
        <w:pStyle w:val="BodyText"/>
        <w:spacing w:line="252" w:lineRule="auto" w:before="2"/>
        <w:ind w:left="304" w:right="38" w:firstLine="239"/>
        <w:jc w:val="both"/>
      </w:pPr>
      <w:r>
        <w:rPr/>
        <w:t>A</w:t>
      </w:r>
      <w:r>
        <w:rPr>
          <w:spacing w:val="-10"/>
        </w:rPr>
        <w:t> </w:t>
      </w:r>
      <w:r>
        <w:rPr/>
        <w:t>superﬁcial</w:t>
      </w:r>
      <w:r>
        <w:rPr>
          <w:spacing w:val="-11"/>
        </w:rPr>
        <w:t> </w:t>
      </w:r>
      <w:r>
        <w:rPr/>
        <w:t>peroneal</w:t>
      </w:r>
      <w:r>
        <w:rPr>
          <w:spacing w:val="-11"/>
        </w:rPr>
        <w:t> </w:t>
      </w:r>
      <w:r>
        <w:rPr/>
        <w:t>nerve</w:t>
      </w:r>
      <w:r>
        <w:rPr>
          <w:spacing w:val="-10"/>
        </w:rPr>
        <w:t> </w:t>
      </w:r>
      <w:r>
        <w:rPr/>
        <w:t>biopsy</w:t>
      </w:r>
      <w:r>
        <w:rPr>
          <w:spacing w:val="-10"/>
        </w:rPr>
        <w:t> </w:t>
      </w:r>
      <w:r>
        <w:rPr/>
        <w:t>(</w:t>
      </w:r>
      <w:hyperlink w:history="true" w:anchor="_bookmark4">
        <w:r>
          <w:rPr>
            <w:color w:val="000066"/>
          </w:rPr>
          <w:t>Fig.</w:t>
        </w:r>
        <w:r>
          <w:rPr>
            <w:color w:val="000066"/>
            <w:spacing w:val="-11"/>
          </w:rPr>
          <w:t> </w:t>
        </w:r>
        <w:r>
          <w:rPr>
            <w:color w:val="000066"/>
          </w:rPr>
          <w:t>1</w:t>
        </w:r>
      </w:hyperlink>
      <w:r>
        <w:rPr/>
        <w:t>a)</w:t>
      </w:r>
      <w:r>
        <w:rPr>
          <w:spacing w:val="-10"/>
        </w:rPr>
        <w:t> </w:t>
      </w:r>
      <w:r>
        <w:rPr/>
        <w:t>showed marked loss of large myelinated ﬁbers, without bulbs, regenerative</w:t>
      </w:r>
      <w:r>
        <w:rPr>
          <w:spacing w:val="-13"/>
        </w:rPr>
        <w:t> </w:t>
      </w:r>
      <w:r>
        <w:rPr/>
        <w:t>clusters</w:t>
      </w:r>
      <w:r>
        <w:rPr>
          <w:spacing w:val="-12"/>
        </w:rPr>
        <w:t> </w:t>
      </w:r>
      <w:r>
        <w:rPr/>
        <w:t>or</w:t>
      </w:r>
      <w:r>
        <w:rPr>
          <w:spacing w:val="-12"/>
        </w:rPr>
        <w:t> </w:t>
      </w:r>
      <w:r>
        <w:rPr/>
        <w:t>active</w:t>
      </w:r>
      <w:r>
        <w:rPr>
          <w:spacing w:val="-12"/>
        </w:rPr>
        <w:t> </w:t>
      </w:r>
      <w:r>
        <w:rPr/>
        <w:t>Wallerian</w:t>
      </w:r>
      <w:r>
        <w:rPr>
          <w:spacing w:val="-12"/>
        </w:rPr>
        <w:t> </w:t>
      </w:r>
      <w:r>
        <w:rPr/>
        <w:t>degeneration. </w:t>
      </w:r>
      <w:r>
        <w:rPr>
          <w:spacing w:val="-4"/>
        </w:rPr>
        <w:t>Biopsies of the short lateral peroneal and deltoid muscle </w:t>
      </w:r>
      <w:r>
        <w:rPr>
          <w:spacing w:val="-2"/>
        </w:rPr>
        <w:t>showed</w:t>
      </w:r>
      <w:r>
        <w:rPr>
          <w:spacing w:val="-9"/>
        </w:rPr>
        <w:t> </w:t>
      </w:r>
      <w:r>
        <w:rPr>
          <w:spacing w:val="-2"/>
        </w:rPr>
        <w:t>roughly</w:t>
      </w:r>
      <w:r>
        <w:rPr>
          <w:spacing w:val="-8"/>
        </w:rPr>
        <w:t> </w:t>
      </w:r>
      <w:r>
        <w:rPr>
          <w:spacing w:val="-2"/>
        </w:rPr>
        <w:t>5%</w:t>
      </w:r>
      <w:r>
        <w:rPr>
          <w:spacing w:val="-8"/>
        </w:rPr>
        <w:t> </w:t>
      </w:r>
      <w:r>
        <w:rPr>
          <w:spacing w:val="-2"/>
        </w:rPr>
        <w:t>of</w:t>
      </w:r>
      <w:r>
        <w:rPr>
          <w:spacing w:val="-10"/>
        </w:rPr>
        <w:t> </w:t>
      </w:r>
      <w:r>
        <w:rPr>
          <w:spacing w:val="-2"/>
        </w:rPr>
        <w:t>red</w:t>
      </w:r>
      <w:r>
        <w:rPr>
          <w:spacing w:val="-7"/>
        </w:rPr>
        <w:t> </w:t>
      </w:r>
      <w:r>
        <w:rPr>
          <w:spacing w:val="-2"/>
        </w:rPr>
        <w:t>ragged</w:t>
      </w:r>
      <w:r>
        <w:rPr>
          <w:spacing w:val="-8"/>
        </w:rPr>
        <w:t> </w:t>
      </w:r>
      <w:r>
        <w:rPr>
          <w:spacing w:val="-2"/>
        </w:rPr>
        <w:t>ﬁbers</w:t>
      </w:r>
      <w:r>
        <w:rPr>
          <w:spacing w:val="-8"/>
        </w:rPr>
        <w:t> </w:t>
      </w:r>
      <w:r>
        <w:rPr>
          <w:spacing w:val="-2"/>
        </w:rPr>
        <w:t>on</w:t>
      </w:r>
      <w:r>
        <w:rPr>
          <w:spacing w:val="-9"/>
        </w:rPr>
        <w:t> </w:t>
      </w:r>
      <w:r>
        <w:rPr>
          <w:spacing w:val="-2"/>
        </w:rPr>
        <w:t>the</w:t>
      </w:r>
      <w:r>
        <w:rPr>
          <w:spacing w:val="-8"/>
        </w:rPr>
        <w:t> </w:t>
      </w:r>
      <w:r>
        <w:rPr>
          <w:spacing w:val="-2"/>
        </w:rPr>
        <w:t>modiﬁed </w:t>
      </w:r>
      <w:r>
        <w:rPr/>
        <w:t>Trichome staining (</w:t>
      </w:r>
      <w:hyperlink w:history="true" w:anchor="_bookmark4">
        <w:r>
          <w:rPr>
            <w:color w:val="000066"/>
          </w:rPr>
          <w:t>Fig. 1</w:t>
        </w:r>
      </w:hyperlink>
      <w:r>
        <w:rPr/>
        <w:t>b) most of which stained negative with cytochrome </w:t>
      </w:r>
      <w:r>
        <w:rPr>
          <w:rFonts w:ascii="Times New Roman" w:hAnsi="Times New Roman"/>
          <w:i/>
        </w:rPr>
        <w:t>c </w:t>
      </w:r>
      <w:r>
        <w:rPr/>
        <w:t>oxidase (COX) reaction (</w:t>
      </w:r>
      <w:hyperlink w:history="true" w:anchor="_bookmark4">
        <w:r>
          <w:rPr>
            <w:color w:val="000066"/>
          </w:rPr>
          <w:t>Fig. 1</w:t>
        </w:r>
      </w:hyperlink>
      <w:r>
        <w:rPr/>
        <w:t>c). Spectrophotometric analysis of respiratory chain enzyme complexes was also normal.</w:t>
      </w:r>
    </w:p>
    <w:p>
      <w:pPr>
        <w:pStyle w:val="BodyText"/>
        <w:spacing w:line="252" w:lineRule="auto" w:before="1"/>
        <w:ind w:left="304" w:right="38" w:firstLine="239"/>
        <w:jc w:val="both"/>
      </w:pPr>
      <w:r>
        <w:rPr/>
        <w:t>Southern blot analysis and long-range </w:t>
      </w:r>
      <w:r>
        <w:rPr/>
        <w:t>polymerase chain reaction showed multiple mtDNA deletions</w:t>
      </w:r>
      <w:r>
        <w:rPr>
          <w:spacing w:val="40"/>
        </w:rPr>
        <w:t> </w:t>
      </w:r>
      <w:r>
        <w:rPr/>
        <w:t>(</w:t>
      </w:r>
      <w:hyperlink w:history="true" w:anchor="_bookmark4">
        <w:r>
          <w:rPr>
            <w:color w:val="000066"/>
          </w:rPr>
          <w:t>Fig. 1</w:t>
        </w:r>
      </w:hyperlink>
      <w:r>
        <w:rPr/>
        <w:t>d) in muscle. Direct sequencing of the coding exons of the </w:t>
      </w:r>
      <w:r>
        <w:rPr>
          <w:rFonts w:ascii="Times New Roman"/>
          <w:i/>
        </w:rPr>
        <w:t>POLG1 </w:t>
      </w:r>
      <w:r>
        <w:rPr/>
        <w:t>gene showed that the patient harboured two heterozygous mutations, p.P648R and p.R807C</w:t>
      </w:r>
      <w:r>
        <w:rPr>
          <w:spacing w:val="-12"/>
        </w:rPr>
        <w:t> </w:t>
      </w:r>
      <w:r>
        <w:rPr/>
        <w:t>in</w:t>
      </w:r>
      <w:r>
        <w:rPr>
          <w:spacing w:val="-12"/>
        </w:rPr>
        <w:t> </w:t>
      </w:r>
      <w:r>
        <w:rPr/>
        <w:t>a</w:t>
      </w:r>
      <w:r>
        <w:rPr>
          <w:spacing w:val="-12"/>
        </w:rPr>
        <w:t> </w:t>
      </w:r>
      <w:r>
        <w:rPr/>
        <w:t>conserved</w:t>
      </w:r>
      <w:r>
        <w:rPr>
          <w:spacing w:val="-11"/>
        </w:rPr>
        <w:t> </w:t>
      </w:r>
      <w:r>
        <w:rPr/>
        <w:t>region</w:t>
      </w:r>
      <w:r>
        <w:rPr>
          <w:spacing w:val="-12"/>
        </w:rPr>
        <w:t> </w:t>
      </w:r>
      <w:r>
        <w:rPr/>
        <w:t>of</w:t>
      </w:r>
      <w:r>
        <w:rPr>
          <w:spacing w:val="-12"/>
        </w:rPr>
        <w:t> </w:t>
      </w:r>
      <w:r>
        <w:rPr/>
        <w:t>this</w:t>
      </w:r>
      <w:r>
        <w:rPr>
          <w:spacing w:val="-12"/>
        </w:rPr>
        <w:t> </w:t>
      </w:r>
      <w:r>
        <w:rPr/>
        <w:t>gene.</w:t>
      </w:r>
      <w:r>
        <w:rPr>
          <w:spacing w:val="-12"/>
        </w:rPr>
        <w:t> </w:t>
      </w:r>
      <w:r>
        <w:rPr/>
        <w:t>The</w:t>
      </w:r>
      <w:r>
        <w:rPr>
          <w:spacing w:val="-12"/>
        </w:rPr>
        <w:t> </w:t>
      </w:r>
      <w:r>
        <w:rPr/>
        <w:t>coding sequences of </w:t>
      </w:r>
      <w:r>
        <w:rPr>
          <w:rFonts w:ascii="Times New Roman"/>
          <w:i/>
        </w:rPr>
        <w:t>C10orf2 </w:t>
      </w:r>
      <w:r>
        <w:rPr/>
        <w:t>and </w:t>
      </w:r>
      <w:r>
        <w:rPr>
          <w:rFonts w:ascii="Times New Roman"/>
          <w:i/>
        </w:rPr>
        <w:t>ANT1 </w:t>
      </w:r>
      <w:r>
        <w:rPr/>
        <w:t>were normal.</w:t>
      </w:r>
    </w:p>
    <w:p>
      <w:pPr>
        <w:pStyle w:val="BodyText"/>
        <w:spacing w:line="252" w:lineRule="auto"/>
        <w:ind w:left="304" w:right="38" w:firstLine="239"/>
        <w:jc w:val="both"/>
      </w:pPr>
      <w:r>
        <w:rPr>
          <w:spacing w:val="-2"/>
        </w:rPr>
        <w:t>Our</w:t>
      </w:r>
      <w:r>
        <w:rPr>
          <w:spacing w:val="-10"/>
        </w:rPr>
        <w:t> </w:t>
      </w:r>
      <w:r>
        <w:rPr>
          <w:spacing w:val="-2"/>
        </w:rPr>
        <w:t>patient</w:t>
      </w:r>
      <w:r>
        <w:rPr>
          <w:spacing w:val="-10"/>
        </w:rPr>
        <w:t> </w:t>
      </w:r>
      <w:r>
        <w:rPr>
          <w:spacing w:val="-2"/>
        </w:rPr>
        <w:t>was</w:t>
      </w:r>
      <w:r>
        <w:rPr>
          <w:spacing w:val="-9"/>
        </w:rPr>
        <w:t> </w:t>
      </w:r>
      <w:r>
        <w:rPr>
          <w:spacing w:val="-2"/>
        </w:rPr>
        <w:t>treated</w:t>
      </w:r>
      <w:r>
        <w:rPr>
          <w:spacing w:val="-10"/>
        </w:rPr>
        <w:t> </w:t>
      </w:r>
      <w:r>
        <w:rPr>
          <w:spacing w:val="-2"/>
        </w:rPr>
        <w:t>with</w:t>
      </w:r>
      <w:r>
        <w:rPr>
          <w:spacing w:val="-10"/>
        </w:rPr>
        <w:t> </w:t>
      </w:r>
      <w:r>
        <w:rPr>
          <w:spacing w:val="-2"/>
        </w:rPr>
        <w:t>levocarnitine</w:t>
      </w:r>
      <w:r>
        <w:rPr>
          <w:spacing w:val="-10"/>
        </w:rPr>
        <w:t> </w:t>
      </w:r>
      <w:r>
        <w:rPr>
          <w:spacing w:val="-2"/>
        </w:rPr>
        <w:t>1</w:t>
      </w:r>
      <w:r>
        <w:rPr>
          <w:spacing w:val="-11"/>
        </w:rPr>
        <w:t> </w:t>
      </w:r>
      <w:r>
        <w:rPr>
          <w:spacing w:val="-2"/>
        </w:rPr>
        <w:t>g</w:t>
      </w:r>
      <w:r>
        <w:rPr>
          <w:spacing w:val="-9"/>
        </w:rPr>
        <w:t> </w:t>
      </w:r>
      <w:r>
        <w:rPr>
          <w:spacing w:val="-2"/>
        </w:rPr>
        <w:t>tid</w:t>
      </w:r>
      <w:r>
        <w:rPr>
          <w:spacing w:val="-9"/>
        </w:rPr>
        <w:t> </w:t>
      </w:r>
      <w:r>
        <w:rPr>
          <w:spacing w:val="-2"/>
        </w:rPr>
        <w:t>and </w:t>
      </w:r>
      <w:r>
        <w:rPr/>
        <w:t>coenzyme</w:t>
      </w:r>
      <w:r>
        <w:rPr>
          <w:spacing w:val="-13"/>
        </w:rPr>
        <w:t> </w:t>
      </w:r>
      <w:r>
        <w:rPr/>
        <w:t>Q10</w:t>
      </w:r>
      <w:r>
        <w:rPr>
          <w:spacing w:val="-8"/>
        </w:rPr>
        <w:t> </w:t>
      </w:r>
      <w:r>
        <w:rPr/>
        <w:t>(ubiquinone)</w:t>
      </w:r>
      <w:r>
        <w:rPr>
          <w:spacing w:val="-6"/>
        </w:rPr>
        <w:t> </w:t>
      </w:r>
      <w:r>
        <w:rPr/>
        <w:t>30</w:t>
      </w:r>
      <w:r>
        <w:rPr>
          <w:spacing w:val="-13"/>
        </w:rPr>
        <w:t> </w:t>
      </w:r>
      <w:r>
        <w:rPr/>
        <w:t>mg</w:t>
      </w:r>
      <w:r>
        <w:rPr>
          <w:spacing w:val="-6"/>
        </w:rPr>
        <w:t> </w:t>
      </w:r>
      <w:r>
        <w:rPr/>
        <w:t>tid</w:t>
      </w:r>
      <w:r>
        <w:rPr>
          <w:spacing w:val="-5"/>
        </w:rPr>
        <w:t> </w:t>
      </w:r>
      <w:r>
        <w:rPr/>
        <w:t>without</w:t>
      </w:r>
      <w:r>
        <w:rPr>
          <w:spacing w:val="-5"/>
        </w:rPr>
        <w:t> </w:t>
      </w:r>
      <w:r>
        <w:rPr/>
        <w:t>clinical </w:t>
      </w:r>
      <w:r>
        <w:rPr>
          <w:spacing w:val="-2"/>
        </w:rPr>
        <w:t>improvement.</w:t>
      </w:r>
    </w:p>
    <w:p>
      <w:pPr>
        <w:pStyle w:val="BodyText"/>
        <w:spacing w:before="7"/>
      </w:pPr>
    </w:p>
    <w:p>
      <w:pPr>
        <w:pStyle w:val="ListParagraph"/>
        <w:numPr>
          <w:ilvl w:val="0"/>
          <w:numId w:val="1"/>
        </w:numPr>
        <w:tabs>
          <w:tab w:pos="524" w:val="left" w:leader="none"/>
        </w:tabs>
        <w:spacing w:line="240" w:lineRule="auto" w:before="0" w:after="0"/>
        <w:ind w:left="524" w:right="0" w:hanging="220"/>
        <w:jc w:val="left"/>
        <w:rPr>
          <w:rFonts w:ascii="Times New Roman"/>
          <w:sz w:val="20"/>
        </w:rPr>
      </w:pPr>
      <w:r>
        <w:rPr>
          <w:rFonts w:ascii="Times New Roman"/>
          <w:spacing w:val="-2"/>
          <w:sz w:val="20"/>
        </w:rPr>
        <w:t>Discussion</w:t>
      </w:r>
    </w:p>
    <w:p>
      <w:pPr>
        <w:pStyle w:val="BodyText"/>
        <w:spacing w:before="22"/>
        <w:rPr>
          <w:rFonts w:ascii="Times New Roman"/>
        </w:rPr>
      </w:pPr>
    </w:p>
    <w:p>
      <w:pPr>
        <w:pStyle w:val="BodyText"/>
        <w:spacing w:line="252" w:lineRule="auto"/>
        <w:ind w:left="304" w:right="38" w:firstLine="239"/>
        <w:jc w:val="both"/>
      </w:pPr>
      <w:r>
        <w:rPr/>
        <w:t>The clinical phenotype in our patient fulﬁlls </w:t>
      </w:r>
      <w:r>
        <w:rPr/>
        <w:t>the clinical triad of SANDO which occurred most likely in the absence of a family history. Previous reports suggests</w:t>
      </w:r>
      <w:r>
        <w:rPr>
          <w:spacing w:val="-13"/>
        </w:rPr>
        <w:t> </w:t>
      </w:r>
      <w:r>
        <w:rPr/>
        <w:t>that</w:t>
      </w:r>
      <w:r>
        <w:rPr>
          <w:spacing w:val="-11"/>
        </w:rPr>
        <w:t> </w:t>
      </w:r>
      <w:r>
        <w:rPr/>
        <w:t>SANDO</w:t>
      </w:r>
      <w:r>
        <w:rPr>
          <w:spacing w:val="-13"/>
        </w:rPr>
        <w:t> </w:t>
      </w:r>
      <w:r>
        <w:rPr/>
        <w:t>is</w:t>
      </w:r>
      <w:r>
        <w:rPr>
          <w:spacing w:val="-11"/>
        </w:rPr>
        <w:t> </w:t>
      </w:r>
      <w:r>
        <w:rPr/>
        <w:t>either</w:t>
      </w:r>
      <w:r>
        <w:rPr>
          <w:spacing w:val="-11"/>
        </w:rPr>
        <w:t> </w:t>
      </w:r>
      <w:r>
        <w:rPr/>
        <w:t>sporadic</w:t>
      </w:r>
      <w:r>
        <w:rPr>
          <w:spacing w:val="-12"/>
        </w:rPr>
        <w:t> </w:t>
      </w:r>
      <w:hyperlink w:history="true" w:anchor="_bookmark1">
        <w:r>
          <w:rPr>
            <w:color w:val="000066"/>
          </w:rPr>
          <w:t>[1]</w:t>
        </w:r>
      </w:hyperlink>
      <w:r>
        <w:rPr>
          <w:color w:val="000066"/>
          <w:spacing w:val="-12"/>
        </w:rPr>
        <w:t> </w:t>
      </w:r>
      <w:r>
        <w:rPr/>
        <w:t>or</w:t>
      </w:r>
      <w:r>
        <w:rPr>
          <w:spacing w:val="-12"/>
        </w:rPr>
        <w:t> </w:t>
      </w:r>
      <w:r>
        <w:rPr/>
        <w:t>inherited as</w:t>
      </w:r>
      <w:r>
        <w:rPr>
          <w:spacing w:val="37"/>
        </w:rPr>
        <w:t> </w:t>
      </w:r>
      <w:r>
        <w:rPr/>
        <w:t>an</w:t>
      </w:r>
      <w:r>
        <w:rPr>
          <w:spacing w:val="37"/>
        </w:rPr>
        <w:t> </w:t>
      </w:r>
      <w:r>
        <w:rPr/>
        <w:t>autosomal</w:t>
      </w:r>
      <w:r>
        <w:rPr>
          <w:spacing w:val="36"/>
        </w:rPr>
        <w:t> </w:t>
      </w:r>
      <w:r>
        <w:rPr/>
        <w:t>recessive</w:t>
      </w:r>
      <w:r>
        <w:rPr>
          <w:spacing w:val="37"/>
        </w:rPr>
        <w:t> </w:t>
      </w:r>
      <w:hyperlink w:history="true" w:anchor="_bookmark1">
        <w:r>
          <w:rPr>
            <w:color w:val="000066"/>
          </w:rPr>
          <w:t>[2]</w:t>
        </w:r>
      </w:hyperlink>
      <w:r>
        <w:rPr>
          <w:color w:val="000066"/>
          <w:spacing w:val="37"/>
        </w:rPr>
        <w:t> </w:t>
      </w:r>
      <w:r>
        <w:rPr/>
        <w:t>or</w:t>
      </w:r>
      <w:r>
        <w:rPr>
          <w:spacing w:val="37"/>
        </w:rPr>
        <w:t> </w:t>
      </w:r>
      <w:r>
        <w:rPr/>
        <w:t>dominant</w:t>
      </w:r>
      <w:r>
        <w:rPr>
          <w:spacing w:val="38"/>
        </w:rPr>
        <w:t> </w:t>
      </w:r>
      <w:r>
        <w:rPr/>
        <w:t>trait</w:t>
      </w:r>
      <w:r>
        <w:rPr>
          <w:spacing w:val="37"/>
        </w:rPr>
        <w:t> </w:t>
      </w:r>
      <w:hyperlink w:history="true" w:anchor="_bookmark1">
        <w:r>
          <w:rPr>
            <w:color w:val="000066"/>
            <w:spacing w:val="-9"/>
          </w:rPr>
          <w:t>[5]</w:t>
        </w:r>
      </w:hyperlink>
      <w:r>
        <w:rPr>
          <w:spacing w:val="-9"/>
        </w:rPr>
        <w:t>.</w:t>
      </w:r>
    </w:p>
    <w:p>
      <w:pPr>
        <w:pStyle w:val="BodyText"/>
        <w:spacing w:line="252" w:lineRule="auto" w:before="72"/>
        <w:ind w:left="304" w:right="140"/>
        <w:jc w:val="both"/>
      </w:pPr>
      <w:r>
        <w:rPr/>
        <w:br w:type="column"/>
      </w:r>
      <w:r>
        <w:rPr/>
        <w:t>As the ﬁrst described patients with SANDO </w:t>
      </w:r>
      <w:hyperlink w:history="true" w:anchor="_bookmark1">
        <w:r>
          <w:rPr>
            <w:color w:val="000066"/>
          </w:rPr>
          <w:t>[1]</w:t>
        </w:r>
      </w:hyperlink>
      <w:r>
        <w:rPr/>
        <w:t>, </w:t>
      </w:r>
      <w:r>
        <w:rPr/>
        <w:t>NCS and nerve biopsy suggests a sensory ganglionopathy with presumed preferential involvement of the dorsal </w:t>
      </w:r>
      <w:r>
        <w:rPr>
          <w:spacing w:val="-4"/>
        </w:rPr>
        <w:t>root</w:t>
      </w:r>
      <w:r>
        <w:rPr>
          <w:spacing w:val="-6"/>
        </w:rPr>
        <w:t> </w:t>
      </w:r>
      <w:r>
        <w:rPr>
          <w:spacing w:val="-4"/>
        </w:rPr>
        <w:t>ganglia</w:t>
      </w:r>
      <w:r>
        <w:rPr>
          <w:spacing w:val="-5"/>
        </w:rPr>
        <w:t> </w:t>
      </w:r>
      <w:r>
        <w:rPr>
          <w:spacing w:val="-4"/>
        </w:rPr>
        <w:t>with axonal degeneration of</w:t>
      </w:r>
      <w:r>
        <w:rPr>
          <w:spacing w:val="-6"/>
        </w:rPr>
        <w:t> </w:t>
      </w:r>
      <w:r>
        <w:rPr>
          <w:spacing w:val="-4"/>
        </w:rPr>
        <w:t>the large-diam- </w:t>
      </w:r>
      <w:r>
        <w:rPr/>
        <w:t>eter sensory axons.</w:t>
      </w:r>
    </w:p>
    <w:p>
      <w:pPr>
        <w:pStyle w:val="BodyText"/>
        <w:spacing w:line="252" w:lineRule="auto" w:before="3"/>
        <w:ind w:left="304" w:right="140" w:firstLine="239"/>
        <w:jc w:val="both"/>
      </w:pPr>
      <w:r>
        <w:rPr/>
        <w:t>The identiﬁed mutations in POLG1 are </w:t>
      </w:r>
      <w:r>
        <w:rPr/>
        <w:t>new, occurred in highly conserved domains of the protein, were absent in ethnically matched 200 control chromosomes, and were associated with a typical mitochondrial phenotype in skeletal muscle. Interest- ingly, a p.R807P mutation has already been reported in three patients with PEO </w:t>
      </w:r>
      <w:hyperlink w:history="true" w:anchor="_bookmark1">
        <w:r>
          <w:rPr>
            <w:color w:val="000066"/>
          </w:rPr>
          <w:t>[6]</w:t>
        </w:r>
      </w:hyperlink>
      <w:r>
        <w:rPr/>
        <w:t>, one of whom also showed axonal sensorimotor polyneuropathy and dysphagia, but he did not completely satisfy a clinical diagnosis</w:t>
      </w:r>
      <w:r>
        <w:rPr>
          <w:spacing w:val="40"/>
        </w:rPr>
        <w:t> </w:t>
      </w:r>
      <w:r>
        <w:rPr/>
        <w:t>of</w:t>
      </w:r>
      <w:r>
        <w:rPr>
          <w:spacing w:val="40"/>
        </w:rPr>
        <w:t> </w:t>
      </w:r>
      <w:r>
        <w:rPr/>
        <w:t>SANDO.</w:t>
      </w:r>
    </w:p>
    <w:p>
      <w:pPr>
        <w:pStyle w:val="BodyText"/>
        <w:spacing w:line="252" w:lineRule="auto" w:before="6"/>
        <w:ind w:left="304" w:right="140" w:firstLine="239"/>
        <w:jc w:val="both"/>
      </w:pPr>
      <w:r>
        <w:rPr/>
        <w:t>The clinical outcome of mutations in POLG1 </w:t>
      </w:r>
      <w:r>
        <w:rPr/>
        <w:t>gene range from PEO, both in families with dominant or recessive inheritance </w:t>
      </w:r>
      <w:hyperlink w:history="true" w:anchor="_bookmark1">
        <w:r>
          <w:rPr>
            <w:color w:val="000066"/>
          </w:rPr>
          <w:t>[6]</w:t>
        </w:r>
      </w:hyperlink>
      <w:r>
        <w:rPr>
          <w:color w:val="000066"/>
        </w:rPr>
        <w:t> </w:t>
      </w:r>
      <w:r>
        <w:rPr/>
        <w:t>and sporadic cases </w:t>
      </w:r>
      <w:hyperlink w:history="true" w:anchor="_bookmark2">
        <w:r>
          <w:rPr>
            <w:color w:val="000066"/>
          </w:rPr>
          <w:t>[7]</w:t>
        </w:r>
      </w:hyperlink>
      <w:r>
        <w:rPr/>
        <w:t>, to </w:t>
      </w:r>
      <w:r>
        <w:rPr>
          <w:spacing w:val="-2"/>
        </w:rPr>
        <w:t>juvenile</w:t>
      </w:r>
      <w:r>
        <w:rPr>
          <w:spacing w:val="-6"/>
        </w:rPr>
        <w:t> </w:t>
      </w:r>
      <w:r>
        <w:rPr>
          <w:spacing w:val="-2"/>
        </w:rPr>
        <w:t>ataxic</w:t>
      </w:r>
      <w:r>
        <w:rPr>
          <w:spacing w:val="-6"/>
        </w:rPr>
        <w:t> </w:t>
      </w:r>
      <w:r>
        <w:rPr>
          <w:spacing w:val="-2"/>
        </w:rPr>
        <w:t>syndromes</w:t>
      </w:r>
      <w:r>
        <w:rPr>
          <w:spacing w:val="-5"/>
        </w:rPr>
        <w:t> </w:t>
      </w:r>
      <w:r>
        <w:rPr>
          <w:spacing w:val="-2"/>
        </w:rPr>
        <w:t>with</w:t>
      </w:r>
      <w:r>
        <w:rPr>
          <w:spacing w:val="-5"/>
        </w:rPr>
        <w:t> </w:t>
      </w:r>
      <w:r>
        <w:rPr>
          <w:spacing w:val="-2"/>
        </w:rPr>
        <w:t>epilepsy</w:t>
      </w:r>
      <w:r>
        <w:rPr>
          <w:spacing w:val="-5"/>
        </w:rPr>
        <w:t> </w:t>
      </w:r>
      <w:hyperlink w:history="true" w:anchor="_bookmark1">
        <w:r>
          <w:rPr>
            <w:color w:val="000066"/>
            <w:spacing w:val="-2"/>
          </w:rPr>
          <w:t>[4]</w:t>
        </w:r>
      </w:hyperlink>
      <w:r>
        <w:rPr>
          <w:spacing w:val="-2"/>
        </w:rPr>
        <w:t>,</w:t>
      </w:r>
      <w:r>
        <w:rPr>
          <w:spacing w:val="-5"/>
        </w:rPr>
        <w:t> </w:t>
      </w:r>
      <w:r>
        <w:rPr>
          <w:spacing w:val="-2"/>
        </w:rPr>
        <w:t>parkinson- </w:t>
      </w:r>
      <w:r>
        <w:rPr/>
        <w:t>ism </w:t>
      </w:r>
      <w:hyperlink w:history="true" w:anchor="_bookmark3">
        <w:r>
          <w:rPr>
            <w:color w:val="000066"/>
          </w:rPr>
          <w:t>[8]</w:t>
        </w:r>
      </w:hyperlink>
      <w:r>
        <w:rPr>
          <w:color w:val="000066"/>
        </w:rPr>
        <w:t> </w:t>
      </w:r>
      <w:r>
        <w:rPr/>
        <w:t>and infantile Alpers syndrome </w:t>
      </w:r>
      <w:hyperlink w:history="true" w:anchor="_bookmark5">
        <w:r>
          <w:rPr>
            <w:color w:val="000066"/>
          </w:rPr>
          <w:t>[9]</w:t>
        </w:r>
      </w:hyperlink>
      <w:r>
        <w:rPr/>
        <w:t>. Recently a mitochondrial</w:t>
      </w:r>
      <w:r>
        <w:rPr>
          <w:spacing w:val="-12"/>
        </w:rPr>
        <w:t> </w:t>
      </w:r>
      <w:r>
        <w:rPr/>
        <w:t>recessive</w:t>
      </w:r>
      <w:r>
        <w:rPr>
          <w:spacing w:val="-12"/>
        </w:rPr>
        <w:t> </w:t>
      </w:r>
      <w:r>
        <w:rPr/>
        <w:t>ataxia</w:t>
      </w:r>
      <w:r>
        <w:rPr>
          <w:spacing w:val="-12"/>
        </w:rPr>
        <w:t> </w:t>
      </w:r>
      <w:r>
        <w:rPr/>
        <w:t>syndrome</w:t>
      </w:r>
      <w:r>
        <w:rPr>
          <w:spacing w:val="-12"/>
        </w:rPr>
        <w:t> </w:t>
      </w:r>
      <w:r>
        <w:rPr/>
        <w:t>(MIRAS)</w:t>
      </w:r>
      <w:r>
        <w:rPr>
          <w:spacing w:val="-12"/>
        </w:rPr>
        <w:t> </w:t>
      </w:r>
      <w:r>
        <w:rPr/>
        <w:t>has been</w:t>
      </w:r>
      <w:r>
        <w:rPr>
          <w:spacing w:val="-3"/>
        </w:rPr>
        <w:t> </w:t>
      </w:r>
      <w:r>
        <w:rPr/>
        <w:t>described,</w:t>
      </w:r>
      <w:r>
        <w:rPr>
          <w:spacing w:val="-4"/>
        </w:rPr>
        <w:t> </w:t>
      </w:r>
      <w:r>
        <w:rPr/>
        <w:t>with</w:t>
      </w:r>
      <w:r>
        <w:rPr>
          <w:spacing w:val="-4"/>
        </w:rPr>
        <w:t> </w:t>
      </w:r>
      <w:r>
        <w:rPr/>
        <w:t>its</w:t>
      </w:r>
      <w:r>
        <w:rPr>
          <w:spacing w:val="-3"/>
        </w:rPr>
        <w:t> </w:t>
      </w:r>
      <w:r>
        <w:rPr/>
        <w:t>allele</w:t>
      </w:r>
      <w:r>
        <w:rPr>
          <w:spacing w:val="-4"/>
        </w:rPr>
        <w:t> </w:t>
      </w:r>
      <w:r>
        <w:rPr/>
        <w:t>(W748S+E1143G)</w:t>
      </w:r>
      <w:r>
        <w:rPr>
          <w:spacing w:val="-3"/>
        </w:rPr>
        <w:t> </w:t>
      </w:r>
      <w:r>
        <w:rPr/>
        <w:t>being the most common genetic cause of inherited ataxia in Finland </w:t>
      </w:r>
      <w:hyperlink w:history="true" w:anchor="_bookmark6">
        <w:r>
          <w:rPr>
            <w:color w:val="000066"/>
          </w:rPr>
          <w:t>[10]</w:t>
        </w:r>
      </w:hyperlink>
      <w:r>
        <w:rPr/>
        <w:t>. As in MIRAS, in our patient ataxia and peripheral ataxia neuropathy is present. However he lacks symptoms or signs of CNS degeneration such as cognitive</w:t>
      </w:r>
      <w:r>
        <w:rPr>
          <w:spacing w:val="-12"/>
        </w:rPr>
        <w:t> </w:t>
      </w:r>
      <w:r>
        <w:rPr/>
        <w:t>impairment,</w:t>
      </w:r>
      <w:r>
        <w:rPr>
          <w:spacing w:val="-12"/>
        </w:rPr>
        <w:t> </w:t>
      </w:r>
      <w:r>
        <w:rPr/>
        <w:t>nystagmus,</w:t>
      </w:r>
      <w:r>
        <w:rPr>
          <w:spacing w:val="-12"/>
        </w:rPr>
        <w:t> </w:t>
      </w:r>
      <w:r>
        <w:rPr/>
        <w:t>epileptic</w:t>
      </w:r>
      <w:r>
        <w:rPr>
          <w:spacing w:val="-12"/>
        </w:rPr>
        <w:t> </w:t>
      </w:r>
      <w:r>
        <w:rPr/>
        <w:t>seizures</w:t>
      </w:r>
      <w:r>
        <w:rPr>
          <w:spacing w:val="-12"/>
        </w:rPr>
        <w:t> </w:t>
      </w:r>
      <w:r>
        <w:rPr/>
        <w:t>or MRI abnormalities. There is also clear evidence of mitochondrial disease in muscle biopsy, and multiple mtDNA deletions in muscle DNA Southern blot </w:t>
      </w:r>
      <w:r>
        <w:rPr>
          <w:spacing w:val="-2"/>
        </w:rPr>
        <w:t>analysis.</w:t>
      </w:r>
    </w:p>
    <w:p>
      <w:pPr>
        <w:pStyle w:val="BodyText"/>
        <w:spacing w:line="252" w:lineRule="auto" w:before="8"/>
        <w:ind w:left="304" w:right="142" w:firstLine="239"/>
        <w:jc w:val="both"/>
      </w:pPr>
      <w:r>
        <w:rPr/>
        <w:t>Considering</w:t>
      </w:r>
      <w:r>
        <w:rPr>
          <w:spacing w:val="-13"/>
        </w:rPr>
        <w:t> </w:t>
      </w:r>
      <w:r>
        <w:rPr/>
        <w:t>the</w:t>
      </w:r>
      <w:r>
        <w:rPr>
          <w:spacing w:val="-12"/>
        </w:rPr>
        <w:t> </w:t>
      </w:r>
      <w:r>
        <w:rPr/>
        <w:t>broad</w:t>
      </w:r>
      <w:r>
        <w:rPr>
          <w:spacing w:val="-12"/>
        </w:rPr>
        <w:t> </w:t>
      </w:r>
      <w:r>
        <w:rPr/>
        <w:t>range</w:t>
      </w:r>
      <w:r>
        <w:rPr>
          <w:spacing w:val="-12"/>
        </w:rPr>
        <w:t> </w:t>
      </w:r>
      <w:r>
        <w:rPr/>
        <w:t>of</w:t>
      </w:r>
      <w:r>
        <w:rPr>
          <w:spacing w:val="-12"/>
        </w:rPr>
        <w:t> </w:t>
      </w:r>
      <w:r>
        <w:rPr/>
        <w:t>phenotypes,</w:t>
      </w:r>
      <w:r>
        <w:rPr>
          <w:spacing w:val="-12"/>
        </w:rPr>
        <w:t> </w:t>
      </w:r>
      <w:r>
        <w:rPr/>
        <w:t>it</w:t>
      </w:r>
      <w:r>
        <w:rPr>
          <w:spacing w:val="-12"/>
        </w:rPr>
        <w:t> </w:t>
      </w:r>
      <w:r>
        <w:rPr/>
        <w:t>seems that phenotype relates to the functional eﬀect of the combination of diﬀerent mutations in POLG1 gene, rather to one speciﬁc mutation. However, additional genetic and epigenetic factors must be further </w:t>
      </w:r>
      <w:r>
        <w:rPr>
          <w:spacing w:val="-2"/>
        </w:rPr>
        <w:t>investigated.</w:t>
      </w:r>
    </w:p>
    <w:p>
      <w:pPr>
        <w:pStyle w:val="BodyText"/>
      </w:pPr>
    </w:p>
    <w:p>
      <w:pPr>
        <w:pStyle w:val="BodyText"/>
        <w:spacing w:before="23"/>
      </w:pPr>
    </w:p>
    <w:p>
      <w:pPr>
        <w:pStyle w:val="BodyText"/>
        <w:ind w:left="304"/>
        <w:rPr>
          <w:rFonts w:ascii="Times New Roman"/>
        </w:rPr>
      </w:pPr>
      <w:r>
        <w:rPr>
          <w:rFonts w:ascii="Times New Roman"/>
          <w:spacing w:val="-2"/>
        </w:rPr>
        <w:t>Acknowledgements</w:t>
      </w:r>
    </w:p>
    <w:p>
      <w:pPr>
        <w:pStyle w:val="BodyText"/>
        <w:spacing w:before="20"/>
        <w:rPr>
          <w:rFonts w:ascii="Times New Roman"/>
        </w:rPr>
      </w:pPr>
    </w:p>
    <w:p>
      <w:pPr>
        <w:pStyle w:val="BodyText"/>
        <w:spacing w:line="252" w:lineRule="auto" w:before="1"/>
        <w:ind w:left="304" w:right="140" w:firstLine="239"/>
        <w:jc w:val="both"/>
      </w:pPr>
      <w:r>
        <w:rPr/>
        <w:t>The author thanks Dr. Carolina Garrett and Dr. Castro-Neves for article revision, and Dr. </w:t>
      </w:r>
      <w:r>
        <w:rPr/>
        <w:t>Fernando Silveira</w:t>
      </w:r>
      <w:r>
        <w:rPr>
          <w:spacing w:val="-6"/>
        </w:rPr>
        <w:t> </w:t>
      </w:r>
      <w:r>
        <w:rPr/>
        <w:t>for</w:t>
      </w:r>
      <w:r>
        <w:rPr>
          <w:spacing w:val="-4"/>
        </w:rPr>
        <w:t> </w:t>
      </w:r>
      <w:r>
        <w:rPr/>
        <w:t>his</w:t>
      </w:r>
      <w:r>
        <w:rPr>
          <w:spacing w:val="-5"/>
        </w:rPr>
        <w:t> </w:t>
      </w:r>
      <w:r>
        <w:rPr/>
        <w:t>contribution</w:t>
      </w:r>
      <w:r>
        <w:rPr>
          <w:spacing w:val="-6"/>
        </w:rPr>
        <w:t> </w:t>
      </w:r>
      <w:r>
        <w:rPr/>
        <w:t>on</w:t>
      </w:r>
      <w:r>
        <w:rPr>
          <w:spacing w:val="-5"/>
        </w:rPr>
        <w:t> </w:t>
      </w:r>
      <w:r>
        <w:rPr/>
        <w:t>neurophysiology</w:t>
      </w:r>
      <w:r>
        <w:rPr>
          <w:spacing w:val="-4"/>
        </w:rPr>
        <w:t> </w:t>
      </w:r>
      <w:r>
        <w:rPr/>
        <w:t>study.</w:t>
      </w:r>
    </w:p>
    <w:p>
      <w:pPr>
        <w:pStyle w:val="BodyText"/>
        <w:spacing w:after="0" w:line="252" w:lineRule="auto"/>
        <w:jc w:val="both"/>
        <w:sectPr>
          <w:type w:val="continuous"/>
          <w:pgSz w:w="11910" w:h="15880"/>
          <w:pgMar w:top="940" w:bottom="280" w:left="708" w:right="708"/>
          <w:cols w:num="2" w:equalWidth="0">
            <w:col w:w="5128" w:space="132"/>
            <w:col w:w="5234"/>
          </w:cols>
        </w:sectPr>
      </w:pPr>
    </w:p>
    <w:p>
      <w:pPr>
        <w:tabs>
          <w:tab w:pos="10185" w:val="right" w:leader="none"/>
        </w:tabs>
        <w:spacing w:before="49"/>
        <w:ind w:left="2992" w:right="0" w:firstLine="0"/>
        <w:jc w:val="left"/>
        <w:rPr>
          <w:sz w:val="16"/>
        </w:rPr>
      </w:pPr>
      <w:bookmarkStart w:name="References" w:id="7"/>
      <w:bookmarkEnd w:id="7"/>
      <w:r>
        <w:rPr/>
      </w:r>
      <w:bookmarkStart w:name="_bookmark1" w:id="8"/>
      <w:bookmarkEnd w:id="8"/>
      <w:r>
        <w:rPr/>
      </w:r>
      <w:bookmarkStart w:name="_bookmark2" w:id="9"/>
      <w:bookmarkEnd w:id="9"/>
      <w:r>
        <w:rPr/>
      </w:r>
      <w:bookmarkStart w:name="_bookmark3" w:id="10"/>
      <w:bookmarkEnd w:id="10"/>
      <w:r>
        <w:rPr/>
      </w:r>
      <w:r>
        <w:rPr>
          <w:rFonts w:ascii="Times New Roman" w:hAnsi="Times New Roman"/>
          <w:i/>
          <w:sz w:val="16"/>
        </w:rPr>
        <w:t>M.F.</w:t>
      </w:r>
      <w:r>
        <w:rPr>
          <w:rFonts w:ascii="Times New Roman" w:hAnsi="Times New Roman"/>
          <w:i/>
          <w:spacing w:val="21"/>
          <w:sz w:val="16"/>
        </w:rPr>
        <w:t> </w:t>
      </w:r>
      <w:r>
        <w:rPr>
          <w:rFonts w:ascii="Times New Roman" w:hAnsi="Times New Roman"/>
          <w:i/>
          <w:sz w:val="16"/>
        </w:rPr>
        <w:t>Gago</w:t>
      </w:r>
      <w:r>
        <w:rPr>
          <w:rFonts w:ascii="Times New Roman" w:hAnsi="Times New Roman"/>
          <w:i/>
          <w:spacing w:val="22"/>
          <w:sz w:val="16"/>
        </w:rPr>
        <w:t> </w:t>
      </w:r>
      <w:r>
        <w:rPr>
          <w:rFonts w:ascii="Times New Roman" w:hAnsi="Times New Roman"/>
          <w:i/>
          <w:sz w:val="16"/>
        </w:rPr>
        <w:t>et</w:t>
      </w:r>
      <w:r>
        <w:rPr>
          <w:rFonts w:ascii="Times New Roman" w:hAnsi="Times New Roman"/>
          <w:i/>
          <w:spacing w:val="23"/>
          <w:sz w:val="16"/>
        </w:rPr>
        <w:t> </w:t>
      </w:r>
      <w:r>
        <w:rPr>
          <w:rFonts w:ascii="Times New Roman" w:hAnsi="Times New Roman"/>
          <w:i/>
          <w:sz w:val="16"/>
        </w:rPr>
        <w:t>al.</w:t>
      </w:r>
      <w:r>
        <w:rPr>
          <w:rFonts w:ascii="Times New Roman" w:hAnsi="Times New Roman"/>
          <w:i/>
          <w:spacing w:val="20"/>
          <w:sz w:val="16"/>
        </w:rPr>
        <w:t> </w:t>
      </w:r>
      <w:r>
        <w:rPr>
          <w:rFonts w:ascii="Times New Roman" w:hAnsi="Times New Roman"/>
          <w:i/>
          <w:sz w:val="16"/>
        </w:rPr>
        <w:t>/</w:t>
      </w:r>
      <w:r>
        <w:rPr>
          <w:rFonts w:ascii="Times New Roman" w:hAnsi="Times New Roman"/>
          <w:i/>
          <w:spacing w:val="22"/>
          <w:sz w:val="16"/>
        </w:rPr>
        <w:t> </w:t>
      </w:r>
      <w:r>
        <w:rPr>
          <w:rFonts w:ascii="Times New Roman" w:hAnsi="Times New Roman"/>
          <w:i/>
          <w:sz w:val="16"/>
        </w:rPr>
        <w:t>Neuromuscular</w:t>
      </w:r>
      <w:r>
        <w:rPr>
          <w:rFonts w:ascii="Times New Roman" w:hAnsi="Times New Roman"/>
          <w:i/>
          <w:spacing w:val="21"/>
          <w:sz w:val="16"/>
        </w:rPr>
        <w:t> </w:t>
      </w:r>
      <w:r>
        <w:rPr>
          <w:rFonts w:ascii="Times New Roman" w:hAnsi="Times New Roman"/>
          <w:i/>
          <w:sz w:val="16"/>
        </w:rPr>
        <w:t>Disorders</w:t>
      </w:r>
      <w:r>
        <w:rPr>
          <w:rFonts w:ascii="Times New Roman" w:hAnsi="Times New Roman"/>
          <w:i/>
          <w:spacing w:val="23"/>
          <w:sz w:val="16"/>
        </w:rPr>
        <w:t> </w:t>
      </w:r>
      <w:r>
        <w:rPr>
          <w:rFonts w:ascii="Times New Roman" w:hAnsi="Times New Roman"/>
          <w:i/>
          <w:sz w:val="16"/>
        </w:rPr>
        <w:t>16</w:t>
      </w:r>
      <w:r>
        <w:rPr>
          <w:rFonts w:ascii="Times New Roman" w:hAnsi="Times New Roman"/>
          <w:i/>
          <w:spacing w:val="21"/>
          <w:sz w:val="16"/>
        </w:rPr>
        <w:t> </w:t>
      </w:r>
      <w:r>
        <w:rPr>
          <w:rFonts w:ascii="Times New Roman" w:hAnsi="Times New Roman"/>
          <w:i/>
          <w:sz w:val="16"/>
        </w:rPr>
        <w:t>(2006)</w:t>
      </w:r>
      <w:r>
        <w:rPr>
          <w:rFonts w:ascii="Times New Roman" w:hAnsi="Times New Roman"/>
          <w:i/>
          <w:spacing w:val="22"/>
          <w:sz w:val="16"/>
        </w:rPr>
        <w:t> </w:t>
      </w:r>
      <w:r>
        <w:rPr>
          <w:rFonts w:ascii="Times New Roman" w:hAnsi="Times New Roman"/>
          <w:i/>
          <w:spacing w:val="-2"/>
          <w:sz w:val="16"/>
        </w:rPr>
        <w:t>507–509</w:t>
      </w:r>
      <w:r>
        <w:rPr>
          <w:rFonts w:ascii="Times New Roman" w:hAnsi="Times New Roman"/>
          <w:i/>
          <w:sz w:val="16"/>
        </w:rPr>
        <w:tab/>
      </w:r>
      <w:r>
        <w:rPr>
          <w:spacing w:val="-5"/>
          <w:sz w:val="16"/>
        </w:rPr>
        <w:t>509</w:t>
      </w:r>
    </w:p>
    <w:p>
      <w:pPr>
        <w:spacing w:after="0"/>
        <w:jc w:val="left"/>
        <w:rPr>
          <w:sz w:val="16"/>
        </w:rPr>
        <w:sectPr>
          <w:pgSz w:w="11910" w:h="15880"/>
          <w:pgMar w:top="860" w:bottom="280" w:left="708" w:right="708"/>
        </w:sectPr>
      </w:pPr>
    </w:p>
    <w:p>
      <w:pPr>
        <w:pStyle w:val="BodyText"/>
        <w:spacing w:before="67" w:after="1"/>
      </w:pPr>
    </w:p>
    <w:p>
      <w:pPr>
        <w:pStyle w:val="BodyText"/>
        <w:ind w:left="965"/>
      </w:pPr>
      <w:r>
        <w:rPr/>
        <w:drawing>
          <wp:inline distT="0" distB="0" distL="0" distR="0">
            <wp:extent cx="1992251" cy="7562088"/>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1992251" cy="7562088"/>
                    </a:xfrm>
                    <a:prstGeom prst="rect">
                      <a:avLst/>
                    </a:prstGeom>
                  </pic:spPr>
                </pic:pic>
              </a:graphicData>
            </a:graphic>
          </wp:inline>
        </w:drawing>
      </w:r>
      <w:r>
        <w:rPr/>
      </w:r>
    </w:p>
    <w:p>
      <w:pPr>
        <w:spacing w:line="261" w:lineRule="auto" w:before="157"/>
        <w:ind w:left="142" w:right="38" w:firstLine="0"/>
        <w:jc w:val="both"/>
        <w:rPr>
          <w:sz w:val="16"/>
        </w:rPr>
      </w:pPr>
      <w:bookmarkStart w:name="_bookmark4" w:id="11"/>
      <w:bookmarkEnd w:id="11"/>
      <w:r>
        <w:rPr/>
      </w:r>
      <w:bookmarkStart w:name="_bookmark5" w:id="12"/>
      <w:bookmarkEnd w:id="12"/>
      <w:r>
        <w:rPr/>
      </w:r>
      <w:bookmarkStart w:name="_bookmark6" w:id="13"/>
      <w:bookmarkEnd w:id="13"/>
      <w:r>
        <w:rPr/>
      </w:r>
      <w:r>
        <w:rPr>
          <w:spacing w:val="-2"/>
          <w:sz w:val="16"/>
        </w:rPr>
        <w:t>Fig.</w:t>
      </w:r>
      <w:r>
        <w:rPr>
          <w:spacing w:val="-8"/>
          <w:sz w:val="16"/>
        </w:rPr>
        <w:t> </w:t>
      </w:r>
      <w:r>
        <w:rPr>
          <w:spacing w:val="-2"/>
          <w:sz w:val="16"/>
        </w:rPr>
        <w:t>1.</w:t>
      </w:r>
      <w:r>
        <w:rPr>
          <w:spacing w:val="15"/>
          <w:sz w:val="16"/>
        </w:rPr>
        <w:t> </w:t>
      </w:r>
      <w:r>
        <w:rPr>
          <w:spacing w:val="-2"/>
          <w:sz w:val="16"/>
        </w:rPr>
        <w:t>Superﬁcial</w:t>
      </w:r>
      <w:r>
        <w:rPr>
          <w:spacing w:val="-8"/>
          <w:sz w:val="16"/>
        </w:rPr>
        <w:t> </w:t>
      </w:r>
      <w:r>
        <w:rPr>
          <w:spacing w:val="-2"/>
          <w:sz w:val="16"/>
        </w:rPr>
        <w:t>peroneal</w:t>
      </w:r>
      <w:r>
        <w:rPr>
          <w:spacing w:val="-8"/>
          <w:sz w:val="16"/>
        </w:rPr>
        <w:t> </w:t>
      </w:r>
      <w:r>
        <w:rPr>
          <w:spacing w:val="-2"/>
          <w:sz w:val="16"/>
        </w:rPr>
        <w:t>nerve</w:t>
      </w:r>
      <w:r>
        <w:rPr>
          <w:spacing w:val="-7"/>
          <w:sz w:val="16"/>
        </w:rPr>
        <w:t> </w:t>
      </w:r>
      <w:r>
        <w:rPr>
          <w:spacing w:val="-2"/>
          <w:sz w:val="16"/>
        </w:rPr>
        <w:t>biopsy</w:t>
      </w:r>
      <w:r>
        <w:rPr>
          <w:spacing w:val="-8"/>
          <w:sz w:val="16"/>
        </w:rPr>
        <w:t> </w:t>
      </w:r>
      <w:r>
        <w:rPr>
          <w:spacing w:val="-2"/>
          <w:sz w:val="16"/>
        </w:rPr>
        <w:t>(resin</w:t>
      </w:r>
      <w:r>
        <w:rPr>
          <w:spacing w:val="-8"/>
          <w:sz w:val="16"/>
        </w:rPr>
        <w:t> </w:t>
      </w:r>
      <w:r>
        <w:rPr>
          <w:spacing w:val="-2"/>
          <w:sz w:val="16"/>
        </w:rPr>
        <w:t>section,</w:t>
      </w:r>
      <w:r>
        <w:rPr>
          <w:spacing w:val="-7"/>
          <w:sz w:val="16"/>
        </w:rPr>
        <w:t> </w:t>
      </w:r>
      <w:r>
        <w:rPr>
          <w:spacing w:val="-2"/>
          <w:sz w:val="16"/>
        </w:rPr>
        <w:t>toluidine</w:t>
      </w:r>
      <w:r>
        <w:rPr>
          <w:spacing w:val="-8"/>
          <w:sz w:val="16"/>
        </w:rPr>
        <w:t> </w:t>
      </w:r>
      <w:r>
        <w:rPr>
          <w:spacing w:val="-2"/>
          <w:sz w:val="16"/>
        </w:rPr>
        <w:t>blue)</w:t>
      </w:r>
      <w:r>
        <w:rPr>
          <w:spacing w:val="40"/>
          <w:sz w:val="16"/>
        </w:rPr>
        <w:t> </w:t>
      </w:r>
      <w:r>
        <w:rPr>
          <w:sz w:val="16"/>
        </w:rPr>
        <w:t>showing severe chronic axonal neuropathy (a). Modiﬁed Gomori</w:t>
      </w:r>
      <w:r>
        <w:rPr>
          <w:spacing w:val="40"/>
          <w:sz w:val="16"/>
        </w:rPr>
        <w:t> </w:t>
      </w:r>
      <w:r>
        <w:rPr>
          <w:sz w:val="16"/>
        </w:rPr>
        <w:t>trichome showing two ragged-red ﬁbers (b). Cytochrome </w:t>
      </w:r>
      <w:r>
        <w:rPr>
          <w:rFonts w:ascii="Times New Roman" w:hAnsi="Times New Roman"/>
          <w:i/>
          <w:sz w:val="16"/>
        </w:rPr>
        <w:t>c </w:t>
      </w:r>
      <w:r>
        <w:rPr>
          <w:sz w:val="16"/>
        </w:rPr>
        <w:t>oxidase</w:t>
      </w:r>
      <w:r>
        <w:rPr>
          <w:spacing w:val="40"/>
          <w:sz w:val="16"/>
        </w:rPr>
        <w:t> </w:t>
      </w:r>
      <w:r>
        <w:rPr>
          <w:spacing w:val="-2"/>
          <w:sz w:val="16"/>
        </w:rPr>
        <w:t>reaction showing several negative ﬁbers (c). Southern blot analysis of</w:t>
      </w:r>
      <w:r>
        <w:rPr>
          <w:spacing w:val="40"/>
          <w:sz w:val="16"/>
        </w:rPr>
        <w:t> </w:t>
      </w:r>
      <w:r>
        <w:rPr>
          <w:sz w:val="16"/>
        </w:rPr>
        <w:t>mitochondrial DNA showing multiple deletions (d).</w:t>
      </w:r>
    </w:p>
    <w:p>
      <w:pPr>
        <w:spacing w:line="240" w:lineRule="auto" w:before="16"/>
        <w:rPr>
          <w:sz w:val="20"/>
        </w:rPr>
      </w:pPr>
      <w:r>
        <w:rPr/>
        <w:br w:type="column"/>
      </w:r>
      <w:r>
        <w:rPr>
          <w:sz w:val="20"/>
        </w:rPr>
      </w:r>
    </w:p>
    <w:p>
      <w:pPr>
        <w:pStyle w:val="BodyText"/>
        <w:ind w:left="142"/>
        <w:rPr>
          <w:rFonts w:ascii="Times New Roman"/>
        </w:rPr>
      </w:pPr>
      <w:r>
        <w:rPr>
          <w:rFonts w:ascii="Times New Roman"/>
          <w:spacing w:val="-2"/>
        </w:rPr>
        <w:t>References</w:t>
      </w:r>
    </w:p>
    <w:p>
      <w:pPr>
        <w:pStyle w:val="BodyText"/>
        <w:spacing w:before="18"/>
        <w:rPr>
          <w:rFonts w:ascii="Times New Roman"/>
        </w:rPr>
      </w:pPr>
    </w:p>
    <w:p>
      <w:pPr>
        <w:pStyle w:val="ListParagraph"/>
        <w:numPr>
          <w:ilvl w:val="0"/>
          <w:numId w:val="2"/>
        </w:numPr>
        <w:tabs>
          <w:tab w:pos="464" w:val="left" w:leader="none"/>
          <w:tab w:pos="466" w:val="left" w:leader="none"/>
        </w:tabs>
        <w:spacing w:line="261" w:lineRule="auto" w:before="1" w:after="0"/>
        <w:ind w:left="466" w:right="302" w:hanging="245"/>
        <w:jc w:val="both"/>
        <w:rPr>
          <w:sz w:val="16"/>
        </w:rPr>
      </w:pPr>
      <w:r>
        <w:rPr>
          <w:sz w:val="16"/>
        </w:rPr>
        <w:t>Fadic R, Russell JA, Vedanarayanan VV, Lehar M, Kuncl </w:t>
      </w:r>
      <w:r>
        <w:rPr>
          <w:sz w:val="16"/>
        </w:rPr>
        <w:t>RW,</w:t>
      </w:r>
      <w:r>
        <w:rPr>
          <w:spacing w:val="40"/>
          <w:sz w:val="16"/>
        </w:rPr>
        <w:t> </w:t>
      </w:r>
      <w:r>
        <w:rPr>
          <w:spacing w:val="-2"/>
          <w:sz w:val="16"/>
        </w:rPr>
        <w:t>Johns</w:t>
      </w:r>
      <w:r>
        <w:rPr>
          <w:spacing w:val="-8"/>
          <w:sz w:val="16"/>
        </w:rPr>
        <w:t> </w:t>
      </w:r>
      <w:r>
        <w:rPr>
          <w:spacing w:val="-2"/>
          <w:sz w:val="16"/>
        </w:rPr>
        <w:t>DR.</w:t>
      </w:r>
      <w:r>
        <w:rPr>
          <w:spacing w:val="-8"/>
          <w:sz w:val="16"/>
        </w:rPr>
        <w:t> </w:t>
      </w:r>
      <w:r>
        <w:rPr>
          <w:spacing w:val="-2"/>
          <w:sz w:val="16"/>
        </w:rPr>
        <w:t>Sensory</w:t>
      </w:r>
      <w:r>
        <w:rPr>
          <w:spacing w:val="-7"/>
          <w:sz w:val="16"/>
        </w:rPr>
        <w:t> </w:t>
      </w:r>
      <w:r>
        <w:rPr>
          <w:spacing w:val="-2"/>
          <w:sz w:val="16"/>
        </w:rPr>
        <w:t>ataxic</w:t>
      </w:r>
      <w:r>
        <w:rPr>
          <w:spacing w:val="-8"/>
          <w:sz w:val="16"/>
        </w:rPr>
        <w:t> </w:t>
      </w:r>
      <w:r>
        <w:rPr>
          <w:spacing w:val="-2"/>
          <w:sz w:val="16"/>
        </w:rPr>
        <w:t>neuropathy</w:t>
      </w:r>
      <w:r>
        <w:rPr>
          <w:spacing w:val="-8"/>
          <w:sz w:val="16"/>
        </w:rPr>
        <w:t> </w:t>
      </w:r>
      <w:r>
        <w:rPr>
          <w:spacing w:val="-2"/>
          <w:sz w:val="16"/>
        </w:rPr>
        <w:t>as</w:t>
      </w:r>
      <w:r>
        <w:rPr>
          <w:spacing w:val="-7"/>
          <w:sz w:val="16"/>
        </w:rPr>
        <w:t> </w:t>
      </w:r>
      <w:r>
        <w:rPr>
          <w:spacing w:val="-2"/>
          <w:sz w:val="16"/>
        </w:rPr>
        <w:t>the</w:t>
      </w:r>
      <w:r>
        <w:rPr>
          <w:spacing w:val="-8"/>
          <w:sz w:val="16"/>
        </w:rPr>
        <w:t> </w:t>
      </w:r>
      <w:r>
        <w:rPr>
          <w:spacing w:val="-2"/>
          <w:sz w:val="16"/>
        </w:rPr>
        <w:t>presenting</w:t>
      </w:r>
      <w:r>
        <w:rPr>
          <w:spacing w:val="-8"/>
          <w:sz w:val="16"/>
        </w:rPr>
        <w:t> </w:t>
      </w:r>
      <w:r>
        <w:rPr>
          <w:spacing w:val="-2"/>
          <w:sz w:val="16"/>
        </w:rPr>
        <w:t>feature</w:t>
      </w:r>
      <w:r>
        <w:rPr>
          <w:spacing w:val="-7"/>
          <w:sz w:val="16"/>
        </w:rPr>
        <w:t> </w:t>
      </w:r>
      <w:r>
        <w:rPr>
          <w:spacing w:val="-2"/>
          <w:sz w:val="16"/>
        </w:rPr>
        <w:t>of</w:t>
      </w:r>
      <w:r>
        <w:rPr>
          <w:spacing w:val="40"/>
          <w:sz w:val="16"/>
        </w:rPr>
        <w:t> </w:t>
      </w:r>
      <w:r>
        <w:rPr>
          <w:sz w:val="16"/>
        </w:rPr>
        <w:t>a</w:t>
      </w:r>
      <w:r>
        <w:rPr>
          <w:spacing w:val="-4"/>
          <w:sz w:val="16"/>
        </w:rPr>
        <w:t> </w:t>
      </w:r>
      <w:r>
        <w:rPr>
          <w:sz w:val="16"/>
        </w:rPr>
        <w:t>novel</w:t>
      </w:r>
      <w:r>
        <w:rPr>
          <w:spacing w:val="-5"/>
          <w:sz w:val="16"/>
        </w:rPr>
        <w:t> </w:t>
      </w:r>
      <w:r>
        <w:rPr>
          <w:sz w:val="16"/>
        </w:rPr>
        <w:t>mitochondrial</w:t>
      </w:r>
      <w:r>
        <w:rPr>
          <w:spacing w:val="-5"/>
          <w:sz w:val="16"/>
        </w:rPr>
        <w:t> </w:t>
      </w:r>
      <w:r>
        <w:rPr>
          <w:sz w:val="16"/>
        </w:rPr>
        <w:t>disease.</w:t>
      </w:r>
      <w:r>
        <w:rPr>
          <w:spacing w:val="-5"/>
          <w:sz w:val="16"/>
        </w:rPr>
        <w:t> </w:t>
      </w:r>
      <w:r>
        <w:rPr>
          <w:sz w:val="16"/>
        </w:rPr>
        <w:t>Neurology</w:t>
      </w:r>
      <w:r>
        <w:rPr>
          <w:spacing w:val="-4"/>
          <w:sz w:val="16"/>
        </w:rPr>
        <w:t> </w:t>
      </w:r>
      <w:r>
        <w:rPr>
          <w:sz w:val="16"/>
        </w:rPr>
        <w:t>1997;49(1):239–45.</w:t>
      </w:r>
    </w:p>
    <w:p>
      <w:pPr>
        <w:pStyle w:val="ListParagraph"/>
        <w:numPr>
          <w:ilvl w:val="0"/>
          <w:numId w:val="2"/>
        </w:numPr>
        <w:tabs>
          <w:tab w:pos="464" w:val="left" w:leader="none"/>
          <w:tab w:pos="466" w:val="left" w:leader="none"/>
        </w:tabs>
        <w:spacing w:line="264" w:lineRule="auto" w:before="3" w:after="0"/>
        <w:ind w:left="466" w:right="302" w:hanging="245"/>
        <w:jc w:val="both"/>
        <w:rPr>
          <w:sz w:val="16"/>
        </w:rPr>
      </w:pPr>
      <w:r>
        <w:rPr>
          <w:sz w:val="16"/>
        </w:rPr>
        <w:t>Van Goethem G, Martin JJ, Dermaut B, et</w:t>
      </w:r>
      <w:r>
        <w:rPr>
          <w:spacing w:val="25"/>
          <w:sz w:val="16"/>
        </w:rPr>
        <w:t> </w:t>
      </w:r>
      <w:r>
        <w:rPr>
          <w:sz w:val="16"/>
        </w:rPr>
        <w:t>al. Recessive </w:t>
      </w:r>
      <w:r>
        <w:rPr>
          <w:sz w:val="16"/>
        </w:rPr>
        <w:t>POLG</w:t>
      </w:r>
      <w:r>
        <w:rPr>
          <w:spacing w:val="40"/>
          <w:sz w:val="16"/>
        </w:rPr>
        <w:t> </w:t>
      </w:r>
      <w:r>
        <w:rPr>
          <w:sz w:val="16"/>
        </w:rPr>
        <w:t>mutations presenting with sensory and ataxic neuropathy in</w:t>
      </w:r>
      <w:r>
        <w:rPr>
          <w:spacing w:val="40"/>
          <w:sz w:val="16"/>
        </w:rPr>
        <w:t> </w:t>
      </w:r>
      <w:r>
        <w:rPr>
          <w:sz w:val="16"/>
        </w:rPr>
        <w:t>compound</w:t>
      </w:r>
      <w:r>
        <w:rPr>
          <w:spacing w:val="-10"/>
          <w:sz w:val="16"/>
        </w:rPr>
        <w:t> </w:t>
      </w:r>
      <w:r>
        <w:rPr>
          <w:sz w:val="16"/>
        </w:rPr>
        <w:t>heterozygote</w:t>
      </w:r>
      <w:r>
        <w:rPr>
          <w:spacing w:val="-10"/>
          <w:sz w:val="16"/>
        </w:rPr>
        <w:t> </w:t>
      </w:r>
      <w:r>
        <w:rPr>
          <w:sz w:val="16"/>
        </w:rPr>
        <w:t>patients</w:t>
      </w:r>
      <w:r>
        <w:rPr>
          <w:spacing w:val="-9"/>
          <w:sz w:val="16"/>
        </w:rPr>
        <w:t> </w:t>
      </w:r>
      <w:r>
        <w:rPr>
          <w:sz w:val="16"/>
        </w:rPr>
        <w:t>with</w:t>
      </w:r>
      <w:r>
        <w:rPr>
          <w:spacing w:val="-10"/>
          <w:sz w:val="16"/>
        </w:rPr>
        <w:t> </w:t>
      </w:r>
      <w:r>
        <w:rPr>
          <w:sz w:val="16"/>
        </w:rPr>
        <w:t>progressive</w:t>
      </w:r>
      <w:r>
        <w:rPr>
          <w:spacing w:val="-10"/>
          <w:sz w:val="16"/>
        </w:rPr>
        <w:t> </w:t>
      </w:r>
      <w:r>
        <w:rPr>
          <w:sz w:val="16"/>
        </w:rPr>
        <w:t>external</w:t>
      </w:r>
      <w:r>
        <w:rPr>
          <w:spacing w:val="-9"/>
          <w:sz w:val="16"/>
        </w:rPr>
        <w:t> </w:t>
      </w:r>
      <w:r>
        <w:rPr>
          <w:sz w:val="16"/>
        </w:rPr>
        <w:t>oph-</w:t>
      </w:r>
      <w:r>
        <w:rPr>
          <w:spacing w:val="40"/>
          <w:sz w:val="16"/>
        </w:rPr>
        <w:t> </w:t>
      </w:r>
      <w:r>
        <w:rPr>
          <w:spacing w:val="-2"/>
          <w:sz w:val="16"/>
        </w:rPr>
        <w:t>thalmoplegia. Neuromuscul Disord 2003;13(2):133–42.</w:t>
      </w:r>
    </w:p>
    <w:p>
      <w:pPr>
        <w:pStyle w:val="ListParagraph"/>
        <w:numPr>
          <w:ilvl w:val="0"/>
          <w:numId w:val="2"/>
        </w:numPr>
        <w:tabs>
          <w:tab w:pos="464" w:val="left" w:leader="none"/>
          <w:tab w:pos="466" w:val="left" w:leader="none"/>
        </w:tabs>
        <w:spacing w:line="261" w:lineRule="auto" w:before="0" w:after="0"/>
        <w:ind w:left="466" w:right="302" w:hanging="245"/>
        <w:jc w:val="both"/>
        <w:rPr>
          <w:sz w:val="16"/>
        </w:rPr>
      </w:pPr>
      <w:r>
        <w:rPr>
          <w:sz w:val="16"/>
        </w:rPr>
        <w:t>Van Goethem G, Luoma P, Rantamaki M, et al. </w:t>
      </w:r>
      <w:r>
        <w:rPr>
          <w:sz w:val="16"/>
        </w:rPr>
        <w:t>POLG</w:t>
      </w:r>
      <w:r>
        <w:rPr>
          <w:spacing w:val="40"/>
          <w:sz w:val="16"/>
        </w:rPr>
        <w:t> </w:t>
      </w:r>
      <w:r>
        <w:rPr>
          <w:sz w:val="16"/>
        </w:rPr>
        <w:t>mutations in neurodegenerative disorders with ataxia but no</w:t>
      </w:r>
      <w:r>
        <w:rPr>
          <w:spacing w:val="40"/>
          <w:sz w:val="16"/>
        </w:rPr>
        <w:t> </w:t>
      </w:r>
      <w:r>
        <w:rPr>
          <w:sz w:val="16"/>
        </w:rPr>
        <w:t>muscle</w:t>
      </w:r>
      <w:r>
        <w:rPr>
          <w:spacing w:val="-5"/>
          <w:sz w:val="16"/>
        </w:rPr>
        <w:t> </w:t>
      </w:r>
      <w:r>
        <w:rPr>
          <w:sz w:val="16"/>
        </w:rPr>
        <w:t>involvement.</w:t>
      </w:r>
      <w:r>
        <w:rPr>
          <w:spacing w:val="-4"/>
          <w:sz w:val="16"/>
        </w:rPr>
        <w:t> </w:t>
      </w:r>
      <w:r>
        <w:rPr>
          <w:sz w:val="16"/>
        </w:rPr>
        <w:t>Neurology</w:t>
      </w:r>
      <w:r>
        <w:rPr>
          <w:spacing w:val="-5"/>
          <w:sz w:val="16"/>
        </w:rPr>
        <w:t> </w:t>
      </w:r>
      <w:r>
        <w:rPr>
          <w:sz w:val="16"/>
        </w:rPr>
        <w:t>2004;63(7):1251–7.</w:t>
      </w:r>
    </w:p>
    <w:p>
      <w:pPr>
        <w:pStyle w:val="ListParagraph"/>
        <w:numPr>
          <w:ilvl w:val="0"/>
          <w:numId w:val="2"/>
        </w:numPr>
        <w:tabs>
          <w:tab w:pos="464" w:val="left" w:leader="none"/>
          <w:tab w:pos="466" w:val="left" w:leader="none"/>
        </w:tabs>
        <w:spacing w:line="264" w:lineRule="auto" w:before="0" w:after="0"/>
        <w:ind w:left="466" w:right="302" w:hanging="245"/>
        <w:jc w:val="both"/>
        <w:rPr>
          <w:sz w:val="16"/>
        </w:rPr>
      </w:pPr>
      <w:r>
        <w:rPr>
          <w:sz w:val="16"/>
        </w:rPr>
        <w:t>Winterthun S, Ferrari G, He L, et al. Autosomal recessive</w:t>
      </w:r>
      <w:r>
        <w:rPr>
          <w:spacing w:val="40"/>
          <w:sz w:val="16"/>
        </w:rPr>
        <w:t> </w:t>
      </w:r>
      <w:r>
        <w:rPr>
          <w:spacing w:val="-2"/>
          <w:sz w:val="16"/>
        </w:rPr>
        <w:t>mitochondrial</w:t>
      </w:r>
      <w:r>
        <w:rPr>
          <w:spacing w:val="-8"/>
          <w:sz w:val="16"/>
        </w:rPr>
        <w:t> </w:t>
      </w:r>
      <w:r>
        <w:rPr>
          <w:spacing w:val="-2"/>
          <w:sz w:val="16"/>
        </w:rPr>
        <w:t>ataxic</w:t>
      </w:r>
      <w:r>
        <w:rPr>
          <w:spacing w:val="-8"/>
          <w:sz w:val="16"/>
        </w:rPr>
        <w:t> </w:t>
      </w:r>
      <w:r>
        <w:rPr>
          <w:spacing w:val="-2"/>
          <w:sz w:val="16"/>
        </w:rPr>
        <w:t>syndrome</w:t>
      </w:r>
      <w:r>
        <w:rPr>
          <w:spacing w:val="-7"/>
          <w:sz w:val="16"/>
        </w:rPr>
        <w:t> </w:t>
      </w:r>
      <w:r>
        <w:rPr>
          <w:spacing w:val="-2"/>
          <w:sz w:val="16"/>
        </w:rPr>
        <w:t>due</w:t>
      </w:r>
      <w:r>
        <w:rPr>
          <w:spacing w:val="-8"/>
          <w:sz w:val="16"/>
        </w:rPr>
        <w:t> </w:t>
      </w:r>
      <w:r>
        <w:rPr>
          <w:spacing w:val="-2"/>
          <w:sz w:val="16"/>
        </w:rPr>
        <w:t>to</w:t>
      </w:r>
      <w:r>
        <w:rPr>
          <w:spacing w:val="-8"/>
          <w:sz w:val="16"/>
        </w:rPr>
        <w:t> </w:t>
      </w:r>
      <w:r>
        <w:rPr>
          <w:spacing w:val="-2"/>
          <w:sz w:val="16"/>
        </w:rPr>
        <w:t>mitochondrial</w:t>
      </w:r>
      <w:r>
        <w:rPr>
          <w:spacing w:val="-7"/>
          <w:sz w:val="16"/>
        </w:rPr>
        <w:t> </w:t>
      </w:r>
      <w:r>
        <w:rPr>
          <w:spacing w:val="-2"/>
          <w:sz w:val="16"/>
        </w:rPr>
        <w:t>polymerase</w:t>
      </w:r>
      <w:r>
        <w:rPr>
          <w:spacing w:val="40"/>
          <w:sz w:val="16"/>
        </w:rPr>
        <w:t> </w:t>
      </w:r>
      <w:r>
        <w:rPr>
          <w:spacing w:val="-2"/>
          <w:sz w:val="16"/>
        </w:rPr>
        <w:t>gamma mutations. Neurology 2005;64(7):1204–8.</w:t>
      </w:r>
    </w:p>
    <w:p>
      <w:pPr>
        <w:pStyle w:val="ListParagraph"/>
        <w:numPr>
          <w:ilvl w:val="0"/>
          <w:numId w:val="2"/>
        </w:numPr>
        <w:tabs>
          <w:tab w:pos="464" w:val="left" w:leader="none"/>
          <w:tab w:pos="466" w:val="left" w:leader="none"/>
        </w:tabs>
        <w:spacing w:line="264" w:lineRule="auto" w:before="0" w:after="0"/>
        <w:ind w:left="466" w:right="301" w:hanging="245"/>
        <w:jc w:val="both"/>
        <w:rPr>
          <w:sz w:val="16"/>
        </w:rPr>
      </w:pPr>
      <w:r>
        <w:rPr>
          <w:spacing w:val="-2"/>
          <w:sz w:val="16"/>
        </w:rPr>
        <w:t>Hudson</w:t>
      </w:r>
      <w:r>
        <w:rPr>
          <w:spacing w:val="-4"/>
          <w:sz w:val="16"/>
        </w:rPr>
        <w:t> </w:t>
      </w:r>
      <w:r>
        <w:rPr>
          <w:spacing w:val="-2"/>
          <w:sz w:val="16"/>
        </w:rPr>
        <w:t>G, Deschauer M,</w:t>
      </w:r>
      <w:r>
        <w:rPr>
          <w:spacing w:val="-4"/>
          <w:sz w:val="16"/>
        </w:rPr>
        <w:t> </w:t>
      </w:r>
      <w:r>
        <w:rPr>
          <w:spacing w:val="-2"/>
          <w:sz w:val="16"/>
        </w:rPr>
        <w:t>Busse</w:t>
      </w:r>
      <w:r>
        <w:rPr>
          <w:spacing w:val="-4"/>
          <w:sz w:val="16"/>
        </w:rPr>
        <w:t> </w:t>
      </w:r>
      <w:r>
        <w:rPr>
          <w:spacing w:val="-2"/>
          <w:sz w:val="16"/>
        </w:rPr>
        <w:t>K, Zierz</w:t>
      </w:r>
      <w:r>
        <w:rPr>
          <w:spacing w:val="-3"/>
          <w:sz w:val="16"/>
        </w:rPr>
        <w:t> </w:t>
      </w:r>
      <w:r>
        <w:rPr>
          <w:spacing w:val="-2"/>
          <w:sz w:val="16"/>
        </w:rPr>
        <w:t>S,</w:t>
      </w:r>
      <w:r>
        <w:rPr>
          <w:spacing w:val="-3"/>
          <w:sz w:val="16"/>
        </w:rPr>
        <w:t> </w:t>
      </w:r>
      <w:r>
        <w:rPr>
          <w:spacing w:val="-2"/>
          <w:sz w:val="16"/>
        </w:rPr>
        <w:t>Chinnery</w:t>
      </w:r>
      <w:r>
        <w:rPr>
          <w:spacing w:val="-4"/>
          <w:sz w:val="16"/>
        </w:rPr>
        <w:t> </w:t>
      </w:r>
      <w:r>
        <w:rPr>
          <w:spacing w:val="-2"/>
          <w:sz w:val="16"/>
        </w:rPr>
        <w:t>PF.</w:t>
      </w:r>
      <w:r>
        <w:rPr>
          <w:spacing w:val="-3"/>
          <w:sz w:val="16"/>
        </w:rPr>
        <w:t> </w:t>
      </w:r>
      <w:r>
        <w:rPr>
          <w:spacing w:val="-2"/>
          <w:sz w:val="16"/>
        </w:rPr>
        <w:t>Sensory</w:t>
      </w:r>
      <w:r>
        <w:rPr>
          <w:spacing w:val="40"/>
          <w:sz w:val="16"/>
        </w:rPr>
        <w:t> </w:t>
      </w:r>
      <w:r>
        <w:rPr>
          <w:sz w:val="16"/>
        </w:rPr>
        <w:t>ataxic neuropathy due to a novel C10Orf2 mutation with</w:t>
      </w:r>
      <w:r>
        <w:rPr>
          <w:spacing w:val="40"/>
          <w:sz w:val="16"/>
        </w:rPr>
        <w:t> </w:t>
      </w:r>
      <w:r>
        <w:rPr>
          <w:spacing w:val="-2"/>
          <w:sz w:val="16"/>
        </w:rPr>
        <w:t>probable germline mosaicism. Neurology 2005;64(2):371–3.</w:t>
      </w:r>
    </w:p>
    <w:p>
      <w:pPr>
        <w:pStyle w:val="ListParagraph"/>
        <w:numPr>
          <w:ilvl w:val="0"/>
          <w:numId w:val="2"/>
        </w:numPr>
        <w:tabs>
          <w:tab w:pos="464" w:val="left" w:leader="none"/>
          <w:tab w:pos="466" w:val="left" w:leader="none"/>
        </w:tabs>
        <w:spacing w:line="264" w:lineRule="auto" w:before="0" w:after="0"/>
        <w:ind w:left="466" w:right="301" w:hanging="245"/>
        <w:jc w:val="both"/>
        <w:rPr>
          <w:sz w:val="16"/>
        </w:rPr>
      </w:pPr>
      <w:r>
        <w:rPr>
          <w:sz w:val="16"/>
        </w:rPr>
        <w:t>Lamantea E, Tiranti V, Bordoni A, et al. Mutations of </w:t>
      </w:r>
      <w:r>
        <w:rPr>
          <w:sz w:val="16"/>
        </w:rPr>
        <w:t>mito-</w:t>
      </w:r>
      <w:r>
        <w:rPr>
          <w:spacing w:val="40"/>
          <w:sz w:val="16"/>
        </w:rPr>
        <w:t> </w:t>
      </w:r>
      <w:r>
        <w:rPr>
          <w:sz w:val="16"/>
        </w:rPr>
        <w:t>chondrial DNA polymerase gammaA are a frequent cause of</w:t>
      </w:r>
      <w:r>
        <w:rPr>
          <w:spacing w:val="40"/>
          <w:sz w:val="16"/>
        </w:rPr>
        <w:t> </w:t>
      </w:r>
      <w:r>
        <w:rPr>
          <w:sz w:val="16"/>
        </w:rPr>
        <w:t>autosomal</w:t>
      </w:r>
      <w:r>
        <w:rPr>
          <w:spacing w:val="-2"/>
          <w:sz w:val="16"/>
        </w:rPr>
        <w:t> </w:t>
      </w:r>
      <w:r>
        <w:rPr>
          <w:sz w:val="16"/>
        </w:rPr>
        <w:t>dominant</w:t>
      </w:r>
      <w:r>
        <w:rPr>
          <w:spacing w:val="-3"/>
          <w:sz w:val="16"/>
        </w:rPr>
        <w:t> </w:t>
      </w:r>
      <w:r>
        <w:rPr>
          <w:sz w:val="16"/>
        </w:rPr>
        <w:t>or</w:t>
      </w:r>
      <w:r>
        <w:rPr>
          <w:spacing w:val="-2"/>
          <w:sz w:val="16"/>
        </w:rPr>
        <w:t> </w:t>
      </w:r>
      <w:r>
        <w:rPr>
          <w:sz w:val="16"/>
        </w:rPr>
        <w:t>recessive</w:t>
      </w:r>
      <w:r>
        <w:rPr>
          <w:spacing w:val="-2"/>
          <w:sz w:val="16"/>
        </w:rPr>
        <w:t> </w:t>
      </w:r>
      <w:r>
        <w:rPr>
          <w:sz w:val="16"/>
        </w:rPr>
        <w:t>progressive</w:t>
      </w:r>
      <w:r>
        <w:rPr>
          <w:spacing w:val="-3"/>
          <w:sz w:val="16"/>
        </w:rPr>
        <w:t> </w:t>
      </w:r>
      <w:r>
        <w:rPr>
          <w:sz w:val="16"/>
        </w:rPr>
        <w:t>external</w:t>
      </w:r>
      <w:r>
        <w:rPr>
          <w:spacing w:val="-2"/>
          <w:sz w:val="16"/>
        </w:rPr>
        <w:t> </w:t>
      </w:r>
      <w:r>
        <w:rPr>
          <w:sz w:val="16"/>
        </w:rPr>
        <w:t>ophthal-</w:t>
      </w:r>
      <w:r>
        <w:rPr>
          <w:spacing w:val="40"/>
          <w:sz w:val="16"/>
        </w:rPr>
        <w:t> </w:t>
      </w:r>
      <w:r>
        <w:rPr>
          <w:sz w:val="16"/>
        </w:rPr>
        <w:t>moplegia. Ann Neurol 2002;52(2):211–9.</w:t>
      </w:r>
    </w:p>
    <w:p>
      <w:pPr>
        <w:pStyle w:val="ListParagraph"/>
        <w:numPr>
          <w:ilvl w:val="0"/>
          <w:numId w:val="2"/>
        </w:numPr>
        <w:tabs>
          <w:tab w:pos="464" w:val="left" w:leader="none"/>
          <w:tab w:pos="466" w:val="left" w:leader="none"/>
        </w:tabs>
        <w:spacing w:line="264" w:lineRule="auto" w:before="0" w:after="0"/>
        <w:ind w:left="466" w:right="302" w:hanging="245"/>
        <w:jc w:val="both"/>
        <w:rPr>
          <w:sz w:val="16"/>
        </w:rPr>
      </w:pPr>
      <w:r>
        <w:rPr>
          <w:sz w:val="16"/>
        </w:rPr>
        <w:t>Di Fonzo A, Bordoni A, Crimi M, et al. POLG mutations </w:t>
      </w:r>
      <w:r>
        <w:rPr>
          <w:sz w:val="16"/>
        </w:rPr>
        <w:t>in</w:t>
      </w:r>
      <w:r>
        <w:rPr>
          <w:spacing w:val="40"/>
          <w:sz w:val="16"/>
        </w:rPr>
        <w:t> </w:t>
      </w:r>
      <w:r>
        <w:rPr>
          <w:spacing w:val="-4"/>
          <w:sz w:val="16"/>
        </w:rPr>
        <w:t>sporadic mitochondrial disorders with multiple mtDNA deletions.</w:t>
      </w:r>
      <w:r>
        <w:rPr>
          <w:spacing w:val="40"/>
          <w:sz w:val="16"/>
        </w:rPr>
        <w:t> </w:t>
      </w:r>
      <w:r>
        <w:rPr>
          <w:sz w:val="16"/>
        </w:rPr>
        <w:t>Hum</w:t>
      </w:r>
      <w:r>
        <w:rPr>
          <w:spacing w:val="-6"/>
          <w:sz w:val="16"/>
        </w:rPr>
        <w:t> </w:t>
      </w:r>
      <w:r>
        <w:rPr>
          <w:sz w:val="16"/>
        </w:rPr>
        <w:t>Mutat</w:t>
      </w:r>
      <w:r>
        <w:rPr>
          <w:spacing w:val="-4"/>
          <w:sz w:val="16"/>
        </w:rPr>
        <w:t> </w:t>
      </w:r>
      <w:r>
        <w:rPr>
          <w:sz w:val="16"/>
        </w:rPr>
        <w:t>2003;22(6):498–9.</w:t>
      </w:r>
    </w:p>
    <w:p>
      <w:pPr>
        <w:pStyle w:val="ListParagraph"/>
        <w:numPr>
          <w:ilvl w:val="0"/>
          <w:numId w:val="2"/>
        </w:numPr>
        <w:tabs>
          <w:tab w:pos="464" w:val="left" w:leader="none"/>
          <w:tab w:pos="466" w:val="left" w:leader="none"/>
        </w:tabs>
        <w:spacing w:line="264" w:lineRule="auto" w:before="0" w:after="0"/>
        <w:ind w:left="466" w:right="301" w:hanging="245"/>
        <w:jc w:val="both"/>
        <w:rPr>
          <w:sz w:val="16"/>
        </w:rPr>
      </w:pPr>
      <w:r>
        <w:rPr>
          <w:sz w:val="16"/>
        </w:rPr>
        <w:t>Luoma</w:t>
      </w:r>
      <w:r>
        <w:rPr>
          <w:spacing w:val="-6"/>
          <w:sz w:val="16"/>
        </w:rPr>
        <w:t> </w:t>
      </w:r>
      <w:r>
        <w:rPr>
          <w:sz w:val="16"/>
        </w:rPr>
        <w:t>P,</w:t>
      </w:r>
      <w:r>
        <w:rPr>
          <w:spacing w:val="-6"/>
          <w:sz w:val="16"/>
        </w:rPr>
        <w:t> </w:t>
      </w:r>
      <w:r>
        <w:rPr>
          <w:sz w:val="16"/>
        </w:rPr>
        <w:t>Melberg</w:t>
      </w:r>
      <w:r>
        <w:rPr>
          <w:spacing w:val="-6"/>
          <w:sz w:val="16"/>
        </w:rPr>
        <w:t> </w:t>
      </w:r>
      <w:r>
        <w:rPr>
          <w:sz w:val="16"/>
        </w:rPr>
        <w:t>A,</w:t>
      </w:r>
      <w:r>
        <w:rPr>
          <w:spacing w:val="-6"/>
          <w:sz w:val="16"/>
        </w:rPr>
        <w:t> </w:t>
      </w:r>
      <w:r>
        <w:rPr>
          <w:sz w:val="16"/>
        </w:rPr>
        <w:t>Rinne</w:t>
      </w:r>
      <w:r>
        <w:rPr>
          <w:spacing w:val="-6"/>
          <w:sz w:val="16"/>
        </w:rPr>
        <w:t> </w:t>
      </w:r>
      <w:r>
        <w:rPr>
          <w:sz w:val="16"/>
        </w:rPr>
        <w:t>JO,</w:t>
      </w:r>
      <w:r>
        <w:rPr>
          <w:spacing w:val="-6"/>
          <w:sz w:val="16"/>
        </w:rPr>
        <w:t> </w:t>
      </w:r>
      <w:r>
        <w:rPr>
          <w:sz w:val="16"/>
        </w:rPr>
        <w:t>et</w:t>
      </w:r>
      <w:r>
        <w:rPr>
          <w:spacing w:val="12"/>
          <w:sz w:val="16"/>
        </w:rPr>
        <w:t> </w:t>
      </w:r>
      <w:r>
        <w:rPr>
          <w:sz w:val="16"/>
        </w:rPr>
        <w:t>al.</w:t>
      </w:r>
      <w:r>
        <w:rPr>
          <w:spacing w:val="-6"/>
          <w:sz w:val="16"/>
        </w:rPr>
        <w:t> </w:t>
      </w:r>
      <w:r>
        <w:rPr>
          <w:sz w:val="16"/>
        </w:rPr>
        <w:t>Parkinsonism,</w:t>
      </w:r>
      <w:r>
        <w:rPr>
          <w:spacing w:val="-6"/>
          <w:sz w:val="16"/>
        </w:rPr>
        <w:t> </w:t>
      </w:r>
      <w:r>
        <w:rPr>
          <w:sz w:val="16"/>
        </w:rPr>
        <w:t>premature</w:t>
      </w:r>
      <w:r>
        <w:rPr>
          <w:spacing w:val="40"/>
          <w:sz w:val="16"/>
        </w:rPr>
        <w:t> </w:t>
      </w:r>
      <w:r>
        <w:rPr>
          <w:sz w:val="16"/>
        </w:rPr>
        <w:t>menopause,</w:t>
      </w:r>
      <w:r>
        <w:rPr>
          <w:spacing w:val="-8"/>
          <w:sz w:val="16"/>
        </w:rPr>
        <w:t> </w:t>
      </w:r>
      <w:r>
        <w:rPr>
          <w:sz w:val="16"/>
        </w:rPr>
        <w:t>and</w:t>
      </w:r>
      <w:r>
        <w:rPr>
          <w:spacing w:val="-8"/>
          <w:sz w:val="16"/>
        </w:rPr>
        <w:t> </w:t>
      </w:r>
      <w:r>
        <w:rPr>
          <w:sz w:val="16"/>
        </w:rPr>
        <w:t>mitochondrial</w:t>
      </w:r>
      <w:r>
        <w:rPr>
          <w:spacing w:val="-8"/>
          <w:sz w:val="16"/>
        </w:rPr>
        <w:t> </w:t>
      </w:r>
      <w:r>
        <w:rPr>
          <w:sz w:val="16"/>
        </w:rPr>
        <w:t>DNA</w:t>
      </w:r>
      <w:r>
        <w:rPr>
          <w:spacing w:val="-8"/>
          <w:sz w:val="16"/>
        </w:rPr>
        <w:t> </w:t>
      </w:r>
      <w:r>
        <w:rPr>
          <w:sz w:val="16"/>
        </w:rPr>
        <w:t>polymerase</w:t>
      </w:r>
      <w:r>
        <w:rPr>
          <w:spacing w:val="-8"/>
          <w:sz w:val="16"/>
        </w:rPr>
        <w:t> </w:t>
      </w:r>
      <w:r>
        <w:rPr>
          <w:sz w:val="16"/>
        </w:rPr>
        <w:t>gamma</w:t>
      </w:r>
      <w:r>
        <w:rPr>
          <w:spacing w:val="-8"/>
          <w:sz w:val="16"/>
        </w:rPr>
        <w:t> </w:t>
      </w:r>
      <w:r>
        <w:rPr>
          <w:sz w:val="16"/>
        </w:rPr>
        <w:t>muta-</w:t>
      </w:r>
      <w:r>
        <w:rPr>
          <w:spacing w:val="40"/>
          <w:sz w:val="16"/>
        </w:rPr>
        <w:t> </w:t>
      </w:r>
      <w:r>
        <w:rPr>
          <w:sz w:val="16"/>
        </w:rPr>
        <w:t>tions: clinical and molecular genetic study. Lancet</w:t>
      </w:r>
      <w:r>
        <w:rPr>
          <w:spacing w:val="40"/>
          <w:sz w:val="16"/>
        </w:rPr>
        <w:t> </w:t>
      </w:r>
      <w:r>
        <w:rPr>
          <w:spacing w:val="-4"/>
          <w:sz w:val="16"/>
        </w:rPr>
        <w:t>2004;364(9437):875–82.</w:t>
      </w:r>
    </w:p>
    <w:p>
      <w:pPr>
        <w:pStyle w:val="ListParagraph"/>
        <w:numPr>
          <w:ilvl w:val="0"/>
          <w:numId w:val="2"/>
        </w:numPr>
        <w:tabs>
          <w:tab w:pos="464" w:val="left" w:leader="none"/>
          <w:tab w:pos="466" w:val="left" w:leader="none"/>
        </w:tabs>
        <w:spacing w:line="261" w:lineRule="auto" w:before="0" w:after="0"/>
        <w:ind w:left="466" w:right="302" w:hanging="245"/>
        <w:jc w:val="both"/>
        <w:rPr>
          <w:sz w:val="16"/>
        </w:rPr>
      </w:pPr>
      <w:r>
        <w:rPr>
          <w:sz w:val="16"/>
        </w:rPr>
        <w:t>Naviaux RK, Nguyen KV. POLG mutations associated </w:t>
      </w:r>
      <w:r>
        <w:rPr>
          <w:sz w:val="16"/>
        </w:rPr>
        <w:t>with</w:t>
      </w:r>
      <w:r>
        <w:rPr>
          <w:spacing w:val="40"/>
          <w:sz w:val="16"/>
        </w:rPr>
        <w:t> </w:t>
      </w:r>
      <w:r>
        <w:rPr>
          <w:sz w:val="16"/>
        </w:rPr>
        <w:t>Alpers’ syndrome and mitochondrial DNA depletion. Ann</w:t>
      </w:r>
      <w:r>
        <w:rPr>
          <w:spacing w:val="40"/>
          <w:sz w:val="16"/>
        </w:rPr>
        <w:t> </w:t>
      </w:r>
      <w:r>
        <w:rPr>
          <w:sz w:val="16"/>
        </w:rPr>
        <w:t>Neurol</w:t>
      </w:r>
      <w:r>
        <w:rPr>
          <w:spacing w:val="-5"/>
          <w:sz w:val="16"/>
        </w:rPr>
        <w:t> </w:t>
      </w:r>
      <w:r>
        <w:rPr>
          <w:sz w:val="16"/>
        </w:rPr>
        <w:t>2004;55(5):706–12.</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Hakonen AH, Heiskanen S, Juvonen V, et al. </w:t>
      </w:r>
      <w:r>
        <w:rPr>
          <w:sz w:val="16"/>
        </w:rPr>
        <w:t>Mitochondrial</w:t>
      </w:r>
      <w:r>
        <w:rPr>
          <w:spacing w:val="40"/>
          <w:sz w:val="16"/>
        </w:rPr>
        <w:t> </w:t>
      </w:r>
      <w:r>
        <w:rPr>
          <w:sz w:val="16"/>
        </w:rPr>
        <w:t>DNA</w:t>
      </w:r>
      <w:r>
        <w:rPr>
          <w:spacing w:val="-3"/>
          <w:sz w:val="16"/>
        </w:rPr>
        <w:t> </w:t>
      </w:r>
      <w:r>
        <w:rPr>
          <w:sz w:val="16"/>
        </w:rPr>
        <w:t>polymerase</w:t>
      </w:r>
      <w:r>
        <w:rPr>
          <w:spacing w:val="-4"/>
          <w:sz w:val="16"/>
        </w:rPr>
        <w:t> </w:t>
      </w:r>
      <w:r>
        <w:rPr>
          <w:sz w:val="16"/>
        </w:rPr>
        <w:t>W748S</w:t>
      </w:r>
      <w:r>
        <w:rPr>
          <w:spacing w:val="-3"/>
          <w:sz w:val="16"/>
        </w:rPr>
        <w:t> </w:t>
      </w:r>
      <w:r>
        <w:rPr>
          <w:sz w:val="16"/>
        </w:rPr>
        <w:t>mutation:</w:t>
      </w:r>
      <w:r>
        <w:rPr>
          <w:spacing w:val="-2"/>
          <w:sz w:val="16"/>
        </w:rPr>
        <w:t> </w:t>
      </w:r>
      <w:r>
        <w:rPr>
          <w:sz w:val="16"/>
        </w:rPr>
        <w:t>a</w:t>
      </w:r>
      <w:r>
        <w:rPr>
          <w:spacing w:val="-3"/>
          <w:sz w:val="16"/>
        </w:rPr>
        <w:t> </w:t>
      </w:r>
      <w:r>
        <w:rPr>
          <w:sz w:val="16"/>
        </w:rPr>
        <w:t>common</w:t>
      </w:r>
      <w:r>
        <w:rPr>
          <w:spacing w:val="-2"/>
          <w:sz w:val="16"/>
        </w:rPr>
        <w:t> </w:t>
      </w:r>
      <w:r>
        <w:rPr>
          <w:sz w:val="16"/>
        </w:rPr>
        <w:t>cause</w:t>
      </w:r>
      <w:r>
        <w:rPr>
          <w:spacing w:val="-3"/>
          <w:sz w:val="16"/>
        </w:rPr>
        <w:t> </w:t>
      </w:r>
      <w:r>
        <w:rPr>
          <w:sz w:val="16"/>
        </w:rPr>
        <w:t>of</w:t>
      </w:r>
      <w:r>
        <w:rPr>
          <w:spacing w:val="-3"/>
          <w:sz w:val="16"/>
        </w:rPr>
        <w:t> </w:t>
      </w:r>
      <w:r>
        <w:rPr>
          <w:sz w:val="16"/>
        </w:rPr>
        <w:t>autoso-</w:t>
      </w:r>
      <w:r>
        <w:rPr>
          <w:spacing w:val="40"/>
          <w:sz w:val="16"/>
        </w:rPr>
        <w:t> </w:t>
      </w:r>
      <w:r>
        <w:rPr>
          <w:sz w:val="16"/>
        </w:rPr>
        <w:t>mal recessive ataxia with ancient European origin. Am J Hum</w:t>
      </w:r>
      <w:r>
        <w:rPr>
          <w:spacing w:val="40"/>
          <w:sz w:val="16"/>
        </w:rPr>
        <w:t> </w:t>
      </w:r>
      <w:r>
        <w:rPr>
          <w:sz w:val="16"/>
        </w:rPr>
        <w:t>Genet</w:t>
      </w:r>
      <w:r>
        <w:rPr>
          <w:spacing w:val="-6"/>
          <w:sz w:val="16"/>
        </w:rPr>
        <w:t> </w:t>
      </w:r>
      <w:r>
        <w:rPr>
          <w:sz w:val="16"/>
        </w:rPr>
        <w:t>2005;77(3):430–41.</w:t>
      </w:r>
    </w:p>
    <w:sectPr>
      <w:type w:val="continuous"/>
      <w:pgSz w:w="11910" w:h="15880"/>
      <w:pgMar w:top="940" w:bottom="280" w:left="708" w:right="708"/>
      <w:cols w:num="2" w:equalWidth="0">
        <w:col w:w="4966" w:space="294"/>
        <w:col w:w="52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6" w:hanging="245"/>
        <w:jc w:val="right"/>
      </w:pPr>
      <w:rPr>
        <w:rFonts w:hint="default" w:ascii="Georgia" w:hAnsi="Georgia" w:eastAsia="Georgia" w:cs="Georgia"/>
        <w:b w:val="0"/>
        <w:bCs w:val="0"/>
        <w:i w:val="0"/>
        <w:iCs w:val="0"/>
        <w:spacing w:val="0"/>
        <w:w w:val="87"/>
        <w:sz w:val="16"/>
        <w:szCs w:val="16"/>
        <w:lang w:val="en-US" w:eastAsia="en-US" w:bidi="ar-SA"/>
      </w:rPr>
    </w:lvl>
    <w:lvl w:ilvl="1">
      <w:start w:val="0"/>
      <w:numFmt w:val="bullet"/>
      <w:lvlText w:val="•"/>
      <w:lvlJc w:val="left"/>
      <w:pPr>
        <w:ind w:left="936" w:hanging="245"/>
      </w:pPr>
      <w:rPr>
        <w:rFonts w:hint="default"/>
        <w:lang w:val="en-US" w:eastAsia="en-US" w:bidi="ar-SA"/>
      </w:rPr>
    </w:lvl>
    <w:lvl w:ilvl="2">
      <w:start w:val="0"/>
      <w:numFmt w:val="bullet"/>
      <w:lvlText w:val="•"/>
      <w:lvlJc w:val="left"/>
      <w:pPr>
        <w:ind w:left="1413" w:hanging="245"/>
      </w:pPr>
      <w:rPr>
        <w:rFonts w:hint="default"/>
        <w:lang w:val="en-US" w:eastAsia="en-US" w:bidi="ar-SA"/>
      </w:rPr>
    </w:lvl>
    <w:lvl w:ilvl="3">
      <w:start w:val="0"/>
      <w:numFmt w:val="bullet"/>
      <w:lvlText w:val="•"/>
      <w:lvlJc w:val="left"/>
      <w:pPr>
        <w:ind w:left="1890" w:hanging="245"/>
      </w:pPr>
      <w:rPr>
        <w:rFonts w:hint="default"/>
        <w:lang w:val="en-US" w:eastAsia="en-US" w:bidi="ar-SA"/>
      </w:rPr>
    </w:lvl>
    <w:lvl w:ilvl="4">
      <w:start w:val="0"/>
      <w:numFmt w:val="bullet"/>
      <w:lvlText w:val="•"/>
      <w:lvlJc w:val="left"/>
      <w:pPr>
        <w:ind w:left="2367" w:hanging="245"/>
      </w:pPr>
      <w:rPr>
        <w:rFonts w:hint="default"/>
        <w:lang w:val="en-US" w:eastAsia="en-US" w:bidi="ar-SA"/>
      </w:rPr>
    </w:lvl>
    <w:lvl w:ilvl="5">
      <w:start w:val="0"/>
      <w:numFmt w:val="bullet"/>
      <w:lvlText w:val="•"/>
      <w:lvlJc w:val="left"/>
      <w:pPr>
        <w:ind w:left="2844" w:hanging="245"/>
      </w:pPr>
      <w:rPr>
        <w:rFonts w:hint="default"/>
        <w:lang w:val="en-US" w:eastAsia="en-US" w:bidi="ar-SA"/>
      </w:rPr>
    </w:lvl>
    <w:lvl w:ilvl="6">
      <w:start w:val="0"/>
      <w:numFmt w:val="bullet"/>
      <w:lvlText w:val="•"/>
      <w:lvlJc w:val="left"/>
      <w:pPr>
        <w:ind w:left="3321" w:hanging="245"/>
      </w:pPr>
      <w:rPr>
        <w:rFonts w:hint="default"/>
        <w:lang w:val="en-US" w:eastAsia="en-US" w:bidi="ar-SA"/>
      </w:rPr>
    </w:lvl>
    <w:lvl w:ilvl="7">
      <w:start w:val="0"/>
      <w:numFmt w:val="bullet"/>
      <w:lvlText w:val="•"/>
      <w:lvlJc w:val="left"/>
      <w:pPr>
        <w:ind w:left="3798" w:hanging="245"/>
      </w:pPr>
      <w:rPr>
        <w:rFonts w:hint="default"/>
        <w:lang w:val="en-US" w:eastAsia="en-US" w:bidi="ar-SA"/>
      </w:rPr>
    </w:lvl>
    <w:lvl w:ilvl="8">
      <w:start w:val="0"/>
      <w:numFmt w:val="bullet"/>
      <w:lvlText w:val="•"/>
      <w:lvlJc w:val="left"/>
      <w:pPr>
        <w:ind w:left="4275" w:hanging="245"/>
      </w:pPr>
      <w:rPr>
        <w:rFonts w:hint="default"/>
        <w:lang w:val="en-US" w:eastAsia="en-US" w:bidi="ar-SA"/>
      </w:rPr>
    </w:lvl>
  </w:abstractNum>
  <w:abstractNum w:abstractNumId="0">
    <w:multiLevelType w:val="hybridMultilevel"/>
    <w:lvl w:ilvl="0">
      <w:start w:val="1"/>
      <w:numFmt w:val="decimal"/>
      <w:lvlText w:val="%1."/>
      <w:lvlJc w:val="left"/>
      <w:pPr>
        <w:ind w:left="362" w:hanging="220"/>
        <w:jc w:val="righ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820" w:hanging="220"/>
      </w:pPr>
      <w:rPr>
        <w:rFonts w:hint="default"/>
        <w:lang w:val="en-US" w:eastAsia="en-US" w:bidi="ar-SA"/>
      </w:rPr>
    </w:lvl>
    <w:lvl w:ilvl="2">
      <w:start w:val="0"/>
      <w:numFmt w:val="bullet"/>
      <w:lvlText w:val="•"/>
      <w:lvlJc w:val="left"/>
      <w:pPr>
        <w:ind w:left="1280" w:hanging="220"/>
      </w:pPr>
      <w:rPr>
        <w:rFonts w:hint="default"/>
        <w:lang w:val="en-US" w:eastAsia="en-US" w:bidi="ar-SA"/>
      </w:rPr>
    </w:lvl>
    <w:lvl w:ilvl="3">
      <w:start w:val="0"/>
      <w:numFmt w:val="bullet"/>
      <w:lvlText w:val="•"/>
      <w:lvlJc w:val="left"/>
      <w:pPr>
        <w:ind w:left="1741" w:hanging="220"/>
      </w:pPr>
      <w:rPr>
        <w:rFonts w:hint="default"/>
        <w:lang w:val="en-US" w:eastAsia="en-US" w:bidi="ar-SA"/>
      </w:rPr>
    </w:lvl>
    <w:lvl w:ilvl="4">
      <w:start w:val="0"/>
      <w:numFmt w:val="bullet"/>
      <w:lvlText w:val="•"/>
      <w:lvlJc w:val="left"/>
      <w:pPr>
        <w:ind w:left="2201" w:hanging="220"/>
      </w:pPr>
      <w:rPr>
        <w:rFonts w:hint="default"/>
        <w:lang w:val="en-US" w:eastAsia="en-US" w:bidi="ar-SA"/>
      </w:rPr>
    </w:lvl>
    <w:lvl w:ilvl="5">
      <w:start w:val="0"/>
      <w:numFmt w:val="bullet"/>
      <w:lvlText w:val="•"/>
      <w:lvlJc w:val="left"/>
      <w:pPr>
        <w:ind w:left="2662" w:hanging="220"/>
      </w:pPr>
      <w:rPr>
        <w:rFonts w:hint="default"/>
        <w:lang w:val="en-US" w:eastAsia="en-US" w:bidi="ar-SA"/>
      </w:rPr>
    </w:lvl>
    <w:lvl w:ilvl="6">
      <w:start w:val="0"/>
      <w:numFmt w:val="bullet"/>
      <w:lvlText w:val="•"/>
      <w:lvlJc w:val="left"/>
      <w:pPr>
        <w:ind w:left="3122" w:hanging="220"/>
      </w:pPr>
      <w:rPr>
        <w:rFonts w:hint="default"/>
        <w:lang w:val="en-US" w:eastAsia="en-US" w:bidi="ar-SA"/>
      </w:rPr>
    </w:lvl>
    <w:lvl w:ilvl="7">
      <w:start w:val="0"/>
      <w:numFmt w:val="bullet"/>
      <w:lvlText w:val="•"/>
      <w:lvlJc w:val="left"/>
      <w:pPr>
        <w:ind w:left="3583" w:hanging="220"/>
      </w:pPr>
      <w:rPr>
        <w:rFonts w:hint="default"/>
        <w:lang w:val="en-US" w:eastAsia="en-US" w:bidi="ar-SA"/>
      </w:rPr>
    </w:lvl>
    <w:lvl w:ilvl="8">
      <w:start w:val="0"/>
      <w:numFmt w:val="bullet"/>
      <w:lvlText w:val="•"/>
      <w:lvlJc w:val="left"/>
      <w:pPr>
        <w:ind w:left="4043" w:hanging="2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Title" w:type="paragraph">
    <w:name w:val="Title"/>
    <w:basedOn w:val="Normal"/>
    <w:uiPriority w:val="1"/>
    <w:qFormat/>
    <w:pPr>
      <w:spacing w:before="182"/>
      <w:ind w:left="623" w:right="784"/>
      <w:jc w:val="center"/>
    </w:pPr>
    <w:rPr>
      <w:rFonts w:ascii="Georgia" w:hAnsi="Georgia" w:eastAsia="Georgia" w:cs="Georgia"/>
      <w:sz w:val="34"/>
      <w:szCs w:val="34"/>
      <w:lang w:val="en-US" w:eastAsia="en-US" w:bidi="ar-SA"/>
    </w:rPr>
  </w:style>
  <w:style w:styleId="ListParagraph" w:type="paragraph">
    <w:name w:val="List Paragraph"/>
    <w:basedOn w:val="Normal"/>
    <w:uiPriority w:val="1"/>
    <w:qFormat/>
    <w:pPr>
      <w:ind w:left="466" w:right="302" w:hanging="245"/>
      <w:jc w:val="both"/>
    </w:pPr>
    <w:rPr>
      <w:rFonts w:ascii="Georgia" w:hAnsi="Georgia" w:eastAsia="Georgia" w:cs="Georgia"/>
      <w:lang w:val="en-US" w:eastAsia="en-US" w:bidi="ar-SA"/>
    </w:rPr>
  </w:style>
  <w:style w:styleId="TableParagraph" w:type="paragraph">
    <w:name w:val="Table Paragraph"/>
    <w:basedOn w:val="Normal"/>
    <w:uiPriority w:val="1"/>
    <w:qFormat/>
    <w:pPr>
      <w:ind w:left="28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elsevier.com/locate/nmd" TargetMode="External"/><Relationship Id="rId8" Type="http://schemas.openxmlformats.org/officeDocument/2006/relationships/hyperlink" Target="mailto:miguelfgago@yahoo.com" TargetMode="External"/><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doi:10.1016/j.nmd.2006.05.016</dc:title>
  <dcterms:created xsi:type="dcterms:W3CDTF">2025-07-04T18:32:18Z</dcterms:created>
  <dcterms:modified xsi:type="dcterms:W3CDTF">2025-07-04T18:32:18Z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2006-09-08T00:00:00Z</vt:filetime>
  </property>
  <property fmtid="{D5CDD505-2E9C-101B-9397-08002B2CF9AE}" pid="3" name="Creator">
    <vt:lpwstr>Elsevier</vt:lpwstr>
  </property>
  <property fmtid="{D5CDD505-2E9C-101B-9397-08002B2CF9AE}" pid="4" name="LastSaved">
    <vt:filetime>2025-07-04T00:00:00Z</vt:filetime>
  </property>
  <property fmtid="{D5CDD505-2E9C-101B-9397-08002B2CF9AE}" pid="5" name="Producer">
    <vt:lpwstr>Acrobat Distiller 7.0 (Windows)</vt:lpwstr>
  </property>
</Properties>
</file>