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80" w:lineRule="auto" w:before="60"/>
        <w:ind w:left="28" w:right="7609" w:firstLine="0"/>
        <w:jc w:val="left"/>
        <w:rPr>
          <w:sz w:val="17"/>
        </w:rPr>
      </w:pPr>
      <w:bookmarkStart w:name="POLG mutation presenting with late-onset" w:id="1"/>
      <w:bookmarkEnd w:id="1"/>
      <w:r>
        <w:rPr/>
      </w:r>
      <w:r>
        <w:rPr>
          <w:sz w:val="17"/>
        </w:rPr>
        <w:t>J Neurol (2013) 260:903–905 DOI</w:t>
      </w:r>
      <w:r>
        <w:rPr>
          <w:spacing w:val="-7"/>
          <w:sz w:val="17"/>
        </w:rPr>
        <w:t> </w:t>
      </w:r>
      <w:r>
        <w:rPr>
          <w:sz w:val="17"/>
        </w:rPr>
        <w:t>10.1007/s00415-012-6776-</w:t>
      </w:r>
      <w:r>
        <w:rPr>
          <w:sz w:val="17"/>
        </w:rPr>
        <w:t>z</w:t>
      </w:r>
    </w:p>
    <w:p>
      <w:pPr>
        <w:pStyle w:val="BodyText"/>
        <w:spacing w:before="2"/>
        <w:rPr>
          <w:sz w:val="6"/>
        </w:rPr>
      </w:pPr>
      <w:r>
        <w:rPr>
          <w:sz w:val="6"/>
        </w:rPr>
        <mc:AlternateContent>
          <mc:Choice Requires="wps">
            <w:drawing>
              <wp:anchor distT="0" distB="0" distL="0" distR="0" allowOverlap="1" layoutInCell="1" locked="0" behindDoc="1" simplePos="0" relativeHeight="487587840">
                <wp:simplePos x="0" y="0"/>
                <wp:positionH relativeFrom="page">
                  <wp:posOffset>648004</wp:posOffset>
                </wp:positionH>
                <wp:positionV relativeFrom="paragraph">
                  <wp:posOffset>60832</wp:posOffset>
                </wp:positionV>
                <wp:extent cx="6264275" cy="252095"/>
                <wp:effectExtent l="0" t="0" r="0" b="0"/>
                <wp:wrapTopAndBottom/>
                <wp:docPr id="1" name="Group 1"/>
                <wp:cNvGraphicFramePr>
                  <a:graphicFrameLocks/>
                </wp:cNvGraphicFramePr>
                <a:graphic>
                  <a:graphicData uri="http://schemas.microsoft.com/office/word/2010/wordprocessingGroup">
                    <wpg:wgp>
                      <wpg:cNvPr id="1" name="Group 1"/>
                      <wpg:cNvGrpSpPr/>
                      <wpg:grpSpPr>
                        <a:xfrm>
                          <a:off x="0" y="0"/>
                          <a:ext cx="6264275" cy="252095"/>
                          <a:chExt cx="6264275" cy="252095"/>
                        </a:xfrm>
                      </wpg:grpSpPr>
                      <wps:wsp>
                        <wps:cNvPr id="2" name="Textbox 2"/>
                        <wps:cNvSpPr txBox="1"/>
                        <wps:spPr>
                          <a:xfrm>
                            <a:off x="0" y="12236"/>
                            <a:ext cx="3024505" cy="240029"/>
                          </a:xfrm>
                          <a:prstGeom prst="rect">
                            <a:avLst/>
                          </a:prstGeom>
                          <a:solidFill>
                            <a:srgbClr val="B3B3B3"/>
                          </a:solidFill>
                        </wps:spPr>
                        <wps:txbx>
                          <w:txbxContent>
                            <w:p>
                              <w:pPr>
                                <w:spacing w:before="72"/>
                                <w:ind w:left="113" w:right="0" w:firstLine="0"/>
                                <w:jc w:val="left"/>
                                <w:rPr>
                                  <w:color w:val="000000"/>
                                  <w:sz w:val="19"/>
                                </w:rPr>
                              </w:pPr>
                              <w:r>
                                <w:rPr>
                                  <w:color w:val="000000"/>
                                  <w:spacing w:val="16"/>
                                  <w:sz w:val="19"/>
                                </w:rPr>
                                <w:t>LETTER</w:t>
                              </w:r>
                              <w:r>
                                <w:rPr>
                                  <w:color w:val="000000"/>
                                  <w:spacing w:val="33"/>
                                  <w:sz w:val="19"/>
                                </w:rPr>
                                <w:t> </w:t>
                              </w:r>
                              <w:r>
                                <w:rPr>
                                  <w:color w:val="000000"/>
                                  <w:spacing w:val="9"/>
                                  <w:sz w:val="19"/>
                                </w:rPr>
                                <w:t>TO</w:t>
                              </w:r>
                              <w:r>
                                <w:rPr>
                                  <w:color w:val="000000"/>
                                  <w:spacing w:val="33"/>
                                  <w:sz w:val="19"/>
                                </w:rPr>
                                <w:t> </w:t>
                              </w:r>
                              <w:r>
                                <w:rPr>
                                  <w:color w:val="000000"/>
                                  <w:spacing w:val="12"/>
                                  <w:sz w:val="19"/>
                                </w:rPr>
                                <w:t>THE</w:t>
                              </w:r>
                              <w:r>
                                <w:rPr>
                                  <w:color w:val="000000"/>
                                  <w:spacing w:val="34"/>
                                  <w:sz w:val="19"/>
                                </w:rPr>
                                <w:t> </w:t>
                              </w:r>
                              <w:r>
                                <w:rPr>
                                  <w:color w:val="000000"/>
                                  <w:spacing w:val="14"/>
                                  <w:sz w:val="19"/>
                                </w:rPr>
                                <w:t>EDITORS </w:t>
                              </w:r>
                            </w:p>
                          </w:txbxContent>
                        </wps:txbx>
                        <wps:bodyPr wrap="square" lIns="0" tIns="0" rIns="0" bIns="0" rtlCol="0">
                          <a:noAutofit/>
                        </wps:bodyPr>
                      </wps:wsp>
                      <wps:wsp>
                        <wps:cNvPr id="3" name="Graphic 3"/>
                        <wps:cNvSpPr/>
                        <wps:spPr>
                          <a:xfrm>
                            <a:off x="0" y="0"/>
                            <a:ext cx="6264275" cy="13335"/>
                          </a:xfrm>
                          <a:custGeom>
                            <a:avLst/>
                            <a:gdLst/>
                            <a:ahLst/>
                            <a:cxnLst/>
                            <a:rect l="l" t="t" r="r" b="b"/>
                            <a:pathLst>
                              <a:path w="6264275" h="13335">
                                <a:moveTo>
                                  <a:pt x="6263995" y="0"/>
                                </a:moveTo>
                                <a:lnTo>
                                  <a:pt x="0" y="0"/>
                                </a:lnTo>
                                <a:lnTo>
                                  <a:pt x="0" y="12960"/>
                                </a:lnTo>
                                <a:lnTo>
                                  <a:pt x="6263995" y="12960"/>
                                </a:lnTo>
                                <a:lnTo>
                                  <a:pt x="62639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1.023998pt;margin-top:4.789942pt;width:493.25pt;height:19.850pt;mso-position-horizontal-relative:page;mso-position-vertical-relative:paragraph;z-index:-15728640;mso-wrap-distance-left:0;mso-wrap-distance-right:0" id="docshapegroup1" coordorigin="1020,96" coordsize="9865,397">
                <v:shapetype id="_x0000_t202" o:spt="202" coordsize="21600,21600" path="m,l,21600r21600,l21600,xe">
                  <v:stroke joinstyle="miter"/>
                  <v:path gradientshapeok="t" o:connecttype="rect"/>
                </v:shapetype>
                <v:shape style="position:absolute;left:1020;top:115;width:4763;height:378" type="#_x0000_t202" id="docshape2" filled="true" fillcolor="#b3b3b3" stroked="false">
                  <v:textbox inset="0,0,0,0">
                    <w:txbxContent>
                      <w:p>
                        <w:pPr>
                          <w:spacing w:before="72"/>
                          <w:ind w:left="113" w:right="0" w:firstLine="0"/>
                          <w:jc w:val="left"/>
                          <w:rPr>
                            <w:color w:val="000000"/>
                            <w:sz w:val="19"/>
                          </w:rPr>
                        </w:pPr>
                        <w:r>
                          <w:rPr>
                            <w:color w:val="000000"/>
                            <w:spacing w:val="16"/>
                            <w:sz w:val="19"/>
                          </w:rPr>
                          <w:t>LETTER</w:t>
                        </w:r>
                        <w:r>
                          <w:rPr>
                            <w:color w:val="000000"/>
                            <w:spacing w:val="33"/>
                            <w:sz w:val="19"/>
                          </w:rPr>
                          <w:t> </w:t>
                        </w:r>
                        <w:r>
                          <w:rPr>
                            <w:color w:val="000000"/>
                            <w:spacing w:val="9"/>
                            <w:sz w:val="19"/>
                          </w:rPr>
                          <w:t>TO</w:t>
                        </w:r>
                        <w:r>
                          <w:rPr>
                            <w:color w:val="000000"/>
                            <w:spacing w:val="33"/>
                            <w:sz w:val="19"/>
                          </w:rPr>
                          <w:t> </w:t>
                        </w:r>
                        <w:r>
                          <w:rPr>
                            <w:color w:val="000000"/>
                            <w:spacing w:val="12"/>
                            <w:sz w:val="19"/>
                          </w:rPr>
                          <w:t>THE</w:t>
                        </w:r>
                        <w:r>
                          <w:rPr>
                            <w:color w:val="000000"/>
                            <w:spacing w:val="34"/>
                            <w:sz w:val="19"/>
                          </w:rPr>
                          <w:t> </w:t>
                        </w:r>
                        <w:r>
                          <w:rPr>
                            <w:color w:val="000000"/>
                            <w:spacing w:val="14"/>
                            <w:sz w:val="19"/>
                          </w:rPr>
                          <w:t>EDITORS </w:t>
                        </w:r>
                      </w:p>
                    </w:txbxContent>
                  </v:textbox>
                  <v:fill type="solid"/>
                  <w10:wrap type="none"/>
                </v:shape>
                <v:rect style="position:absolute;left:1020;top:95;width:9865;height:21" id="docshape3" filled="true" fillcolor="#000000" stroked="false">
                  <v:fill type="solid"/>
                </v:rect>
                <w10:wrap type="topAndBottom"/>
              </v:group>
            </w:pict>
          </mc:Fallback>
        </mc:AlternateContent>
      </w:r>
    </w:p>
    <w:p>
      <w:pPr>
        <w:pStyle w:val="BodyText"/>
        <w:spacing w:before="122"/>
        <w:rPr>
          <w:sz w:val="32"/>
        </w:rPr>
      </w:pPr>
    </w:p>
    <w:p>
      <w:pPr>
        <w:pStyle w:val="Title"/>
      </w:pPr>
      <w:r>
        <w:rPr>
          <w:i/>
          <w:w w:val="105"/>
        </w:rPr>
        <w:t>POLG</w:t>
      </w:r>
      <w:r>
        <w:rPr>
          <w:i/>
          <w:spacing w:val="32"/>
          <w:w w:val="105"/>
        </w:rPr>
        <w:t> </w:t>
      </w:r>
      <w:r>
        <w:rPr>
          <w:w w:val="105"/>
        </w:rPr>
        <w:t>mutation</w:t>
      </w:r>
      <w:r>
        <w:rPr>
          <w:spacing w:val="31"/>
          <w:w w:val="105"/>
        </w:rPr>
        <w:t> </w:t>
      </w:r>
      <w:r>
        <w:rPr>
          <w:w w:val="105"/>
        </w:rPr>
        <w:t>presenting</w:t>
      </w:r>
      <w:r>
        <w:rPr>
          <w:spacing w:val="31"/>
          <w:w w:val="105"/>
        </w:rPr>
        <w:t> </w:t>
      </w:r>
      <w:r>
        <w:rPr>
          <w:w w:val="105"/>
        </w:rPr>
        <w:t>with</w:t>
      </w:r>
      <w:r>
        <w:rPr>
          <w:spacing w:val="31"/>
          <w:w w:val="105"/>
        </w:rPr>
        <w:t> </w:t>
      </w:r>
      <w:r>
        <w:rPr>
          <w:w w:val="105"/>
        </w:rPr>
        <w:t>late-onset</w:t>
      </w:r>
      <w:r>
        <w:rPr>
          <w:spacing w:val="32"/>
          <w:w w:val="105"/>
        </w:rPr>
        <w:t> </w:t>
      </w:r>
      <w:r>
        <w:rPr>
          <w:w w:val="105"/>
        </w:rPr>
        <w:t>jerky</w:t>
      </w:r>
      <w:r>
        <w:rPr>
          <w:spacing w:val="31"/>
          <w:w w:val="105"/>
        </w:rPr>
        <w:t> </w:t>
      </w:r>
      <w:r>
        <w:rPr>
          <w:spacing w:val="-2"/>
          <w:w w:val="105"/>
        </w:rPr>
        <w:t>torticollis</w:t>
      </w:r>
    </w:p>
    <w:p>
      <w:pPr>
        <w:pStyle w:val="BodyText"/>
        <w:spacing w:before="335"/>
        <w:ind w:left="28"/>
        <w:rPr>
          <w:position w:val="2"/>
          <w:sz w:val="12"/>
        </w:rPr>
      </w:pPr>
      <w:r>
        <w:rPr>
          <w:w w:val="110"/>
        </w:rPr>
        <w:t>Anil</w:t>
      </w:r>
      <w:r>
        <w:rPr>
          <w:spacing w:val="2"/>
          <w:w w:val="110"/>
        </w:rPr>
        <w:t> </w:t>
      </w:r>
      <w:r>
        <w:rPr>
          <w:w w:val="110"/>
        </w:rPr>
        <w:t>M.</w:t>
      </w:r>
      <w:r>
        <w:rPr>
          <w:spacing w:val="3"/>
          <w:w w:val="110"/>
        </w:rPr>
        <w:t> </w:t>
      </w:r>
      <w:r>
        <w:rPr>
          <w:w w:val="110"/>
        </w:rPr>
        <w:t>Tuladhar</w:t>
      </w:r>
      <w:r>
        <w:rPr>
          <w:spacing w:val="4"/>
          <w:w w:val="110"/>
        </w:rPr>
        <w:t> </w:t>
      </w:r>
      <w:r>
        <w:rPr>
          <w:w w:val="110"/>
          <w:position w:val="2"/>
          <w:sz w:val="12"/>
        </w:rPr>
        <w:t>•</w:t>
      </w:r>
      <w:r>
        <w:rPr>
          <w:spacing w:val="24"/>
          <w:w w:val="110"/>
          <w:position w:val="2"/>
          <w:sz w:val="12"/>
        </w:rPr>
        <w:t> </w:t>
      </w:r>
      <w:r>
        <w:rPr>
          <w:w w:val="110"/>
        </w:rPr>
        <w:t>F.</w:t>
      </w:r>
      <w:r>
        <w:rPr>
          <w:spacing w:val="1"/>
          <w:w w:val="110"/>
        </w:rPr>
        <w:t> </w:t>
      </w:r>
      <w:r>
        <w:rPr>
          <w:w w:val="110"/>
        </w:rPr>
        <w:t>J.</w:t>
      </w:r>
      <w:r>
        <w:rPr>
          <w:spacing w:val="3"/>
          <w:w w:val="110"/>
        </w:rPr>
        <w:t> </w:t>
      </w:r>
      <w:r>
        <w:rPr>
          <w:w w:val="110"/>
        </w:rPr>
        <w:t>Anton</w:t>
      </w:r>
      <w:r>
        <w:rPr>
          <w:spacing w:val="1"/>
          <w:w w:val="110"/>
        </w:rPr>
        <w:t> </w:t>
      </w:r>
      <w:r>
        <w:rPr>
          <w:w w:val="110"/>
        </w:rPr>
        <w:t>Meijer</w:t>
      </w:r>
      <w:r>
        <w:rPr>
          <w:spacing w:val="3"/>
          <w:w w:val="110"/>
        </w:rPr>
        <w:t> </w:t>
      </w:r>
      <w:r>
        <w:rPr>
          <w:spacing w:val="-10"/>
          <w:w w:val="110"/>
          <w:position w:val="2"/>
          <w:sz w:val="12"/>
        </w:rPr>
        <w:t>•</w:t>
      </w:r>
    </w:p>
    <w:p>
      <w:pPr>
        <w:pStyle w:val="BodyText"/>
        <w:spacing w:before="19"/>
        <w:ind w:left="28"/>
      </w:pPr>
      <w:r>
        <w:rPr>
          <w:w w:val="110"/>
        </w:rPr>
        <w:t>Bart</w:t>
      </w:r>
      <w:r>
        <w:rPr>
          <w:spacing w:val="8"/>
          <w:w w:val="110"/>
        </w:rPr>
        <w:t> </w:t>
      </w:r>
      <w:r>
        <w:rPr>
          <w:w w:val="110"/>
        </w:rPr>
        <w:t>P.</w:t>
      </w:r>
      <w:r>
        <w:rPr>
          <w:spacing w:val="6"/>
          <w:w w:val="110"/>
        </w:rPr>
        <w:t> </w:t>
      </w:r>
      <w:r>
        <w:rPr>
          <w:w w:val="110"/>
        </w:rPr>
        <w:t>van</w:t>
      </w:r>
      <w:r>
        <w:rPr>
          <w:spacing w:val="7"/>
          <w:w w:val="110"/>
        </w:rPr>
        <w:t> </w:t>
      </w:r>
      <w:r>
        <w:rPr>
          <w:w w:val="110"/>
        </w:rPr>
        <w:t>de</w:t>
      </w:r>
      <w:r>
        <w:rPr>
          <w:spacing w:val="8"/>
          <w:w w:val="110"/>
        </w:rPr>
        <w:t> </w:t>
      </w:r>
      <w:r>
        <w:rPr>
          <w:spacing w:val="-2"/>
          <w:w w:val="110"/>
        </w:rPr>
        <w:t>Warrenburg</w:t>
      </w:r>
    </w:p>
    <w:p>
      <w:pPr>
        <w:pStyle w:val="BodyText"/>
      </w:pPr>
    </w:p>
    <w:p>
      <w:pPr>
        <w:pStyle w:val="BodyText"/>
      </w:pPr>
    </w:p>
    <w:p>
      <w:pPr>
        <w:pStyle w:val="BodyText"/>
      </w:pPr>
    </w:p>
    <w:p>
      <w:pPr>
        <w:pStyle w:val="BodyText"/>
      </w:pPr>
    </w:p>
    <w:p>
      <w:pPr>
        <w:pStyle w:val="BodyText"/>
      </w:pPr>
    </w:p>
    <w:p>
      <w:pPr>
        <w:pStyle w:val="BodyText"/>
        <w:spacing w:before="219"/>
      </w:pPr>
    </w:p>
    <w:p>
      <w:pPr>
        <w:spacing w:before="0"/>
        <w:ind w:left="28" w:right="0" w:firstLine="0"/>
        <w:jc w:val="left"/>
        <w:rPr>
          <w:sz w:val="17"/>
        </w:rPr>
      </w:pPr>
      <w:r>
        <w:rPr>
          <w:sz w:val="17"/>
        </w:rPr>
        <w:t>Received:</w:t>
      </w:r>
      <w:r>
        <w:rPr>
          <w:spacing w:val="-2"/>
          <w:sz w:val="17"/>
        </w:rPr>
        <w:t> </w:t>
      </w:r>
      <w:r>
        <w:rPr>
          <w:sz w:val="17"/>
        </w:rPr>
        <w:t>12</w:t>
      </w:r>
      <w:r>
        <w:rPr>
          <w:spacing w:val="10"/>
          <w:sz w:val="17"/>
        </w:rPr>
        <w:t> </w:t>
      </w:r>
      <w:r>
        <w:rPr>
          <w:sz w:val="17"/>
        </w:rPr>
        <w:t>October</w:t>
      </w:r>
      <w:r>
        <w:rPr>
          <w:spacing w:val="11"/>
          <w:sz w:val="17"/>
        </w:rPr>
        <w:t> </w:t>
      </w:r>
      <w:r>
        <w:rPr>
          <w:sz w:val="17"/>
        </w:rPr>
        <w:t>2012</w:t>
      </w:r>
      <w:r>
        <w:rPr>
          <w:spacing w:val="-14"/>
          <w:sz w:val="17"/>
        </w:rPr>
        <w:t> </w:t>
      </w:r>
      <w:r>
        <w:rPr>
          <w:sz w:val="17"/>
        </w:rPr>
        <w:t>/</w:t>
      </w:r>
      <w:r>
        <w:rPr>
          <w:spacing w:val="-16"/>
          <w:sz w:val="17"/>
        </w:rPr>
        <w:t> </w:t>
      </w:r>
      <w:r>
        <w:rPr>
          <w:sz w:val="17"/>
        </w:rPr>
        <w:t>Revised:</w:t>
      </w:r>
      <w:r>
        <w:rPr>
          <w:spacing w:val="11"/>
          <w:sz w:val="17"/>
        </w:rPr>
        <w:t> </w:t>
      </w:r>
      <w:r>
        <w:rPr>
          <w:sz w:val="17"/>
        </w:rPr>
        <w:t>9</w:t>
      </w:r>
      <w:r>
        <w:rPr>
          <w:spacing w:val="9"/>
          <w:sz w:val="17"/>
        </w:rPr>
        <w:t> </w:t>
      </w:r>
      <w:r>
        <w:rPr>
          <w:sz w:val="17"/>
        </w:rPr>
        <w:t>November</w:t>
      </w:r>
      <w:r>
        <w:rPr>
          <w:spacing w:val="11"/>
          <w:sz w:val="17"/>
        </w:rPr>
        <w:t> </w:t>
      </w:r>
      <w:r>
        <w:rPr>
          <w:sz w:val="17"/>
        </w:rPr>
        <w:t>2012</w:t>
      </w:r>
      <w:r>
        <w:rPr>
          <w:spacing w:val="-15"/>
          <w:sz w:val="17"/>
        </w:rPr>
        <w:t> </w:t>
      </w:r>
      <w:r>
        <w:rPr>
          <w:sz w:val="17"/>
        </w:rPr>
        <w:t>/</w:t>
      </w:r>
      <w:r>
        <w:rPr>
          <w:spacing w:val="-15"/>
          <w:sz w:val="17"/>
        </w:rPr>
        <w:t> </w:t>
      </w:r>
      <w:r>
        <w:rPr>
          <w:sz w:val="17"/>
        </w:rPr>
        <w:t>Accepted:</w:t>
      </w:r>
      <w:r>
        <w:rPr>
          <w:spacing w:val="11"/>
          <w:sz w:val="17"/>
        </w:rPr>
        <w:t> </w:t>
      </w:r>
      <w:r>
        <w:rPr>
          <w:sz w:val="17"/>
        </w:rPr>
        <w:t>21</w:t>
      </w:r>
      <w:r>
        <w:rPr>
          <w:spacing w:val="9"/>
          <w:sz w:val="17"/>
        </w:rPr>
        <w:t> </w:t>
      </w:r>
      <w:r>
        <w:rPr>
          <w:sz w:val="17"/>
        </w:rPr>
        <w:t>November</w:t>
      </w:r>
      <w:r>
        <w:rPr>
          <w:spacing w:val="9"/>
          <w:sz w:val="17"/>
        </w:rPr>
        <w:t> </w:t>
      </w:r>
      <w:r>
        <w:rPr>
          <w:sz w:val="17"/>
        </w:rPr>
        <w:t>2012</w:t>
      </w:r>
      <w:r>
        <w:rPr>
          <w:spacing w:val="-14"/>
          <w:sz w:val="17"/>
        </w:rPr>
        <w:t> </w:t>
      </w:r>
      <w:r>
        <w:rPr>
          <w:sz w:val="17"/>
        </w:rPr>
        <w:t>/</w:t>
      </w:r>
      <w:r>
        <w:rPr>
          <w:spacing w:val="-15"/>
          <w:sz w:val="17"/>
        </w:rPr>
        <w:t> </w:t>
      </w:r>
      <w:r>
        <w:rPr>
          <w:sz w:val="17"/>
        </w:rPr>
        <w:t>Published</w:t>
      </w:r>
      <w:r>
        <w:rPr>
          <w:spacing w:val="10"/>
          <w:sz w:val="17"/>
        </w:rPr>
        <w:t> </w:t>
      </w:r>
      <w:r>
        <w:rPr>
          <w:sz w:val="17"/>
        </w:rPr>
        <w:t>online:</w:t>
      </w:r>
      <w:r>
        <w:rPr>
          <w:spacing w:val="11"/>
          <w:sz w:val="17"/>
        </w:rPr>
        <w:t> </w:t>
      </w:r>
      <w:r>
        <w:rPr>
          <w:sz w:val="17"/>
        </w:rPr>
        <w:t>5</w:t>
      </w:r>
      <w:r>
        <w:rPr>
          <w:spacing w:val="9"/>
          <w:sz w:val="17"/>
        </w:rPr>
        <w:t> </w:t>
      </w:r>
      <w:r>
        <w:rPr>
          <w:sz w:val="17"/>
        </w:rPr>
        <w:t>December</w:t>
      </w:r>
      <w:r>
        <w:rPr>
          <w:spacing w:val="10"/>
          <w:sz w:val="17"/>
        </w:rPr>
        <w:t> </w:t>
      </w:r>
      <w:r>
        <w:rPr>
          <w:spacing w:val="-4"/>
          <w:sz w:val="17"/>
        </w:rPr>
        <w:t>2012</w:t>
      </w:r>
    </w:p>
    <w:p>
      <w:pPr>
        <w:spacing w:before="3"/>
        <w:ind w:left="28" w:right="0" w:firstLine="0"/>
        <w:jc w:val="left"/>
        <w:rPr>
          <w:sz w:val="17"/>
        </w:rPr>
      </w:pPr>
      <w:r>
        <w:rPr>
          <w:sz w:val="17"/>
        </w:rPr>
        <w:t>©</w:t>
      </w:r>
      <w:r>
        <w:rPr>
          <w:spacing w:val="9"/>
          <w:sz w:val="17"/>
        </w:rPr>
        <w:t> </w:t>
      </w:r>
      <w:r>
        <w:rPr>
          <w:sz w:val="17"/>
        </w:rPr>
        <w:t>Springer-Verlag</w:t>
      </w:r>
      <w:r>
        <w:rPr>
          <w:spacing w:val="9"/>
          <w:sz w:val="17"/>
        </w:rPr>
        <w:t> </w:t>
      </w:r>
      <w:r>
        <w:rPr>
          <w:sz w:val="17"/>
        </w:rPr>
        <w:t>Berlin</w:t>
      </w:r>
      <w:r>
        <w:rPr>
          <w:spacing w:val="9"/>
          <w:sz w:val="17"/>
        </w:rPr>
        <w:t> </w:t>
      </w:r>
      <w:r>
        <w:rPr>
          <w:sz w:val="17"/>
        </w:rPr>
        <w:t>Heidelberg</w:t>
      </w:r>
      <w:r>
        <w:rPr>
          <w:spacing w:val="11"/>
          <w:sz w:val="17"/>
        </w:rPr>
        <w:t> </w:t>
      </w:r>
      <w:r>
        <w:rPr>
          <w:spacing w:val="-4"/>
          <w:sz w:val="17"/>
        </w:rPr>
        <w:t>2012</w:t>
      </w:r>
    </w:p>
    <w:p>
      <w:pPr>
        <w:pStyle w:val="BodyText"/>
        <w:spacing w:before="67"/>
      </w:pPr>
    </w:p>
    <w:p>
      <w:pPr>
        <w:pStyle w:val="BodyText"/>
        <w:spacing w:after="0"/>
        <w:sectPr>
          <w:type w:val="continuous"/>
          <w:pgSz w:w="11910" w:h="15820"/>
          <w:pgMar w:top="560" w:bottom="280" w:left="992" w:right="992"/>
        </w:sectPr>
      </w:pPr>
    </w:p>
    <w:p>
      <w:pPr>
        <w:pStyle w:val="BodyText"/>
        <w:spacing w:before="68"/>
        <w:ind w:left="28"/>
        <w:jc w:val="both"/>
      </w:pPr>
      <w:r>
        <w:rPr/>
        <w:t>Dear</w:t>
      </w:r>
      <w:r>
        <w:rPr>
          <w:spacing w:val="14"/>
        </w:rPr>
        <w:t> </w:t>
      </w:r>
      <w:r>
        <w:rPr>
          <w:spacing w:val="-4"/>
        </w:rPr>
        <w:t>Sirs,</w:t>
      </w:r>
    </w:p>
    <w:p>
      <w:pPr>
        <w:pStyle w:val="BodyText"/>
        <w:spacing w:line="259" w:lineRule="auto" w:before="133"/>
        <w:ind w:left="28"/>
        <w:jc w:val="both"/>
      </w:pPr>
      <w:r>
        <w:rPr>
          <w:i/>
        </w:rPr>
        <w:t>POLG </w:t>
      </w:r>
      <w:r>
        <w:rPr/>
        <w:t>is a nuclear gene and its gene product, </w:t>
      </w:r>
      <w:r>
        <w:rPr/>
        <w:t>polymerase gamma, is involved in the maintenance of mitochondrial DNA (mtDNA) and mutations thus lead to depletion of mtDNA [</w:t>
      </w:r>
      <w:hyperlink w:history="true" w:anchor="_bookmark1">
        <w:r>
          <w:rPr>
            <w:color w:val="0000FF"/>
          </w:rPr>
          <w:t>1</w:t>
        </w:r>
      </w:hyperlink>
      <w:r>
        <w:rPr/>
        <w:t>]. The corresponding phenotype is markedly variable, and includes (among others) Alpers’ syndrome, mitochondrial spinocerebellar ataxia and epilepsy (MSCAE), chronic progressive external ophthalmoplegia, neuropathy, epilepsy, as well as myoclonus, cerebellar ataxia, and parkinsonism [</w:t>
      </w:r>
      <w:hyperlink w:history="true" w:anchor="_bookmark1">
        <w:r>
          <w:rPr>
            <w:color w:val="0000FF"/>
          </w:rPr>
          <w:t>2</w:t>
        </w:r>
      </w:hyperlink>
      <w:r>
        <w:rPr/>
        <w:t>]. Herein we report a case of patient with compound heterozygous </w:t>
      </w:r>
      <w:r>
        <w:rPr>
          <w:i/>
        </w:rPr>
        <w:t>POLG </w:t>
      </w:r>
      <w:r>
        <w:rPr/>
        <w:t>mutation with unusual clinical presentation.</w:t>
      </w:r>
    </w:p>
    <w:p>
      <w:pPr>
        <w:pStyle w:val="BodyText"/>
        <w:spacing w:line="259" w:lineRule="auto" w:before="7"/>
        <w:ind w:left="28" w:firstLine="226"/>
        <w:jc w:val="both"/>
      </w:pPr>
      <w:r>
        <w:rPr/>
        <w:t>A</w:t>
      </w:r>
      <w:r>
        <w:rPr>
          <w:spacing w:val="-8"/>
        </w:rPr>
        <w:t> </w:t>
      </w:r>
      <w:r>
        <w:rPr/>
        <w:t>43-year-old</w:t>
      </w:r>
      <w:r>
        <w:rPr>
          <w:spacing w:val="-7"/>
        </w:rPr>
        <w:t> </w:t>
      </w:r>
      <w:r>
        <w:rPr/>
        <w:t>woman</w:t>
      </w:r>
      <w:r>
        <w:rPr>
          <w:spacing w:val="-7"/>
        </w:rPr>
        <w:t> </w:t>
      </w:r>
      <w:r>
        <w:rPr/>
        <w:t>was</w:t>
      </w:r>
      <w:r>
        <w:rPr>
          <w:spacing w:val="-8"/>
        </w:rPr>
        <w:t> </w:t>
      </w:r>
      <w:r>
        <w:rPr/>
        <w:t>referred</w:t>
      </w:r>
      <w:r>
        <w:rPr>
          <w:spacing w:val="-8"/>
        </w:rPr>
        <w:t> </w:t>
      </w:r>
      <w:r>
        <w:rPr/>
        <w:t>to</w:t>
      </w:r>
      <w:r>
        <w:rPr>
          <w:spacing w:val="-8"/>
        </w:rPr>
        <w:t> </w:t>
      </w:r>
      <w:r>
        <w:rPr/>
        <w:t>us</w:t>
      </w:r>
      <w:r>
        <w:rPr>
          <w:spacing w:val="-8"/>
        </w:rPr>
        <w:t> </w:t>
      </w:r>
      <w:r>
        <w:rPr/>
        <w:t>for</w:t>
      </w:r>
      <w:r>
        <w:rPr>
          <w:spacing w:val="-8"/>
        </w:rPr>
        <w:t> </w:t>
      </w:r>
      <w:r>
        <w:rPr/>
        <w:t>unexplained progressive shaking of the head, which had begun rather abruptly several months earlier. She also mentioned a feeling of imbalance on walking. Family history was negative. On examination, we saw a mild torticollis to the left with a side-to-side, jerky head tremor (see video). Eye movements</w:t>
      </w:r>
      <w:r>
        <w:rPr>
          <w:spacing w:val="28"/>
        </w:rPr>
        <w:t> </w:t>
      </w:r>
      <w:r>
        <w:rPr/>
        <w:t>were</w:t>
      </w:r>
      <w:r>
        <w:rPr>
          <w:spacing w:val="28"/>
        </w:rPr>
        <w:t> </w:t>
      </w:r>
      <w:r>
        <w:rPr/>
        <w:t>normal.</w:t>
      </w:r>
      <w:r>
        <w:rPr>
          <w:spacing w:val="28"/>
        </w:rPr>
        <w:t> </w:t>
      </w:r>
      <w:r>
        <w:rPr/>
        <w:t>Her</w:t>
      </w:r>
      <w:r>
        <w:rPr>
          <w:spacing w:val="28"/>
        </w:rPr>
        <w:t> </w:t>
      </w:r>
      <w:r>
        <w:rPr/>
        <w:t>gait</w:t>
      </w:r>
      <w:r>
        <w:rPr>
          <w:spacing w:val="29"/>
        </w:rPr>
        <w:t> </w:t>
      </w:r>
      <w:r>
        <w:rPr/>
        <w:t>was</w:t>
      </w:r>
      <w:r>
        <w:rPr>
          <w:spacing w:val="28"/>
        </w:rPr>
        <w:t> </w:t>
      </w:r>
      <w:r>
        <w:rPr/>
        <w:t>clearly</w:t>
      </w:r>
      <w:r>
        <w:rPr>
          <w:spacing w:val="28"/>
        </w:rPr>
        <w:t> </w:t>
      </w:r>
      <w:r>
        <w:rPr>
          <w:spacing w:val="-2"/>
        </w:rPr>
        <w:t>abnormal,</w:t>
      </w:r>
    </w:p>
    <w:p>
      <w:pPr>
        <w:pStyle w:val="BodyText"/>
        <w:spacing w:line="259" w:lineRule="auto" w:before="68"/>
        <w:ind w:left="28" w:right="26"/>
        <w:jc w:val="both"/>
      </w:pPr>
      <w:r>
        <w:rPr/>
        <w:br w:type="column"/>
      </w:r>
      <w:r>
        <w:rPr/>
        <w:t>being broad-based and with deviations from the </w:t>
      </w:r>
      <w:r>
        <w:rPr/>
        <w:t>straight line, but was also rather atypical and effortful, and she could very suddenly lurch to the side. During walking, the head rotation and tremor could be observed. There was no appendicular ataxia. Tendon reflexes were all normal, as was the sensory examination. Our provisional diagnosis was cervical dystonia with either jerky tremor or myo- clonic jerks, and we suspected some aggravation, particu- larly</w:t>
      </w:r>
      <w:r>
        <w:rPr>
          <w:spacing w:val="-6"/>
        </w:rPr>
        <w:t> </w:t>
      </w:r>
      <w:r>
        <w:rPr/>
        <w:t>in</w:t>
      </w:r>
      <w:r>
        <w:rPr>
          <w:spacing w:val="-6"/>
        </w:rPr>
        <w:t> </w:t>
      </w:r>
      <w:r>
        <w:rPr/>
        <w:t>her</w:t>
      </w:r>
      <w:r>
        <w:rPr>
          <w:spacing w:val="-6"/>
        </w:rPr>
        <w:t> </w:t>
      </w:r>
      <w:r>
        <w:rPr/>
        <w:t>gait</w:t>
      </w:r>
      <w:r>
        <w:rPr>
          <w:spacing w:val="-5"/>
        </w:rPr>
        <w:t> </w:t>
      </w:r>
      <w:r>
        <w:rPr/>
        <w:t>disturbance,</w:t>
      </w:r>
      <w:r>
        <w:rPr>
          <w:spacing w:val="-6"/>
        </w:rPr>
        <w:t> </w:t>
      </w:r>
      <w:r>
        <w:rPr/>
        <w:t>related</w:t>
      </w:r>
      <w:r>
        <w:rPr>
          <w:spacing w:val="-6"/>
        </w:rPr>
        <w:t> </w:t>
      </w:r>
      <w:r>
        <w:rPr/>
        <w:t>to</w:t>
      </w:r>
      <w:r>
        <w:rPr>
          <w:spacing w:val="-6"/>
        </w:rPr>
        <w:t> </w:t>
      </w:r>
      <w:r>
        <w:rPr/>
        <w:t>psychosocial</w:t>
      </w:r>
      <w:r>
        <w:rPr>
          <w:spacing w:val="-7"/>
        </w:rPr>
        <w:t> </w:t>
      </w:r>
      <w:r>
        <w:rPr/>
        <w:t>factors. Mutation analysis for the </w:t>
      </w:r>
      <w:r>
        <w:rPr>
          <w:i/>
        </w:rPr>
        <w:t>SGCE </w:t>
      </w:r>
      <w:r>
        <w:rPr/>
        <w:t>gene was negative and brain imaging was normal. She was given clonazepam in combination with botulinum toxin injections, which had a moderate effect. Her head tremor and gait difficulty con- tinued to progress</w:t>
      </w:r>
      <w:r>
        <w:rPr>
          <w:spacing w:val="-1"/>
        </w:rPr>
        <w:t> </w:t>
      </w:r>
      <w:r>
        <w:rPr/>
        <w:t>and she gradually developed jerks of her left arm and sensory disturbances in both arms. She was admitted at age 45 years because of a generalized tonic– clonic seizure. During admission, several short-lasting— possibly epileptic—myoclonic</w:t>
      </w:r>
      <w:r>
        <w:rPr/>
        <w:t> jerks were observed alter- natingly in the left and right arm. At that time, the neu- rological</w:t>
      </w:r>
      <w:r>
        <w:rPr>
          <w:spacing w:val="62"/>
        </w:rPr>
        <w:t>  </w:t>
      </w:r>
      <w:r>
        <w:rPr/>
        <w:t>examination</w:t>
      </w:r>
      <w:r>
        <w:rPr>
          <w:spacing w:val="63"/>
        </w:rPr>
        <w:t>  </w:t>
      </w:r>
      <w:r>
        <w:rPr/>
        <w:t>showed</w:t>
      </w:r>
      <w:r>
        <w:rPr>
          <w:spacing w:val="62"/>
        </w:rPr>
        <w:t>  </w:t>
      </w:r>
      <w:r>
        <w:rPr/>
        <w:t>incomplete</w:t>
      </w:r>
      <w:r>
        <w:rPr>
          <w:spacing w:val="64"/>
        </w:rPr>
        <w:t>  </w:t>
      </w:r>
      <w:r>
        <w:rPr>
          <w:spacing w:val="-2"/>
        </w:rPr>
        <w:t>external</w:t>
      </w:r>
    </w:p>
    <w:p>
      <w:pPr>
        <w:pStyle w:val="BodyText"/>
        <w:spacing w:after="0" w:line="259" w:lineRule="auto"/>
        <w:jc w:val="both"/>
        <w:sectPr>
          <w:type w:val="continuous"/>
          <w:pgSz w:w="11910" w:h="15820"/>
          <w:pgMar w:top="560" w:bottom="280" w:left="992" w:right="992"/>
          <w:cols w:num="2" w:equalWidth="0">
            <w:col w:w="4791" w:space="311"/>
            <w:col w:w="4824"/>
          </w:cols>
        </w:sectPr>
      </w:pPr>
    </w:p>
    <w:p>
      <w:pPr>
        <w:pStyle w:val="BodyText"/>
        <w:tabs>
          <w:tab w:pos="4790" w:val="left" w:leader="none"/>
          <w:tab w:pos="5130" w:val="left" w:leader="none"/>
        </w:tabs>
        <w:spacing w:before="13"/>
        <w:ind w:left="28"/>
      </w:pPr>
      <w:r>
        <w:rPr>
          <w:u w:val="single"/>
        </w:rPr>
        <w:tab/>
      </w:r>
      <w:r>
        <w:rPr/>
        <w:tab/>
        <w:t>ophthalmoplegia;</w:t>
      </w:r>
      <w:r>
        <w:rPr>
          <w:spacing w:val="66"/>
        </w:rPr>
        <w:t> </w:t>
      </w:r>
      <w:r>
        <w:rPr/>
        <w:t>mild</w:t>
      </w:r>
      <w:r>
        <w:rPr>
          <w:spacing w:val="67"/>
        </w:rPr>
        <w:t> </w:t>
      </w:r>
      <w:r>
        <w:rPr/>
        <w:t>torticollis</w:t>
      </w:r>
      <w:r>
        <w:rPr>
          <w:spacing w:val="67"/>
        </w:rPr>
        <w:t> </w:t>
      </w:r>
      <w:r>
        <w:rPr/>
        <w:t>with</w:t>
      </w:r>
      <w:r>
        <w:rPr>
          <w:spacing w:val="68"/>
        </w:rPr>
        <w:t> </w:t>
      </w:r>
      <w:r>
        <w:rPr/>
        <w:t>a</w:t>
      </w:r>
      <w:r>
        <w:rPr>
          <w:spacing w:val="65"/>
        </w:rPr>
        <w:t> </w:t>
      </w:r>
      <w:r>
        <w:rPr/>
        <w:t>severe</w:t>
      </w:r>
      <w:r>
        <w:rPr>
          <w:spacing w:val="66"/>
        </w:rPr>
        <w:t> </w:t>
      </w:r>
      <w:r>
        <w:rPr>
          <w:spacing w:val="-2"/>
        </w:rPr>
        <w:t>mainly</w:t>
      </w:r>
    </w:p>
    <w:p>
      <w:pPr>
        <w:pStyle w:val="BodyText"/>
        <w:spacing w:after="0"/>
        <w:sectPr>
          <w:type w:val="continuous"/>
          <w:pgSz w:w="11910" w:h="15820"/>
          <w:pgMar w:top="560" w:bottom="280" w:left="992" w:right="992"/>
        </w:sectPr>
      </w:pPr>
    </w:p>
    <w:p>
      <w:pPr>
        <w:spacing w:line="225" w:lineRule="auto" w:before="0"/>
        <w:ind w:left="28" w:right="0" w:firstLine="0"/>
        <w:jc w:val="left"/>
        <w:rPr>
          <w:sz w:val="17"/>
        </w:rPr>
      </w:pPr>
      <w:r>
        <w:rPr>
          <w:sz w:val="17"/>
        </w:rPr>
        <w:t>Electronic</w:t>
      </w:r>
      <w:r>
        <w:rPr>
          <w:spacing w:val="34"/>
          <w:sz w:val="17"/>
        </w:rPr>
        <w:t> </w:t>
      </w:r>
      <w:r>
        <w:rPr>
          <w:sz w:val="17"/>
        </w:rPr>
        <w:t>supplementary</w:t>
      </w:r>
      <w:r>
        <w:rPr>
          <w:spacing w:val="33"/>
          <w:sz w:val="17"/>
        </w:rPr>
        <w:t> </w:t>
      </w:r>
      <w:r>
        <w:rPr>
          <w:sz w:val="17"/>
        </w:rPr>
        <w:t>material</w:t>
      </w:r>
      <w:r>
        <w:rPr>
          <w:spacing w:val="80"/>
          <w:w w:val="150"/>
          <w:sz w:val="17"/>
        </w:rPr>
        <w:t> </w:t>
      </w:r>
      <w:r>
        <w:rPr>
          <w:sz w:val="17"/>
        </w:rPr>
        <w:t>The</w:t>
      </w:r>
      <w:r>
        <w:rPr>
          <w:spacing w:val="34"/>
          <w:sz w:val="17"/>
        </w:rPr>
        <w:t> </w:t>
      </w:r>
      <w:r>
        <w:rPr>
          <w:sz w:val="17"/>
        </w:rPr>
        <w:t>online</w:t>
      </w:r>
      <w:r>
        <w:rPr>
          <w:spacing w:val="31"/>
          <w:sz w:val="17"/>
        </w:rPr>
        <w:t> </w:t>
      </w:r>
      <w:r>
        <w:rPr>
          <w:sz w:val="17"/>
        </w:rPr>
        <w:t>version</w:t>
      </w:r>
      <w:r>
        <w:rPr>
          <w:spacing w:val="34"/>
          <w:sz w:val="17"/>
        </w:rPr>
        <w:t> </w:t>
      </w:r>
      <w:r>
        <w:rPr>
          <w:sz w:val="17"/>
        </w:rPr>
        <w:t>of</w:t>
      </w:r>
      <w:r>
        <w:rPr>
          <w:spacing w:val="31"/>
          <w:sz w:val="17"/>
        </w:rPr>
        <w:t> </w:t>
      </w:r>
      <w:r>
        <w:rPr>
          <w:sz w:val="17"/>
        </w:rPr>
        <w:t>this article (doi:</w:t>
      </w:r>
      <w:hyperlink r:id="rId5">
        <w:r>
          <w:rPr>
            <w:color w:val="0000FF"/>
            <w:sz w:val="17"/>
          </w:rPr>
          <w:t>10.1007/s00415-012-6776-z</w:t>
        </w:r>
      </w:hyperlink>
      <w:r>
        <w:rPr>
          <w:sz w:val="17"/>
        </w:rPr>
        <w:t>) contains supplementary material, which is available to authorized users.</w:t>
      </w:r>
    </w:p>
    <w:p>
      <w:pPr>
        <w:pStyle w:val="BodyText"/>
        <w:spacing w:line="259" w:lineRule="auto" w:before="20"/>
        <w:ind w:left="28"/>
      </w:pPr>
      <w:r>
        <w:rPr/>
        <w:br w:type="column"/>
      </w:r>
      <w:r>
        <w:rPr/>
        <w:t>side-to-side head tremor; myoclonic jerks of the left </w:t>
      </w:r>
      <w:r>
        <w:rPr/>
        <w:t>arm; ataxic</w:t>
      </w:r>
      <w:r>
        <w:rPr>
          <w:spacing w:val="45"/>
        </w:rPr>
        <w:t> </w:t>
      </w:r>
      <w:r>
        <w:rPr/>
        <w:t>finger</w:t>
      </w:r>
      <w:r>
        <w:rPr>
          <w:spacing w:val="44"/>
        </w:rPr>
        <w:t> </w:t>
      </w:r>
      <w:r>
        <w:rPr/>
        <w:t>chase</w:t>
      </w:r>
      <w:r>
        <w:rPr>
          <w:spacing w:val="46"/>
        </w:rPr>
        <w:t> </w:t>
      </w:r>
      <w:r>
        <w:rPr/>
        <w:t>and</w:t>
      </w:r>
      <w:r>
        <w:rPr>
          <w:spacing w:val="45"/>
        </w:rPr>
        <w:t> </w:t>
      </w:r>
      <w:r>
        <w:rPr/>
        <w:t>heel-shin</w:t>
      </w:r>
      <w:r>
        <w:rPr>
          <w:spacing w:val="47"/>
        </w:rPr>
        <w:t> </w:t>
      </w:r>
      <w:r>
        <w:rPr/>
        <w:t>slide;</w:t>
      </w:r>
      <w:r>
        <w:rPr>
          <w:spacing w:val="45"/>
        </w:rPr>
        <w:t> </w:t>
      </w:r>
      <w:r>
        <w:rPr/>
        <w:t>gait</w:t>
      </w:r>
      <w:r>
        <w:rPr>
          <w:spacing w:val="45"/>
        </w:rPr>
        <w:t> </w:t>
      </w:r>
      <w:r>
        <w:rPr/>
        <w:t>ataxia;</w:t>
      </w:r>
      <w:r>
        <w:rPr>
          <w:spacing w:val="44"/>
        </w:rPr>
        <w:t> </w:t>
      </w:r>
      <w:r>
        <w:rPr>
          <w:spacing w:val="-5"/>
        </w:rPr>
        <w:t>and</w:t>
      </w:r>
    </w:p>
    <w:p>
      <w:pPr>
        <w:pStyle w:val="BodyText"/>
        <w:spacing w:after="0" w:line="259" w:lineRule="auto"/>
        <w:sectPr>
          <w:type w:val="continuous"/>
          <w:pgSz w:w="11910" w:h="15820"/>
          <w:pgMar w:top="560" w:bottom="280" w:left="992" w:right="992"/>
          <w:cols w:num="2" w:equalWidth="0">
            <w:col w:w="4584" w:space="518"/>
            <w:col w:w="4824"/>
          </w:cols>
        </w:sectPr>
      </w:pPr>
    </w:p>
    <w:p>
      <w:pPr>
        <w:pStyle w:val="BodyText"/>
        <w:tabs>
          <w:tab w:pos="4790" w:val="left" w:leader="none"/>
          <w:tab w:pos="5130" w:val="left" w:leader="none"/>
        </w:tabs>
        <w:spacing w:line="197" w:lineRule="exact"/>
        <w:ind w:left="28"/>
      </w:pPr>
      <w:r>
        <w:rPr>
          <w:u w:val="single"/>
        </w:rPr>
        <w:tab/>
      </w:r>
      <w:r>
        <w:rPr/>
        <w:tab/>
        <w:t>absent</w:t>
      </w:r>
      <w:r>
        <w:rPr>
          <w:spacing w:val="11"/>
        </w:rPr>
        <w:t> </w:t>
      </w:r>
      <w:r>
        <w:rPr/>
        <w:t>tendon</w:t>
      </w:r>
      <w:r>
        <w:rPr>
          <w:spacing w:val="13"/>
        </w:rPr>
        <w:t> </w:t>
      </w:r>
      <w:r>
        <w:rPr>
          <w:spacing w:val="-2"/>
        </w:rPr>
        <w:t>reflexes.</w:t>
      </w:r>
    </w:p>
    <w:p>
      <w:pPr>
        <w:pStyle w:val="BodyText"/>
        <w:spacing w:after="0" w:line="197" w:lineRule="exact"/>
        <w:sectPr>
          <w:type w:val="continuous"/>
          <w:pgSz w:w="11910" w:h="15820"/>
          <w:pgMar w:top="560" w:bottom="280" w:left="992" w:right="992"/>
        </w:sectPr>
      </w:pPr>
    </w:p>
    <w:p>
      <w:pPr>
        <w:spacing w:line="244" w:lineRule="auto" w:before="53"/>
        <w:ind w:left="28" w:right="302" w:firstLine="0"/>
        <w:jc w:val="left"/>
        <w:rPr>
          <w:sz w:val="17"/>
        </w:rPr>
      </w:pPr>
      <w:r>
        <w:rPr>
          <w:sz w:val="17"/>
        </w:rPr>
        <mc:AlternateContent>
          <mc:Choice Requires="wps">
            <w:drawing>
              <wp:anchor distT="0" distB="0" distL="0" distR="0" allowOverlap="1" layoutInCell="1" locked="0" behindDoc="1" simplePos="0" relativeHeight="487484416">
                <wp:simplePos x="0" y="0"/>
                <wp:positionH relativeFrom="page">
                  <wp:posOffset>1371602</wp:posOffset>
                </wp:positionH>
                <wp:positionV relativeFrom="paragraph">
                  <wp:posOffset>52037</wp:posOffset>
                </wp:positionV>
                <wp:extent cx="29209" cy="18669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9209" cy="186690"/>
                        </a:xfrm>
                        <a:prstGeom prst="rect">
                          <a:avLst/>
                        </a:prstGeom>
                      </wps:spPr>
                      <wps:txbx>
                        <w:txbxContent>
                          <w:p>
                            <w:pPr>
                              <w:spacing w:line="167" w:lineRule="exact" w:before="0"/>
                              <w:ind w:left="0" w:right="0" w:firstLine="0"/>
                              <w:jc w:val="left"/>
                              <w:rPr>
                                <w:rFonts w:ascii="Arial" w:hAnsi="Arial"/>
                                <w:sz w:val="17"/>
                              </w:rPr>
                            </w:pPr>
                            <w:r>
                              <w:rPr>
                                <w:rFonts w:ascii="Arial" w:hAnsi="Arial"/>
                                <w:spacing w:val="-10"/>
                                <w:w w:val="75"/>
                                <w:sz w:val="17"/>
                              </w:rPr>
                              <w:t>•</w:t>
                            </w:r>
                          </w:p>
                        </w:txbxContent>
                      </wps:txbx>
                      <wps:bodyPr wrap="square" lIns="0" tIns="0" rIns="0" bIns="0" rtlCol="0">
                        <a:noAutofit/>
                      </wps:bodyPr>
                    </wps:wsp>
                  </a:graphicData>
                </a:graphic>
              </wp:anchor>
            </w:drawing>
          </mc:Choice>
          <mc:Fallback>
            <w:pict>
              <v:shape style="position:absolute;margin-left:108.000191pt;margin-top:4.097424pt;width:2.3pt;height:14.7pt;mso-position-horizontal-relative:page;mso-position-vertical-relative:paragraph;z-index:-15832064" type="#_x0000_t202" id="docshape4" filled="false" stroked="false">
                <v:textbox inset="0,0,0,0">
                  <w:txbxContent>
                    <w:p>
                      <w:pPr>
                        <w:spacing w:line="167" w:lineRule="exact" w:before="0"/>
                        <w:ind w:left="0" w:right="0" w:firstLine="0"/>
                        <w:jc w:val="left"/>
                        <w:rPr>
                          <w:rFonts w:ascii="Arial" w:hAnsi="Arial"/>
                          <w:sz w:val="17"/>
                        </w:rPr>
                      </w:pPr>
                      <w:r>
                        <w:rPr>
                          <w:rFonts w:ascii="Arial" w:hAnsi="Arial"/>
                          <w:spacing w:val="-10"/>
                          <w:w w:val="75"/>
                          <w:sz w:val="17"/>
                        </w:rPr>
                        <w:t>•</w:t>
                      </w:r>
                    </w:p>
                  </w:txbxContent>
                </v:textbox>
                <w10:wrap type="none"/>
              </v:shape>
            </w:pict>
          </mc:Fallback>
        </mc:AlternateContent>
      </w:r>
      <w:r>
        <w:rPr>
          <w:sz w:val="17"/>
        </w:rPr>
        <w:t>A. M. Tuladhar</w:t>
      </w:r>
      <w:r>
        <w:rPr>
          <w:spacing w:val="80"/>
          <w:sz w:val="17"/>
        </w:rPr>
        <w:t> </w:t>
      </w:r>
      <w:r>
        <w:rPr>
          <w:sz w:val="17"/>
        </w:rPr>
        <w:t>B. P. van de Warrenburg (</w:t>
      </w:r>
      <w:r>
        <w:rPr>
          <w:rFonts w:ascii="Arial"/>
          <w:sz w:val="17"/>
        </w:rPr>
        <w:t>&amp;</w:t>
      </w:r>
      <w:r>
        <w:rPr>
          <w:sz w:val="17"/>
        </w:rPr>
        <w:t>)</w:t>
      </w:r>
      <w:r>
        <w:rPr>
          <w:spacing w:val="40"/>
          <w:sz w:val="17"/>
        </w:rPr>
        <w:t> </w:t>
      </w:r>
      <w:r>
        <w:rPr>
          <w:sz w:val="17"/>
        </w:rPr>
        <w:t>Department of Neurology, Centre for Neuroscience, Donders Institute for Brain, Cognition, and </w:t>
      </w:r>
      <w:r>
        <w:rPr>
          <w:sz w:val="17"/>
        </w:rPr>
        <w:t>Behavior,</w:t>
      </w:r>
      <w:r>
        <w:rPr>
          <w:sz w:val="17"/>
        </w:rPr>
        <w:t> Radboud University Nijmegen Medical Centre,</w:t>
      </w:r>
    </w:p>
    <w:p>
      <w:pPr>
        <w:spacing w:line="244" w:lineRule="auto" w:before="0"/>
        <w:ind w:left="28" w:right="577" w:firstLine="0"/>
        <w:jc w:val="left"/>
        <w:rPr>
          <w:sz w:val="17"/>
        </w:rPr>
      </w:pPr>
      <w:r>
        <w:rPr>
          <w:sz w:val="17"/>
        </w:rPr>
        <w:t>PO Box 9101, 6500 HB Nijmegen, The </w:t>
      </w:r>
      <w:r>
        <w:rPr>
          <w:sz w:val="17"/>
        </w:rPr>
        <w:t>Netherlands e-mail: </w:t>
      </w:r>
      <w:hyperlink r:id="rId6">
        <w:r>
          <w:rPr>
            <w:sz w:val="17"/>
          </w:rPr>
          <w:t>b.vandewarrenburg@neuro.umcn.nl</w:t>
        </w:r>
      </w:hyperlink>
    </w:p>
    <w:p>
      <w:pPr>
        <w:spacing w:before="99"/>
        <w:ind w:left="28" w:right="0" w:firstLine="0"/>
        <w:jc w:val="left"/>
        <w:rPr>
          <w:sz w:val="17"/>
        </w:rPr>
      </w:pPr>
      <w:r>
        <w:rPr>
          <w:sz w:val="17"/>
        </w:rPr>
        <w:t>A.</w:t>
      </w:r>
      <w:r>
        <w:rPr>
          <w:spacing w:val="12"/>
          <w:sz w:val="17"/>
        </w:rPr>
        <w:t> </w:t>
      </w:r>
      <w:r>
        <w:rPr>
          <w:sz w:val="17"/>
        </w:rPr>
        <w:t>M.</w:t>
      </w:r>
      <w:r>
        <w:rPr>
          <w:spacing w:val="11"/>
          <w:sz w:val="17"/>
        </w:rPr>
        <w:t> </w:t>
      </w:r>
      <w:r>
        <w:rPr>
          <w:spacing w:val="-2"/>
          <w:sz w:val="17"/>
        </w:rPr>
        <w:t>Tuladhar</w:t>
      </w:r>
    </w:p>
    <w:p>
      <w:pPr>
        <w:spacing w:before="4"/>
        <w:ind w:left="28" w:right="0" w:firstLine="0"/>
        <w:jc w:val="left"/>
        <w:rPr>
          <w:sz w:val="17"/>
        </w:rPr>
      </w:pPr>
      <w:r>
        <w:rPr>
          <w:sz w:val="17"/>
        </w:rPr>
        <w:t>e-mail:</w:t>
      </w:r>
      <w:r>
        <w:rPr>
          <w:spacing w:val="14"/>
          <w:sz w:val="17"/>
        </w:rPr>
        <w:t> </w:t>
      </w:r>
      <w:hyperlink r:id="rId7">
        <w:r>
          <w:rPr>
            <w:spacing w:val="-2"/>
            <w:sz w:val="17"/>
          </w:rPr>
          <w:t>am.tuladhar@neuro.umcn.nl</w:t>
        </w:r>
      </w:hyperlink>
    </w:p>
    <w:p>
      <w:pPr>
        <w:pStyle w:val="BodyText"/>
        <w:spacing w:before="6"/>
        <w:rPr>
          <w:sz w:val="17"/>
        </w:rPr>
      </w:pPr>
    </w:p>
    <w:p>
      <w:pPr>
        <w:spacing w:before="0"/>
        <w:ind w:left="28" w:right="0" w:firstLine="0"/>
        <w:jc w:val="left"/>
        <w:rPr>
          <w:sz w:val="17"/>
        </w:rPr>
      </w:pPr>
      <w:r>
        <w:rPr>
          <w:sz w:val="17"/>
        </w:rPr>
        <w:t>F.</w:t>
      </w:r>
      <w:r>
        <w:rPr>
          <w:spacing w:val="12"/>
          <w:sz w:val="17"/>
        </w:rPr>
        <w:t> </w:t>
      </w:r>
      <w:r>
        <w:rPr>
          <w:sz w:val="17"/>
        </w:rPr>
        <w:t>J.</w:t>
      </w:r>
      <w:r>
        <w:rPr>
          <w:spacing w:val="11"/>
          <w:sz w:val="17"/>
        </w:rPr>
        <w:t> </w:t>
      </w:r>
      <w:r>
        <w:rPr>
          <w:sz w:val="17"/>
        </w:rPr>
        <w:t>A.</w:t>
      </w:r>
      <w:r>
        <w:rPr>
          <w:spacing w:val="12"/>
          <w:sz w:val="17"/>
        </w:rPr>
        <w:t> </w:t>
      </w:r>
      <w:r>
        <w:rPr>
          <w:spacing w:val="-2"/>
          <w:sz w:val="17"/>
        </w:rPr>
        <w:t>Meijer</w:t>
      </w:r>
    </w:p>
    <w:p>
      <w:pPr>
        <w:spacing w:line="244" w:lineRule="auto" w:before="4"/>
        <w:ind w:left="28" w:right="0" w:firstLine="0"/>
        <w:jc w:val="left"/>
        <w:rPr>
          <w:sz w:val="17"/>
        </w:rPr>
      </w:pPr>
      <w:r>
        <w:rPr>
          <w:sz w:val="17"/>
        </w:rPr>
        <w:t>Department of Radiology, Donders Centre for </w:t>
      </w:r>
      <w:r>
        <w:rPr>
          <w:sz w:val="17"/>
        </w:rPr>
        <w:t>Neuroscience, Radboud University Nijmegen Medical Centre, Nijmegen, The Netherlands</w:t>
      </w:r>
    </w:p>
    <w:p>
      <w:pPr>
        <w:pStyle w:val="BodyText"/>
        <w:spacing w:line="259" w:lineRule="auto" w:before="19"/>
        <w:ind w:left="28" w:right="26" w:firstLine="226"/>
        <w:jc w:val="both"/>
      </w:pPr>
      <w:r>
        <w:rPr/>
        <w:br w:type="column"/>
      </w:r>
      <w:r>
        <w:rPr>
          <w:w w:val="105"/>
        </w:rPr>
        <w:t>Brain</w:t>
      </w:r>
      <w:r>
        <w:rPr>
          <w:spacing w:val="-4"/>
          <w:w w:val="105"/>
        </w:rPr>
        <w:t> </w:t>
      </w:r>
      <w:r>
        <w:rPr>
          <w:w w:val="105"/>
        </w:rPr>
        <w:t>MRI</w:t>
      </w:r>
      <w:r>
        <w:rPr>
          <w:spacing w:val="-4"/>
          <w:w w:val="105"/>
        </w:rPr>
        <w:t> </w:t>
      </w:r>
      <w:r>
        <w:rPr>
          <w:w w:val="105"/>
        </w:rPr>
        <w:t>(Fig.</w:t>
      </w:r>
      <w:r>
        <w:rPr>
          <w:spacing w:val="-11"/>
          <w:w w:val="105"/>
        </w:rPr>
        <w:t> </w:t>
      </w:r>
      <w:hyperlink w:history="true" w:anchor="_bookmark0">
        <w:r>
          <w:rPr>
            <w:color w:val="0000FF"/>
            <w:w w:val="105"/>
          </w:rPr>
          <w:t>1</w:t>
        </w:r>
      </w:hyperlink>
      <w:r>
        <w:rPr>
          <w:w w:val="105"/>
        </w:rPr>
        <w:t>)</w:t>
      </w:r>
      <w:r>
        <w:rPr>
          <w:spacing w:val="-4"/>
          <w:w w:val="105"/>
        </w:rPr>
        <w:t> </w:t>
      </w:r>
      <w:r>
        <w:rPr>
          <w:w w:val="105"/>
        </w:rPr>
        <w:t>now</w:t>
      </w:r>
      <w:r>
        <w:rPr>
          <w:spacing w:val="-4"/>
          <w:w w:val="105"/>
        </w:rPr>
        <w:t> </w:t>
      </w:r>
      <w:r>
        <w:rPr>
          <w:w w:val="105"/>
        </w:rPr>
        <w:t>revealed</w:t>
      </w:r>
      <w:r>
        <w:rPr>
          <w:spacing w:val="-5"/>
          <w:w w:val="105"/>
        </w:rPr>
        <w:t> </w:t>
      </w:r>
      <w:r>
        <w:rPr>
          <w:w w:val="105"/>
        </w:rPr>
        <w:t>mild</w:t>
      </w:r>
      <w:r>
        <w:rPr>
          <w:spacing w:val="-4"/>
          <w:w w:val="105"/>
        </w:rPr>
        <w:t> </w:t>
      </w:r>
      <w:r>
        <w:rPr>
          <w:w w:val="105"/>
        </w:rPr>
        <w:t>cerebellar</w:t>
      </w:r>
      <w:r>
        <w:rPr>
          <w:spacing w:val="-5"/>
          <w:w w:val="105"/>
        </w:rPr>
        <w:t> </w:t>
      </w:r>
      <w:r>
        <w:rPr>
          <w:w w:val="105"/>
        </w:rPr>
        <w:t>atro- phy,</w:t>
      </w:r>
      <w:r>
        <w:rPr>
          <w:spacing w:val="-14"/>
          <w:w w:val="105"/>
        </w:rPr>
        <w:t> </w:t>
      </w:r>
      <w:r>
        <w:rPr>
          <w:w w:val="105"/>
        </w:rPr>
        <w:t>as</w:t>
      </w:r>
      <w:r>
        <w:rPr>
          <w:spacing w:val="-13"/>
          <w:w w:val="105"/>
        </w:rPr>
        <w:t> </w:t>
      </w:r>
      <w:r>
        <w:rPr>
          <w:w w:val="105"/>
        </w:rPr>
        <w:t>well</w:t>
      </w:r>
      <w:r>
        <w:rPr>
          <w:spacing w:val="-13"/>
          <w:w w:val="105"/>
        </w:rPr>
        <w:t> </w:t>
      </w:r>
      <w:r>
        <w:rPr>
          <w:w w:val="105"/>
        </w:rPr>
        <w:t>as</w:t>
      </w:r>
      <w:r>
        <w:rPr>
          <w:spacing w:val="-13"/>
          <w:w w:val="105"/>
        </w:rPr>
        <w:t> </w:t>
      </w:r>
      <w:r>
        <w:rPr>
          <w:w w:val="105"/>
        </w:rPr>
        <w:t>small</w:t>
      </w:r>
      <w:r>
        <w:rPr>
          <w:spacing w:val="-13"/>
          <w:w w:val="105"/>
        </w:rPr>
        <w:t> </w:t>
      </w:r>
      <w:r>
        <w:rPr>
          <w:w w:val="105"/>
        </w:rPr>
        <w:t>symmetric</w:t>
      </w:r>
      <w:r>
        <w:rPr>
          <w:spacing w:val="-13"/>
          <w:w w:val="105"/>
        </w:rPr>
        <w:t> </w:t>
      </w:r>
      <w:r>
        <w:rPr>
          <w:w w:val="105"/>
        </w:rPr>
        <w:t>signal</w:t>
      </w:r>
      <w:r>
        <w:rPr>
          <w:spacing w:val="-13"/>
          <w:w w:val="105"/>
        </w:rPr>
        <w:t> </w:t>
      </w:r>
      <w:r>
        <w:rPr>
          <w:w w:val="105"/>
        </w:rPr>
        <w:t>changes</w:t>
      </w:r>
      <w:r>
        <w:rPr>
          <w:spacing w:val="-13"/>
          <w:w w:val="105"/>
        </w:rPr>
        <w:t> </w:t>
      </w:r>
      <w:r>
        <w:rPr>
          <w:w w:val="105"/>
        </w:rPr>
        <w:t>in</w:t>
      </w:r>
      <w:r>
        <w:rPr>
          <w:spacing w:val="-14"/>
          <w:w w:val="105"/>
        </w:rPr>
        <w:t> </w:t>
      </w:r>
      <w:r>
        <w:rPr>
          <w:w w:val="105"/>
        </w:rPr>
        <w:t>the</w:t>
      </w:r>
      <w:r>
        <w:rPr>
          <w:spacing w:val="-13"/>
          <w:w w:val="105"/>
        </w:rPr>
        <w:t> </w:t>
      </w:r>
      <w:r>
        <w:rPr>
          <w:w w:val="105"/>
        </w:rPr>
        <w:t>cer- ebellar</w:t>
      </w:r>
      <w:r>
        <w:rPr>
          <w:w w:val="105"/>
        </w:rPr>
        <w:t> white</w:t>
      </w:r>
      <w:r>
        <w:rPr>
          <w:w w:val="105"/>
        </w:rPr>
        <w:t> matter</w:t>
      </w:r>
      <w:r>
        <w:rPr>
          <w:w w:val="105"/>
        </w:rPr>
        <w:t> that</w:t>
      </w:r>
      <w:r>
        <w:rPr>
          <w:w w:val="105"/>
        </w:rPr>
        <w:t> were</w:t>
      </w:r>
      <w:r>
        <w:rPr>
          <w:w w:val="105"/>
        </w:rPr>
        <w:t> hyperintense</w:t>
      </w:r>
      <w:r>
        <w:rPr>
          <w:w w:val="105"/>
        </w:rPr>
        <w:t> on</w:t>
      </w:r>
      <w:r>
        <w:rPr>
          <w:w w:val="105"/>
        </w:rPr>
        <w:t> T2,</w:t>
      </w:r>
      <w:r>
        <w:rPr>
          <w:w w:val="105"/>
        </w:rPr>
        <w:t> fluid </w:t>
      </w:r>
      <w:r>
        <w:rPr/>
        <w:t>attenuated inversion recovery (FLAIR), and slightly hypo- </w:t>
      </w:r>
      <w:r>
        <w:rPr>
          <w:w w:val="105"/>
        </w:rPr>
        <w:t>intense</w:t>
      </w:r>
      <w:r>
        <w:rPr>
          <w:w w:val="105"/>
        </w:rPr>
        <w:t> on</w:t>
      </w:r>
      <w:r>
        <w:rPr>
          <w:w w:val="105"/>
        </w:rPr>
        <w:t> T1</w:t>
      </w:r>
      <w:r>
        <w:rPr>
          <w:w w:val="105"/>
        </w:rPr>
        <w:t> images.</w:t>
      </w:r>
      <w:r>
        <w:rPr>
          <w:w w:val="105"/>
        </w:rPr>
        <w:t> Electroencephalography</w:t>
      </w:r>
      <w:r>
        <w:rPr>
          <w:w w:val="105"/>
        </w:rPr>
        <w:t> showed mild</w:t>
      </w:r>
      <w:r>
        <w:rPr>
          <w:w w:val="105"/>
        </w:rPr>
        <w:t> diffuse</w:t>
      </w:r>
      <w:r>
        <w:rPr>
          <w:w w:val="105"/>
        </w:rPr>
        <w:t> slowing</w:t>
      </w:r>
      <w:r>
        <w:rPr>
          <w:w w:val="105"/>
        </w:rPr>
        <w:t> without</w:t>
      </w:r>
      <w:r>
        <w:rPr>
          <w:w w:val="105"/>
        </w:rPr>
        <w:t> epileptic</w:t>
      </w:r>
      <w:r>
        <w:rPr>
          <w:w w:val="105"/>
        </w:rPr>
        <w:t> activity</w:t>
      </w:r>
      <w:r>
        <w:rPr>
          <w:w w:val="105"/>
        </w:rPr>
        <w:t> and</w:t>
      </w:r>
      <w:r>
        <w:rPr>
          <w:w w:val="105"/>
        </w:rPr>
        <w:t> elec- tromyography</w:t>
      </w:r>
      <w:r>
        <w:rPr>
          <w:w w:val="105"/>
        </w:rPr>
        <w:t> indicated</w:t>
      </w:r>
      <w:r>
        <w:rPr>
          <w:w w:val="105"/>
        </w:rPr>
        <w:t> a</w:t>
      </w:r>
      <w:r>
        <w:rPr>
          <w:w w:val="105"/>
        </w:rPr>
        <w:t> sensory</w:t>
      </w:r>
      <w:r>
        <w:rPr>
          <w:w w:val="105"/>
        </w:rPr>
        <w:t> neuronopathy.</w:t>
      </w:r>
      <w:r>
        <w:rPr>
          <w:w w:val="105"/>
        </w:rPr>
        <w:t> As</w:t>
      </w:r>
      <w:r>
        <w:rPr>
          <w:w w:val="105"/>
        </w:rPr>
        <w:t> the clinical</w:t>
      </w:r>
      <w:r>
        <w:rPr>
          <w:spacing w:val="-6"/>
          <w:w w:val="105"/>
        </w:rPr>
        <w:t> </w:t>
      </w:r>
      <w:r>
        <w:rPr>
          <w:w w:val="105"/>
        </w:rPr>
        <w:t>constellation</w:t>
      </w:r>
      <w:r>
        <w:rPr>
          <w:spacing w:val="-8"/>
          <w:w w:val="105"/>
        </w:rPr>
        <w:t> </w:t>
      </w:r>
      <w:r>
        <w:rPr>
          <w:w w:val="105"/>
        </w:rPr>
        <w:t>was</w:t>
      </w:r>
      <w:r>
        <w:rPr>
          <w:spacing w:val="-7"/>
          <w:w w:val="105"/>
        </w:rPr>
        <w:t> </w:t>
      </w:r>
      <w:r>
        <w:rPr>
          <w:w w:val="105"/>
        </w:rPr>
        <w:t>now</w:t>
      </w:r>
      <w:r>
        <w:rPr>
          <w:spacing w:val="-7"/>
          <w:w w:val="105"/>
        </w:rPr>
        <w:t> </w:t>
      </w:r>
      <w:r>
        <w:rPr>
          <w:w w:val="105"/>
        </w:rPr>
        <w:t>very</w:t>
      </w:r>
      <w:r>
        <w:rPr>
          <w:spacing w:val="-7"/>
          <w:w w:val="105"/>
        </w:rPr>
        <w:t> </w:t>
      </w:r>
      <w:r>
        <w:rPr>
          <w:w w:val="105"/>
        </w:rPr>
        <w:t>suggestive</w:t>
      </w:r>
      <w:r>
        <w:rPr>
          <w:spacing w:val="-6"/>
          <w:w w:val="105"/>
        </w:rPr>
        <w:t> </w:t>
      </w:r>
      <w:r>
        <w:rPr>
          <w:w w:val="105"/>
        </w:rPr>
        <w:t>of</w:t>
      </w:r>
      <w:r>
        <w:rPr>
          <w:spacing w:val="-8"/>
          <w:w w:val="105"/>
        </w:rPr>
        <w:t> </w:t>
      </w:r>
      <w:r>
        <w:rPr>
          <w:w w:val="105"/>
        </w:rPr>
        <w:t>a</w:t>
      </w:r>
      <w:r>
        <w:rPr>
          <w:spacing w:val="-8"/>
          <w:w w:val="105"/>
        </w:rPr>
        <w:t> </w:t>
      </w:r>
      <w:r>
        <w:rPr>
          <w:w w:val="105"/>
        </w:rPr>
        <w:t>mito- chondrial</w:t>
      </w:r>
      <w:r>
        <w:rPr>
          <w:w w:val="105"/>
        </w:rPr>
        <w:t> disorder,</w:t>
      </w:r>
      <w:r>
        <w:rPr>
          <w:w w:val="105"/>
        </w:rPr>
        <w:t> </w:t>
      </w:r>
      <w:r>
        <w:rPr>
          <w:i/>
          <w:w w:val="105"/>
        </w:rPr>
        <w:t>POLG</w:t>
      </w:r>
      <w:r>
        <w:rPr>
          <w:i/>
          <w:w w:val="105"/>
        </w:rPr>
        <w:t> </w:t>
      </w:r>
      <w:r>
        <w:rPr>
          <w:w w:val="105"/>
        </w:rPr>
        <w:t>mutation</w:t>
      </w:r>
      <w:r>
        <w:rPr>
          <w:w w:val="105"/>
        </w:rPr>
        <w:t> analysis</w:t>
      </w:r>
      <w:r>
        <w:rPr>
          <w:w w:val="105"/>
        </w:rPr>
        <w:t> was</w:t>
      </w:r>
      <w:r>
        <w:rPr>
          <w:w w:val="105"/>
        </w:rPr>
        <w:t> per- </w:t>
      </w:r>
      <w:r>
        <w:rPr/>
        <w:t>formed,</w:t>
      </w:r>
      <w:r>
        <w:rPr>
          <w:spacing w:val="-13"/>
        </w:rPr>
        <w:t> </w:t>
      </w:r>
      <w:r>
        <w:rPr/>
        <w:t>which</w:t>
      </w:r>
      <w:r>
        <w:rPr>
          <w:spacing w:val="-12"/>
        </w:rPr>
        <w:t> </w:t>
      </w:r>
      <w:r>
        <w:rPr/>
        <w:t>revealed</w:t>
      </w:r>
      <w:r>
        <w:rPr>
          <w:spacing w:val="-12"/>
        </w:rPr>
        <w:t> </w:t>
      </w:r>
      <w:r>
        <w:rPr/>
        <w:t>a</w:t>
      </w:r>
      <w:r>
        <w:rPr>
          <w:spacing w:val="-13"/>
        </w:rPr>
        <w:t> </w:t>
      </w:r>
      <w:r>
        <w:rPr/>
        <w:t>compound</w:t>
      </w:r>
      <w:r>
        <w:rPr>
          <w:spacing w:val="-12"/>
        </w:rPr>
        <w:t> </w:t>
      </w:r>
      <w:r>
        <w:rPr/>
        <w:t>heterozygous</w:t>
      </w:r>
      <w:r>
        <w:rPr>
          <w:spacing w:val="-13"/>
        </w:rPr>
        <w:t> </w:t>
      </w:r>
      <w:r>
        <w:rPr/>
        <w:t>mutation </w:t>
      </w:r>
      <w:r>
        <w:rPr>
          <w:w w:val="105"/>
        </w:rPr>
        <w:t>(c.1399G</w:t>
      </w:r>
      <w:r>
        <w:rPr>
          <w:spacing w:val="-11"/>
          <w:w w:val="105"/>
        </w:rPr>
        <w:t> </w:t>
      </w:r>
      <w:r>
        <w:rPr>
          <w:w w:val="195"/>
        </w:rPr>
        <w:t>?</w:t>
      </w:r>
      <w:r>
        <w:rPr>
          <w:spacing w:val="-31"/>
          <w:w w:val="195"/>
        </w:rPr>
        <w:t> </w:t>
      </w:r>
      <w:r>
        <w:rPr>
          <w:w w:val="105"/>
        </w:rPr>
        <w:t>A</w:t>
      </w:r>
      <w:r>
        <w:rPr>
          <w:spacing w:val="48"/>
          <w:w w:val="105"/>
        </w:rPr>
        <w:t> </w:t>
      </w:r>
      <w:r>
        <w:rPr>
          <w:w w:val="105"/>
        </w:rPr>
        <w:t>and</w:t>
      </w:r>
      <w:r>
        <w:rPr>
          <w:spacing w:val="58"/>
          <w:w w:val="105"/>
        </w:rPr>
        <w:t> </w:t>
      </w:r>
      <w:r>
        <w:rPr>
          <w:w w:val="105"/>
        </w:rPr>
        <w:t>c.2243G</w:t>
      </w:r>
      <w:r>
        <w:rPr>
          <w:spacing w:val="-41"/>
          <w:w w:val="195"/>
        </w:rPr>
        <w:t> </w:t>
      </w:r>
      <w:r>
        <w:rPr>
          <w:w w:val="195"/>
        </w:rPr>
        <w:t>?</w:t>
      </w:r>
      <w:r>
        <w:rPr>
          <w:spacing w:val="-32"/>
          <w:w w:val="195"/>
        </w:rPr>
        <w:t> </w:t>
      </w:r>
      <w:r>
        <w:rPr>
          <w:w w:val="105"/>
        </w:rPr>
        <w:t>C).</w:t>
      </w:r>
      <w:r>
        <w:rPr>
          <w:spacing w:val="58"/>
          <w:w w:val="105"/>
        </w:rPr>
        <w:t> </w:t>
      </w:r>
      <w:r>
        <w:rPr>
          <w:w w:val="105"/>
        </w:rPr>
        <w:t>Levetiracetam</w:t>
      </w:r>
      <w:r>
        <w:rPr>
          <w:spacing w:val="60"/>
          <w:w w:val="105"/>
        </w:rPr>
        <w:t> </w:t>
      </w:r>
      <w:r>
        <w:rPr>
          <w:spacing w:val="-5"/>
          <w:w w:val="105"/>
        </w:rPr>
        <w:t>was</w:t>
      </w:r>
    </w:p>
    <w:p>
      <w:pPr>
        <w:pStyle w:val="BodyText"/>
        <w:spacing w:before="68"/>
      </w:pPr>
    </w:p>
    <w:p>
      <w:pPr>
        <w:pStyle w:val="Heading1"/>
      </w:pPr>
      <w:r>
        <w:rPr>
          <w:w w:val="85"/>
        </w:rPr>
        <w:t>1</w:t>
      </w:r>
      <w:r>
        <w:rPr>
          <w:spacing w:val="-7"/>
          <w:w w:val="85"/>
        </w:rPr>
        <w:t> </w:t>
      </w:r>
      <w:r>
        <w:rPr>
          <w:spacing w:val="-10"/>
          <w:w w:val="335"/>
        </w:rPr>
        <w:t>3</w:t>
      </w:r>
    </w:p>
    <w:p>
      <w:pPr>
        <w:pStyle w:val="Heading1"/>
        <w:spacing w:after="0"/>
        <w:sectPr>
          <w:type w:val="continuous"/>
          <w:pgSz w:w="11910" w:h="15820"/>
          <w:pgMar w:top="560" w:bottom="280" w:left="992" w:right="992"/>
          <w:cols w:num="2" w:equalWidth="0">
            <w:col w:w="4252" w:space="850"/>
            <w:col w:w="4824"/>
          </w:cols>
        </w:sectPr>
      </w:pPr>
    </w:p>
    <w:p>
      <w:pPr>
        <w:tabs>
          <w:tab w:pos="7840" w:val="left" w:leader="none"/>
        </w:tabs>
        <w:spacing w:before="43"/>
        <w:ind w:left="28" w:right="0" w:firstLine="0"/>
        <w:jc w:val="left"/>
        <w:rPr>
          <w:sz w:val="17"/>
        </w:rPr>
      </w:pPr>
      <w:bookmarkStart w:name="_bookmark0" w:id="2"/>
      <w:bookmarkEnd w:id="2"/>
      <w:r>
        <w:rPr/>
      </w:r>
      <w:r>
        <w:rPr>
          <w:spacing w:val="-5"/>
          <w:sz w:val="17"/>
        </w:rPr>
        <w:t>904</w:t>
      </w:r>
      <w:r>
        <w:rPr>
          <w:sz w:val="17"/>
        </w:rPr>
        <w:tab/>
        <w:t>J</w:t>
      </w:r>
      <w:r>
        <w:rPr>
          <w:spacing w:val="10"/>
          <w:sz w:val="17"/>
        </w:rPr>
        <w:t> </w:t>
      </w:r>
      <w:r>
        <w:rPr>
          <w:sz w:val="17"/>
        </w:rPr>
        <w:t>Neurol</w:t>
      </w:r>
      <w:r>
        <w:rPr>
          <w:spacing w:val="10"/>
          <w:sz w:val="17"/>
        </w:rPr>
        <w:t> </w:t>
      </w:r>
      <w:r>
        <w:rPr>
          <w:sz w:val="17"/>
        </w:rPr>
        <w:t>(2013)</w:t>
      </w:r>
      <w:r>
        <w:rPr>
          <w:spacing w:val="10"/>
          <w:sz w:val="17"/>
        </w:rPr>
        <w:t> </w:t>
      </w:r>
      <w:r>
        <w:rPr>
          <w:spacing w:val="-2"/>
          <w:sz w:val="17"/>
        </w:rPr>
        <w:t>260:903–905</w:t>
      </w:r>
    </w:p>
    <w:p>
      <w:pPr>
        <w:pStyle w:val="BodyText"/>
        <w:rPr>
          <w:sz w:val="4"/>
        </w:rPr>
      </w:pPr>
      <w:r>
        <w:rPr>
          <w:sz w:val="4"/>
        </w:rPr>
        <mc:AlternateContent>
          <mc:Choice Requires="wps">
            <w:drawing>
              <wp:anchor distT="0" distB="0" distL="0" distR="0" allowOverlap="1" layoutInCell="1" locked="0" behindDoc="1" simplePos="0" relativeHeight="487588864">
                <wp:simplePos x="0" y="0"/>
                <wp:positionH relativeFrom="page">
                  <wp:posOffset>648004</wp:posOffset>
                </wp:positionH>
                <wp:positionV relativeFrom="paragraph">
                  <wp:posOffset>44551</wp:posOffset>
                </wp:positionV>
                <wp:extent cx="6264275" cy="1270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264275" cy="12700"/>
                        </a:xfrm>
                        <a:custGeom>
                          <a:avLst/>
                          <a:gdLst/>
                          <a:ahLst/>
                          <a:cxnLst/>
                          <a:rect l="l" t="t" r="r" b="b"/>
                          <a:pathLst>
                            <a:path w="6264275" h="12700">
                              <a:moveTo>
                                <a:pt x="6263995" y="0"/>
                              </a:moveTo>
                              <a:lnTo>
                                <a:pt x="0" y="0"/>
                              </a:lnTo>
                              <a:lnTo>
                                <a:pt x="0" y="12240"/>
                              </a:lnTo>
                              <a:lnTo>
                                <a:pt x="6263995" y="12240"/>
                              </a:lnTo>
                              <a:lnTo>
                                <a:pt x="6263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23998pt;margin-top:3.50802pt;width:493.228pt;height:.96381pt;mso-position-horizontal-relative:page;mso-position-vertical-relative:paragraph;z-index:-15727616;mso-wrap-distance-left:0;mso-wrap-distance-right:0" id="docshape5" filled="true" fillcolor="#000000" stroked="false">
                <v:fill type="solid"/>
                <w10:wrap type="topAndBottom"/>
              </v:rect>
            </w:pict>
          </mc:Fallback>
        </mc:AlternateContent>
      </w:r>
    </w:p>
    <w:p>
      <w:pPr>
        <w:pStyle w:val="BodyText"/>
        <w:spacing w:before="22"/>
        <w:rPr>
          <w:sz w:val="17"/>
        </w:rPr>
      </w:pPr>
    </w:p>
    <w:p>
      <w:pPr>
        <w:spacing w:line="244" w:lineRule="auto" w:before="0"/>
        <w:ind w:left="28" w:right="7647" w:firstLine="0"/>
        <w:jc w:val="left"/>
        <w:rPr>
          <w:sz w:val="17"/>
        </w:rPr>
      </w:pPr>
      <w:r>
        <w:rPr>
          <w:sz w:val="17"/>
        </w:rPr>
        <w:drawing>
          <wp:anchor distT="0" distB="0" distL="0" distR="0" allowOverlap="1" layoutInCell="1" locked="0" behindDoc="0" simplePos="0" relativeHeight="15730176">
            <wp:simplePos x="0" y="0"/>
            <wp:positionH relativeFrom="page">
              <wp:posOffset>2593733</wp:posOffset>
            </wp:positionH>
            <wp:positionV relativeFrom="paragraph">
              <wp:posOffset>26769</wp:posOffset>
            </wp:positionV>
            <wp:extent cx="4318266" cy="5543994"/>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4318266" cy="5543994"/>
                    </a:xfrm>
                    <a:prstGeom prst="rect">
                      <a:avLst/>
                    </a:prstGeom>
                  </pic:spPr>
                </pic:pic>
              </a:graphicData>
            </a:graphic>
          </wp:anchor>
        </w:drawing>
      </w:r>
      <w:r>
        <w:rPr>
          <w:sz w:val="17"/>
        </w:rPr>
        <w:t>Fig. 1</w:t>
      </w:r>
      <w:r>
        <w:rPr>
          <w:spacing w:val="40"/>
          <w:sz w:val="17"/>
        </w:rPr>
        <w:t> </w:t>
      </w:r>
      <w:r>
        <w:rPr>
          <w:sz w:val="17"/>
        </w:rPr>
        <w:t>Symmetric hyperintense signal changes in cerebellum, dorsal of dentate nucleus (</w:t>
      </w:r>
      <w:r>
        <w:rPr>
          <w:i/>
          <w:sz w:val="17"/>
        </w:rPr>
        <w:t>arrows</w:t>
      </w:r>
      <w:r>
        <w:rPr>
          <w:sz w:val="17"/>
        </w:rPr>
        <w:t>),</w:t>
      </w:r>
      <w:r>
        <w:rPr>
          <w:spacing w:val="-2"/>
          <w:sz w:val="17"/>
        </w:rPr>
        <w:t> </w:t>
      </w:r>
      <w:r>
        <w:rPr>
          <w:sz w:val="17"/>
        </w:rPr>
        <w:t>on</w:t>
      </w:r>
      <w:r>
        <w:rPr>
          <w:spacing w:val="-2"/>
          <w:sz w:val="17"/>
        </w:rPr>
        <w:t> </w:t>
      </w:r>
      <w:r>
        <w:rPr>
          <w:sz w:val="17"/>
        </w:rPr>
        <w:t>axial</w:t>
      </w:r>
      <w:r>
        <w:rPr>
          <w:spacing w:val="-1"/>
          <w:sz w:val="17"/>
        </w:rPr>
        <w:t> </w:t>
      </w:r>
      <w:r>
        <w:rPr>
          <w:sz w:val="17"/>
        </w:rPr>
        <w:t>T2 turbo</w:t>
      </w:r>
      <w:r>
        <w:rPr>
          <w:spacing w:val="-2"/>
          <w:sz w:val="17"/>
        </w:rPr>
        <w:t> </w:t>
      </w:r>
      <w:r>
        <w:rPr>
          <w:sz w:val="17"/>
        </w:rPr>
        <w:t>spin echo image (a) and T2 fluid attenuated inversed recovery (FLAIR) image (b). These changes are slightly hypo- intense on the axial T1 image</w:t>
      </w:r>
    </w:p>
    <w:p>
      <w:pPr>
        <w:spacing w:line="244" w:lineRule="auto" w:before="0"/>
        <w:ind w:left="28" w:right="7692" w:firstLine="0"/>
        <w:jc w:val="left"/>
        <w:rPr>
          <w:sz w:val="17"/>
        </w:rPr>
      </w:pPr>
      <w:r>
        <w:rPr>
          <w:sz w:val="17"/>
        </w:rPr>
        <w:t>(c). The sagittal T2 image</w:t>
      </w:r>
      <w:r>
        <w:rPr>
          <w:spacing w:val="40"/>
          <w:sz w:val="17"/>
        </w:rPr>
        <w:t> </w:t>
      </w:r>
      <w:r>
        <w:rPr>
          <w:sz w:val="17"/>
        </w:rPr>
        <w:t>shows</w:t>
      </w:r>
      <w:r>
        <w:rPr>
          <w:spacing w:val="-11"/>
          <w:sz w:val="17"/>
        </w:rPr>
        <w:t> </w:t>
      </w:r>
      <w:r>
        <w:rPr>
          <w:sz w:val="17"/>
        </w:rPr>
        <w:t>atrophy</w:t>
      </w:r>
      <w:r>
        <w:rPr>
          <w:spacing w:val="-10"/>
          <w:sz w:val="17"/>
        </w:rPr>
        <w:t> </w:t>
      </w:r>
      <w:r>
        <w:rPr>
          <w:sz w:val="17"/>
        </w:rPr>
        <w:t>of</w:t>
      </w:r>
      <w:r>
        <w:rPr>
          <w:spacing w:val="-11"/>
          <w:sz w:val="17"/>
        </w:rPr>
        <w:t> </w:t>
      </w:r>
      <w:r>
        <w:rPr>
          <w:sz w:val="17"/>
        </w:rPr>
        <w:t>the</w:t>
      </w:r>
      <w:r>
        <w:rPr>
          <w:spacing w:val="-11"/>
          <w:sz w:val="17"/>
        </w:rPr>
        <w:t> </w:t>
      </w:r>
      <w:r>
        <w:rPr>
          <w:sz w:val="17"/>
        </w:rPr>
        <w:t>cerebellum </w:t>
      </w:r>
      <w:r>
        <w:rPr>
          <w:spacing w:val="-4"/>
          <w:sz w:val="17"/>
        </w:rPr>
        <w:t>(d)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8"/>
      </w:pPr>
    </w:p>
    <w:p>
      <w:pPr>
        <w:pStyle w:val="BodyText"/>
        <w:spacing w:after="0"/>
        <w:sectPr>
          <w:pgSz w:w="11910" w:h="15820"/>
          <w:pgMar w:top="580" w:bottom="280" w:left="992" w:right="992"/>
        </w:sectPr>
      </w:pPr>
    </w:p>
    <w:p>
      <w:pPr>
        <w:pStyle w:val="BodyText"/>
        <w:spacing w:line="259" w:lineRule="auto" w:before="69"/>
        <w:ind w:left="28"/>
        <w:jc w:val="both"/>
      </w:pPr>
      <w:bookmarkStart w:name="Acknowledgments" w:id="3"/>
      <w:bookmarkEnd w:id="3"/>
      <w:r>
        <w:rPr/>
      </w:r>
      <w:r>
        <w:rPr/>
        <w:t>started</w:t>
      </w:r>
      <w:r>
        <w:rPr>
          <w:spacing w:val="-7"/>
        </w:rPr>
        <w:t> </w:t>
      </w:r>
      <w:r>
        <w:rPr/>
        <w:t>because</w:t>
      </w:r>
      <w:r>
        <w:rPr>
          <w:spacing w:val="-8"/>
        </w:rPr>
        <w:t> </w:t>
      </w:r>
      <w:r>
        <w:rPr/>
        <w:t>of</w:t>
      </w:r>
      <w:r>
        <w:rPr>
          <w:spacing w:val="-8"/>
        </w:rPr>
        <w:t> </w:t>
      </w:r>
      <w:r>
        <w:rPr/>
        <w:t>the</w:t>
      </w:r>
      <w:r>
        <w:rPr>
          <w:spacing w:val="-8"/>
        </w:rPr>
        <w:t> </w:t>
      </w:r>
      <w:r>
        <w:rPr/>
        <w:t>myoclonus</w:t>
      </w:r>
      <w:r>
        <w:rPr>
          <w:spacing w:val="-8"/>
        </w:rPr>
        <w:t> </w:t>
      </w:r>
      <w:r>
        <w:rPr/>
        <w:t>and</w:t>
      </w:r>
      <w:r>
        <w:rPr>
          <w:spacing w:val="-7"/>
        </w:rPr>
        <w:t> </w:t>
      </w:r>
      <w:r>
        <w:rPr/>
        <w:t>possible</w:t>
      </w:r>
      <w:r>
        <w:rPr>
          <w:spacing w:val="-8"/>
        </w:rPr>
        <w:t> </w:t>
      </w:r>
      <w:r>
        <w:rPr/>
        <w:t>seizures,</w:t>
      </w:r>
      <w:r>
        <w:rPr>
          <w:spacing w:val="-9"/>
        </w:rPr>
        <w:t> </w:t>
      </w:r>
      <w:r>
        <w:rPr/>
        <w:t>and she was referred for rehabilitation and cardiac screening.</w:t>
      </w:r>
    </w:p>
    <w:p>
      <w:pPr>
        <w:pStyle w:val="BodyText"/>
        <w:spacing w:line="259" w:lineRule="auto" w:before="1"/>
        <w:ind w:left="28" w:firstLine="226"/>
        <w:jc w:val="both"/>
      </w:pPr>
      <w:r>
        <w:rPr/>
        <w:t>This case firstly illustrates that </w:t>
      </w:r>
      <w:r>
        <w:rPr>
          <w:i/>
        </w:rPr>
        <w:t>POLG </w:t>
      </w:r>
      <w:r>
        <w:rPr/>
        <w:t>can present </w:t>
      </w:r>
      <w:r>
        <w:rPr/>
        <w:t>rela- tively late and can present with hyperkinetic movement disorders, such as jerky torticollis. The mutations we identified (c.1399G </w:t>
      </w:r>
      <w:r>
        <w:rPr>
          <w:w w:val="195"/>
        </w:rPr>
        <w:t>?</w:t>
      </w:r>
      <w:r>
        <w:rPr>
          <w:spacing w:val="-25"/>
          <w:w w:val="195"/>
        </w:rPr>
        <w:t> </w:t>
      </w:r>
      <w:r>
        <w:rPr/>
        <w:t>A and c.2243G </w:t>
      </w:r>
      <w:r>
        <w:rPr>
          <w:w w:val="195"/>
        </w:rPr>
        <w:t>?</w:t>
      </w:r>
      <w:r>
        <w:rPr>
          <w:spacing w:val="-25"/>
          <w:w w:val="195"/>
        </w:rPr>
        <w:t> </w:t>
      </w:r>
      <w:r>
        <w:rPr/>
        <w:t>C)</w:t>
      </w:r>
      <w:r>
        <w:rPr>
          <w:spacing w:val="33"/>
        </w:rPr>
        <w:t> </w:t>
      </w:r>
      <w:r>
        <w:rPr/>
        <w:t>were</w:t>
      </w:r>
      <w:r>
        <w:rPr>
          <w:spacing w:val="33"/>
        </w:rPr>
        <w:t> </w:t>
      </w:r>
      <w:r>
        <w:rPr/>
        <w:t>previ- ously described by Tzoulis and colleagues [</w:t>
      </w:r>
      <w:hyperlink w:history="true" w:anchor="_bookmark2">
        <w:r>
          <w:rPr>
            <w:color w:val="0000FF"/>
          </w:rPr>
          <w:t>6</w:t>
        </w:r>
      </w:hyperlink>
      <w:r>
        <w:rPr/>
        <w:t>]. The clinical presentation of these mutations usually starts in the second decade and is characterized by epilepsy, headache, ataxia, neuropathy, myoclonus and late-onset ophthalmoplegia. Our case had features suggestive of MSCAE, in which the most common presenting features are gait disorders, epi- lepsy, ataxia, neuropathy</w:t>
      </w:r>
      <w:r>
        <w:rPr/>
        <w:t> and headache. We therefore concur that in otherwise unexplained hyperkinetic move- ment disorders, </w:t>
      </w:r>
      <w:r>
        <w:rPr>
          <w:i/>
        </w:rPr>
        <w:t>POLG </w:t>
      </w:r>
      <w:r>
        <w:rPr/>
        <w:t>should be in the differential, even if onset</w:t>
      </w:r>
      <w:r>
        <w:rPr>
          <w:spacing w:val="21"/>
        </w:rPr>
        <w:t> </w:t>
      </w:r>
      <w:r>
        <w:rPr/>
        <w:t>is</w:t>
      </w:r>
      <w:r>
        <w:rPr>
          <w:spacing w:val="21"/>
        </w:rPr>
        <w:t> </w:t>
      </w:r>
      <w:r>
        <w:rPr/>
        <w:t>above</w:t>
      </w:r>
      <w:r>
        <w:rPr>
          <w:spacing w:val="22"/>
        </w:rPr>
        <w:t> </w:t>
      </w:r>
      <w:r>
        <w:rPr/>
        <w:t>age</w:t>
      </w:r>
      <w:r>
        <w:rPr>
          <w:spacing w:val="21"/>
        </w:rPr>
        <w:t> </w:t>
      </w:r>
      <w:r>
        <w:rPr/>
        <w:t>40</w:t>
      </w:r>
      <w:r>
        <w:rPr>
          <w:spacing w:val="13"/>
        </w:rPr>
        <w:t> </w:t>
      </w:r>
      <w:r>
        <w:rPr/>
        <w:t>years</w:t>
      </w:r>
      <w:r>
        <w:rPr>
          <w:spacing w:val="22"/>
        </w:rPr>
        <w:t> </w:t>
      </w:r>
      <w:r>
        <w:rPr/>
        <w:t>[</w:t>
      </w:r>
      <w:hyperlink w:history="true" w:anchor="_bookmark2">
        <w:r>
          <w:rPr>
            <w:color w:val="0000FF"/>
          </w:rPr>
          <w:t>3</w:t>
        </w:r>
      </w:hyperlink>
      <w:r>
        <w:rPr/>
        <w:t>].</w:t>
      </w:r>
      <w:r>
        <w:rPr>
          <w:spacing w:val="22"/>
        </w:rPr>
        <w:t> </w:t>
      </w:r>
      <w:r>
        <w:rPr/>
        <w:t>Secondly,</w:t>
      </w:r>
      <w:r>
        <w:rPr>
          <w:spacing w:val="22"/>
        </w:rPr>
        <w:t> </w:t>
      </w:r>
      <w:r>
        <w:rPr/>
        <w:t>the</w:t>
      </w:r>
      <w:r>
        <w:rPr>
          <w:spacing w:val="22"/>
        </w:rPr>
        <w:t> </w:t>
      </w:r>
      <w:r>
        <w:rPr>
          <w:spacing w:val="-2"/>
        </w:rPr>
        <w:t>symmetric</w:t>
      </w:r>
    </w:p>
    <w:p>
      <w:pPr>
        <w:pStyle w:val="BodyText"/>
        <w:spacing w:line="259" w:lineRule="auto" w:before="69"/>
        <w:ind w:left="28" w:right="26"/>
        <w:jc w:val="both"/>
      </w:pPr>
      <w:r>
        <w:rPr/>
        <w:br w:type="column"/>
      </w:r>
      <w:r>
        <w:rPr/>
        <w:t>signal changes in the cerebellar white matter as seen in </w:t>
      </w:r>
      <w:r>
        <w:rPr/>
        <w:t>our patient, which have also been observed in other </w:t>
      </w:r>
      <w:r>
        <w:rPr>
          <w:i/>
        </w:rPr>
        <w:t>POLG </w:t>
      </w:r>
      <w:r>
        <w:rPr/>
        <w:t>mutation patients [</w:t>
      </w:r>
      <w:hyperlink w:history="true" w:anchor="_bookmark2">
        <w:r>
          <w:rPr>
            <w:color w:val="0000FF"/>
          </w:rPr>
          <w:t>4</w:t>
        </w:r>
      </w:hyperlink>
      <w:r>
        <w:rPr/>
        <w:t>, </w:t>
      </w:r>
      <w:hyperlink w:history="true" w:anchor="_bookmark2">
        <w:r>
          <w:rPr>
            <w:color w:val="0000FF"/>
          </w:rPr>
          <w:t>5</w:t>
        </w:r>
      </w:hyperlink>
      <w:r>
        <w:rPr/>
        <w:t>], are an important clue when the clinical presentation is not sufficiently suspicious. </w:t>
      </w:r>
      <w:r>
        <w:rPr>
          <w:i/>
        </w:rPr>
        <w:t>POLG </w:t>
      </w:r>
      <w:r>
        <w:rPr/>
        <w:t>mutations</w:t>
      </w:r>
      <w:r>
        <w:rPr>
          <w:spacing w:val="-2"/>
        </w:rPr>
        <w:t> </w:t>
      </w:r>
      <w:r>
        <w:rPr/>
        <w:t>have been</w:t>
      </w:r>
      <w:r>
        <w:rPr>
          <w:spacing w:val="-1"/>
        </w:rPr>
        <w:t> </w:t>
      </w:r>
      <w:r>
        <w:rPr/>
        <w:t>associated</w:t>
      </w:r>
      <w:r>
        <w:rPr>
          <w:spacing w:val="-1"/>
        </w:rPr>
        <w:t> </w:t>
      </w:r>
      <w:r>
        <w:rPr/>
        <w:t>with</w:t>
      </w:r>
      <w:r>
        <w:rPr>
          <w:spacing w:val="-1"/>
        </w:rPr>
        <w:t> </w:t>
      </w:r>
      <w:r>
        <w:rPr/>
        <w:t>various</w:t>
      </w:r>
      <w:r>
        <w:rPr>
          <w:spacing w:val="-1"/>
        </w:rPr>
        <w:t> </w:t>
      </w:r>
      <w:r>
        <w:rPr/>
        <w:t>MRI</w:t>
      </w:r>
      <w:r>
        <w:rPr>
          <w:spacing w:val="-1"/>
        </w:rPr>
        <w:t> </w:t>
      </w:r>
      <w:r>
        <w:rPr/>
        <w:t>changes, with a predilection for the occipital lobes, basal ganglia, thalamus, cerebellum, and inferior olives [</w:t>
      </w:r>
      <w:hyperlink w:history="true" w:anchor="_bookmark2">
        <w:r>
          <w:rPr>
            <w:color w:val="0000FF"/>
          </w:rPr>
          <w:t>6</w:t>
        </w:r>
      </w:hyperlink>
      <w:r>
        <w:rPr/>
        <w:t>]. Such cere- bellar</w:t>
      </w:r>
      <w:r>
        <w:rPr>
          <w:spacing w:val="-1"/>
        </w:rPr>
        <w:t> </w:t>
      </w:r>
      <w:r>
        <w:rPr/>
        <w:t>white matter</w:t>
      </w:r>
      <w:r>
        <w:rPr>
          <w:spacing w:val="-1"/>
        </w:rPr>
        <w:t> </w:t>
      </w:r>
      <w:r>
        <w:rPr/>
        <w:t>changes</w:t>
      </w:r>
      <w:r>
        <w:rPr>
          <w:spacing w:val="-1"/>
        </w:rPr>
        <w:t> </w:t>
      </w:r>
      <w:r>
        <w:rPr/>
        <w:t>have</w:t>
      </w:r>
      <w:r>
        <w:rPr>
          <w:spacing w:val="-1"/>
        </w:rPr>
        <w:t> </w:t>
      </w:r>
      <w:r>
        <w:rPr/>
        <w:t>a</w:t>
      </w:r>
      <w:r>
        <w:rPr>
          <w:spacing w:val="-2"/>
        </w:rPr>
        <w:t> </w:t>
      </w:r>
      <w:r>
        <w:rPr/>
        <w:t>very</w:t>
      </w:r>
      <w:r>
        <w:rPr>
          <w:spacing w:val="-1"/>
        </w:rPr>
        <w:t> </w:t>
      </w:r>
      <w:r>
        <w:rPr/>
        <w:t>limited</w:t>
      </w:r>
      <w:r>
        <w:rPr>
          <w:spacing w:val="-1"/>
        </w:rPr>
        <w:t> </w:t>
      </w:r>
      <w:r>
        <w:rPr/>
        <w:t>differential diagnosis, including histiocytosis, peroxisomal disorders, and Alexander disease [</w:t>
      </w:r>
      <w:hyperlink w:history="true" w:anchor="_bookmark2">
        <w:r>
          <w:rPr>
            <w:color w:val="0000FF"/>
          </w:rPr>
          <w:t>7</w:t>
        </w:r>
      </w:hyperlink>
      <w:r>
        <w:rPr/>
        <w:t>]. When combined with a move- ment disorder, such isolated cerebellar abnormalities</w:t>
      </w:r>
      <w:r>
        <w:rPr>
          <w:spacing w:val="40"/>
        </w:rPr>
        <w:t> </w:t>
      </w:r>
      <w:r>
        <w:rPr/>
        <w:t>should prompt mutation analysis of the </w:t>
      </w:r>
      <w:r>
        <w:rPr>
          <w:i/>
        </w:rPr>
        <w:t>POLG </w:t>
      </w:r>
      <w:r>
        <w:rPr/>
        <w:t>gene.</w:t>
      </w:r>
    </w:p>
    <w:p>
      <w:pPr>
        <w:pStyle w:val="BodyText"/>
        <w:spacing w:before="3"/>
      </w:pPr>
    </w:p>
    <w:p>
      <w:pPr>
        <w:spacing w:line="244" w:lineRule="auto" w:before="0"/>
        <w:ind w:left="28" w:right="26" w:firstLine="0"/>
        <w:jc w:val="both"/>
        <w:rPr>
          <w:sz w:val="17"/>
        </w:rPr>
      </w:pPr>
      <w:r>
        <w:rPr>
          <w:sz w:val="17"/>
        </w:rPr>
        <w:t>Acknowledgments</w:t>
      </w:r>
      <w:r>
        <w:rPr>
          <w:spacing w:val="40"/>
          <w:sz w:val="17"/>
        </w:rPr>
        <w:t> </w:t>
      </w:r>
      <w:r>
        <w:rPr>
          <w:sz w:val="17"/>
        </w:rPr>
        <w:t>BvdW</w:t>
      </w:r>
      <w:r>
        <w:rPr>
          <w:spacing w:val="40"/>
          <w:sz w:val="17"/>
        </w:rPr>
        <w:t> </w:t>
      </w:r>
      <w:r>
        <w:rPr>
          <w:sz w:val="17"/>
        </w:rPr>
        <w:t>receives</w:t>
      </w:r>
      <w:r>
        <w:rPr>
          <w:spacing w:val="40"/>
          <w:sz w:val="17"/>
        </w:rPr>
        <w:t> </w:t>
      </w:r>
      <w:r>
        <w:rPr>
          <w:sz w:val="17"/>
        </w:rPr>
        <w:t>research</w:t>
      </w:r>
      <w:r>
        <w:rPr>
          <w:spacing w:val="40"/>
          <w:sz w:val="17"/>
        </w:rPr>
        <w:t> </w:t>
      </w:r>
      <w:r>
        <w:rPr>
          <w:sz w:val="17"/>
        </w:rPr>
        <w:t>support</w:t>
      </w:r>
      <w:r>
        <w:rPr>
          <w:spacing w:val="40"/>
          <w:sz w:val="17"/>
        </w:rPr>
        <w:t> </w:t>
      </w:r>
      <w:r>
        <w:rPr>
          <w:sz w:val="17"/>
        </w:rPr>
        <w:t>from</w:t>
      </w:r>
      <w:r>
        <w:rPr>
          <w:spacing w:val="40"/>
          <w:sz w:val="17"/>
        </w:rPr>
        <w:t> </w:t>
      </w:r>
      <w:r>
        <w:rPr>
          <w:sz w:val="17"/>
        </w:rPr>
        <w:t>the Prinses Beatrix Fonds, Netherlands Brain Foundation, the Royal Dutch</w:t>
      </w:r>
      <w:r>
        <w:rPr>
          <w:spacing w:val="6"/>
          <w:sz w:val="17"/>
        </w:rPr>
        <w:t> </w:t>
      </w:r>
      <w:r>
        <w:rPr>
          <w:sz w:val="17"/>
        </w:rPr>
        <w:t>Society</w:t>
      </w:r>
      <w:r>
        <w:rPr>
          <w:spacing w:val="6"/>
          <w:sz w:val="17"/>
        </w:rPr>
        <w:t> </w:t>
      </w:r>
      <w:r>
        <w:rPr>
          <w:sz w:val="17"/>
        </w:rPr>
        <w:t>for</w:t>
      </w:r>
      <w:r>
        <w:rPr>
          <w:spacing w:val="6"/>
          <w:sz w:val="17"/>
        </w:rPr>
        <w:t> </w:t>
      </w:r>
      <w:r>
        <w:rPr>
          <w:sz w:val="17"/>
        </w:rPr>
        <w:t>Physical</w:t>
      </w:r>
      <w:r>
        <w:rPr>
          <w:spacing w:val="7"/>
          <w:sz w:val="17"/>
        </w:rPr>
        <w:t> </w:t>
      </w:r>
      <w:r>
        <w:rPr>
          <w:sz w:val="17"/>
        </w:rPr>
        <w:t>Therapy,</w:t>
      </w:r>
      <w:r>
        <w:rPr>
          <w:spacing w:val="7"/>
          <w:sz w:val="17"/>
        </w:rPr>
        <w:t> </w:t>
      </w:r>
      <w:r>
        <w:rPr>
          <w:sz w:val="17"/>
        </w:rPr>
        <w:t>and</w:t>
      </w:r>
      <w:r>
        <w:rPr>
          <w:spacing w:val="6"/>
          <w:sz w:val="17"/>
        </w:rPr>
        <w:t> </w:t>
      </w:r>
      <w:r>
        <w:rPr>
          <w:sz w:val="17"/>
        </w:rPr>
        <w:t>the</w:t>
      </w:r>
      <w:r>
        <w:rPr>
          <w:spacing w:val="6"/>
          <w:sz w:val="17"/>
        </w:rPr>
        <w:t> </w:t>
      </w:r>
      <w:r>
        <w:rPr>
          <w:sz w:val="17"/>
        </w:rPr>
        <w:t>Gossweiler</w:t>
      </w:r>
      <w:r>
        <w:rPr>
          <w:spacing w:val="7"/>
          <w:sz w:val="17"/>
        </w:rPr>
        <w:t> </w:t>
      </w:r>
      <w:r>
        <w:rPr>
          <w:spacing w:val="-2"/>
          <w:sz w:val="17"/>
        </w:rPr>
        <w:t>Foundation.</w:t>
      </w:r>
    </w:p>
    <w:p>
      <w:pPr>
        <w:spacing w:after="0" w:line="244" w:lineRule="auto"/>
        <w:jc w:val="both"/>
        <w:rPr>
          <w:sz w:val="17"/>
        </w:rPr>
        <w:sectPr>
          <w:type w:val="continuous"/>
          <w:pgSz w:w="11910" w:h="15820"/>
          <w:pgMar w:top="560" w:bottom="280" w:left="992" w:right="992"/>
          <w:cols w:num="2" w:equalWidth="0">
            <w:col w:w="4791" w:space="311"/>
            <w:col w:w="4824"/>
          </w:cols>
        </w:sectPr>
      </w:pPr>
    </w:p>
    <w:p>
      <w:pPr>
        <w:pStyle w:val="Heading1"/>
        <w:spacing w:before="328"/>
        <w:ind w:left="56" w:right="0"/>
        <w:jc w:val="left"/>
      </w:pPr>
      <w:r>
        <w:rPr>
          <w:w w:val="85"/>
        </w:rPr>
        <w:t>1</w:t>
      </w:r>
      <w:r>
        <w:rPr>
          <w:spacing w:val="-7"/>
          <w:w w:val="85"/>
        </w:rPr>
        <w:t> </w:t>
      </w:r>
      <w:r>
        <w:rPr>
          <w:spacing w:val="-10"/>
          <w:w w:val="335"/>
        </w:rPr>
        <w:t>3</w:t>
      </w:r>
    </w:p>
    <w:p>
      <w:pPr>
        <w:pStyle w:val="Heading1"/>
        <w:spacing w:after="0"/>
        <w:jc w:val="left"/>
        <w:sectPr>
          <w:type w:val="continuous"/>
          <w:pgSz w:w="11910" w:h="15820"/>
          <w:pgMar w:top="560" w:bottom="280" w:left="992" w:right="992"/>
        </w:sectPr>
      </w:pPr>
    </w:p>
    <w:p>
      <w:pPr>
        <w:tabs>
          <w:tab w:pos="9892" w:val="right" w:leader="none"/>
        </w:tabs>
        <w:spacing w:before="43"/>
        <w:ind w:left="28" w:right="0" w:firstLine="0"/>
        <w:jc w:val="left"/>
        <w:rPr>
          <w:sz w:val="17"/>
        </w:rPr>
      </w:pPr>
      <w:r>
        <w:rPr>
          <w:sz w:val="17"/>
        </w:rPr>
        <mc:AlternateContent>
          <mc:Choice Requires="wps">
            <w:drawing>
              <wp:anchor distT="0" distB="0" distL="0" distR="0" allowOverlap="1" layoutInCell="1" locked="0" behindDoc="0" simplePos="0" relativeHeight="15730688">
                <wp:simplePos x="0" y="0"/>
                <wp:positionH relativeFrom="page">
                  <wp:posOffset>648004</wp:posOffset>
                </wp:positionH>
                <wp:positionV relativeFrom="paragraph">
                  <wp:posOffset>195988</wp:posOffset>
                </wp:positionV>
                <wp:extent cx="6264275" cy="1270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264275" cy="12700"/>
                        </a:xfrm>
                        <a:custGeom>
                          <a:avLst/>
                          <a:gdLst/>
                          <a:ahLst/>
                          <a:cxnLst/>
                          <a:rect l="l" t="t" r="r" b="b"/>
                          <a:pathLst>
                            <a:path w="6264275" h="12700">
                              <a:moveTo>
                                <a:pt x="6263995" y="0"/>
                              </a:moveTo>
                              <a:lnTo>
                                <a:pt x="0" y="0"/>
                              </a:lnTo>
                              <a:lnTo>
                                <a:pt x="0" y="12240"/>
                              </a:lnTo>
                              <a:lnTo>
                                <a:pt x="6263995" y="12240"/>
                              </a:lnTo>
                              <a:lnTo>
                                <a:pt x="6263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23998pt;margin-top:15.43219pt;width:493.228pt;height:.96381pt;mso-position-horizontal-relative:page;mso-position-vertical-relative:paragraph;z-index:15730688" id="docshape6" filled="true" fillcolor="#000000" stroked="false">
                <v:fill type="solid"/>
                <w10:wrap type="none"/>
              </v:rect>
            </w:pict>
          </mc:Fallback>
        </mc:AlternateContent>
      </w:r>
      <w:bookmarkStart w:name="References" w:id="4"/>
      <w:bookmarkEnd w:id="4"/>
      <w:r>
        <w:rPr/>
      </w:r>
      <w:bookmarkStart w:name="_bookmark1" w:id="5"/>
      <w:bookmarkEnd w:id="5"/>
      <w:r>
        <w:rPr/>
      </w:r>
      <w:bookmarkStart w:name="_bookmark2" w:id="6"/>
      <w:bookmarkEnd w:id="6"/>
      <w:r>
        <w:rPr/>
      </w:r>
      <w:r>
        <w:rPr>
          <w:sz w:val="17"/>
        </w:rPr>
        <w:t>J</w:t>
      </w:r>
      <w:r>
        <w:rPr>
          <w:spacing w:val="9"/>
          <w:sz w:val="17"/>
        </w:rPr>
        <w:t> </w:t>
      </w:r>
      <w:r>
        <w:rPr>
          <w:sz w:val="17"/>
        </w:rPr>
        <w:t>Neurol</w:t>
      </w:r>
      <w:r>
        <w:rPr>
          <w:spacing w:val="11"/>
          <w:sz w:val="17"/>
        </w:rPr>
        <w:t> </w:t>
      </w:r>
      <w:r>
        <w:rPr>
          <w:sz w:val="17"/>
        </w:rPr>
        <w:t>(2013)</w:t>
      </w:r>
      <w:r>
        <w:rPr>
          <w:spacing w:val="10"/>
          <w:sz w:val="17"/>
        </w:rPr>
        <w:t> </w:t>
      </w:r>
      <w:r>
        <w:rPr>
          <w:spacing w:val="-2"/>
          <w:sz w:val="17"/>
        </w:rPr>
        <w:t>260:903–905</w:t>
      </w:r>
      <w:r>
        <w:rPr>
          <w:sz w:val="17"/>
        </w:rPr>
        <w:tab/>
      </w:r>
      <w:r>
        <w:rPr>
          <w:spacing w:val="-5"/>
          <w:sz w:val="17"/>
        </w:rPr>
        <w:t>905</w:t>
      </w:r>
    </w:p>
    <w:p>
      <w:pPr>
        <w:spacing w:after="0"/>
        <w:jc w:val="left"/>
        <w:rPr>
          <w:sz w:val="17"/>
        </w:rPr>
        <w:sectPr>
          <w:pgSz w:w="11910" w:h="15820"/>
          <w:pgMar w:top="580" w:bottom="280" w:left="992" w:right="992"/>
        </w:sectPr>
      </w:pPr>
    </w:p>
    <w:p>
      <w:pPr>
        <w:pStyle w:val="BodyText"/>
        <w:spacing w:before="108"/>
        <w:rPr>
          <w:sz w:val="17"/>
        </w:rPr>
      </w:pPr>
    </w:p>
    <w:p>
      <w:pPr>
        <w:spacing w:before="0"/>
        <w:ind w:left="28" w:right="0" w:firstLine="0"/>
        <w:jc w:val="left"/>
        <w:rPr>
          <w:sz w:val="17"/>
        </w:rPr>
      </w:pPr>
      <w:r>
        <w:rPr>
          <w:sz w:val="17"/>
        </w:rPr>
        <w:t>Conflicts</w:t>
      </w:r>
      <w:r>
        <w:rPr>
          <w:spacing w:val="15"/>
          <w:sz w:val="17"/>
        </w:rPr>
        <w:t> </w:t>
      </w:r>
      <w:r>
        <w:rPr>
          <w:sz w:val="17"/>
        </w:rPr>
        <w:t>of</w:t>
      </w:r>
      <w:r>
        <w:rPr>
          <w:spacing w:val="17"/>
          <w:sz w:val="17"/>
        </w:rPr>
        <w:t> </w:t>
      </w:r>
      <w:r>
        <w:rPr>
          <w:sz w:val="17"/>
        </w:rPr>
        <w:t>interest</w:t>
      </w:r>
      <w:r>
        <w:rPr>
          <w:spacing w:val="47"/>
          <w:sz w:val="17"/>
        </w:rPr>
        <w:t>  </w:t>
      </w:r>
      <w:r>
        <w:rPr>
          <w:sz w:val="17"/>
        </w:rPr>
        <w:t>AMT</w:t>
      </w:r>
      <w:r>
        <w:rPr>
          <w:spacing w:val="19"/>
          <w:sz w:val="17"/>
        </w:rPr>
        <w:t> </w:t>
      </w:r>
      <w:r>
        <w:rPr>
          <w:sz w:val="17"/>
        </w:rPr>
        <w:t>and</w:t>
      </w:r>
      <w:r>
        <w:rPr>
          <w:spacing w:val="18"/>
          <w:sz w:val="17"/>
        </w:rPr>
        <w:t> </w:t>
      </w:r>
      <w:r>
        <w:rPr>
          <w:sz w:val="17"/>
        </w:rPr>
        <w:t>FM</w:t>
      </w:r>
      <w:r>
        <w:rPr>
          <w:spacing w:val="17"/>
          <w:sz w:val="17"/>
        </w:rPr>
        <w:t> </w:t>
      </w:r>
      <w:r>
        <w:rPr>
          <w:sz w:val="17"/>
        </w:rPr>
        <w:t>have</w:t>
      </w:r>
      <w:r>
        <w:rPr>
          <w:spacing w:val="17"/>
          <w:sz w:val="17"/>
        </w:rPr>
        <w:t> </w:t>
      </w:r>
      <w:r>
        <w:rPr>
          <w:sz w:val="17"/>
        </w:rPr>
        <w:t>nothing</w:t>
      </w:r>
      <w:r>
        <w:rPr>
          <w:spacing w:val="17"/>
          <w:sz w:val="17"/>
        </w:rPr>
        <w:t> </w:t>
      </w:r>
      <w:r>
        <w:rPr>
          <w:sz w:val="17"/>
        </w:rPr>
        <w:t>to</w:t>
      </w:r>
      <w:r>
        <w:rPr>
          <w:spacing w:val="18"/>
          <w:sz w:val="17"/>
        </w:rPr>
        <w:t> </w:t>
      </w:r>
      <w:r>
        <w:rPr>
          <w:spacing w:val="-2"/>
          <w:sz w:val="17"/>
        </w:rPr>
        <w:t>disclose.</w:t>
      </w:r>
    </w:p>
    <w:p>
      <w:pPr>
        <w:pStyle w:val="BodyText"/>
        <w:spacing w:before="29"/>
        <w:rPr>
          <w:sz w:val="17"/>
        </w:rPr>
      </w:pPr>
    </w:p>
    <w:p>
      <w:pPr>
        <w:spacing w:line="244" w:lineRule="auto" w:before="1"/>
        <w:ind w:left="28" w:right="0" w:firstLine="0"/>
        <w:jc w:val="left"/>
        <w:rPr>
          <w:sz w:val="17"/>
        </w:rPr>
      </w:pPr>
      <w:r>
        <w:rPr>
          <w:sz w:val="17"/>
        </w:rPr>
        <w:t>Ethical standard</w:t>
      </w:r>
      <w:r>
        <w:rPr>
          <w:spacing w:val="80"/>
          <w:sz w:val="17"/>
        </w:rPr>
        <w:t> </w:t>
      </w:r>
      <w:r>
        <w:rPr>
          <w:sz w:val="17"/>
        </w:rPr>
        <w:t>Informed consent was obtained from the </w:t>
      </w:r>
      <w:r>
        <w:rPr>
          <w:sz w:val="17"/>
        </w:rPr>
        <w:t>patient</w:t>
      </w:r>
      <w:r>
        <w:rPr>
          <w:spacing w:val="80"/>
          <w:sz w:val="17"/>
        </w:rPr>
        <w:t> </w:t>
      </w:r>
      <w:r>
        <w:rPr>
          <w:sz w:val="17"/>
        </w:rPr>
        <w:t>prior to her inclusion in the study.</w:t>
      </w:r>
    </w:p>
    <w:p>
      <w:pPr>
        <w:pStyle w:val="BodyText"/>
        <w:rPr>
          <w:sz w:val="17"/>
        </w:rPr>
      </w:pPr>
    </w:p>
    <w:p>
      <w:pPr>
        <w:pStyle w:val="BodyText"/>
        <w:rPr>
          <w:sz w:val="17"/>
        </w:rPr>
      </w:pPr>
    </w:p>
    <w:p>
      <w:pPr>
        <w:pStyle w:val="BodyText"/>
        <w:spacing w:before="14"/>
        <w:rPr>
          <w:sz w:val="17"/>
        </w:rPr>
      </w:pPr>
    </w:p>
    <w:p>
      <w:pPr>
        <w:pStyle w:val="BodyText"/>
        <w:ind w:left="28"/>
      </w:pPr>
      <w:r>
        <w:rPr>
          <w:spacing w:val="-2"/>
          <w:w w:val="105"/>
        </w:rPr>
        <w:t>References</w:t>
      </w:r>
    </w:p>
    <w:p>
      <w:pPr>
        <w:pStyle w:val="BodyText"/>
        <w:spacing w:before="17"/>
      </w:pPr>
    </w:p>
    <w:p>
      <w:pPr>
        <w:pStyle w:val="ListParagraph"/>
        <w:numPr>
          <w:ilvl w:val="0"/>
          <w:numId w:val="1"/>
        </w:numPr>
        <w:tabs>
          <w:tab w:pos="234" w:val="left" w:leader="none"/>
        </w:tabs>
        <w:spacing w:line="244" w:lineRule="auto" w:before="0" w:after="0"/>
        <w:ind w:left="234" w:right="0" w:hanging="207"/>
        <w:jc w:val="both"/>
        <w:rPr>
          <w:sz w:val="17"/>
        </w:rPr>
      </w:pPr>
      <w:r>
        <w:rPr>
          <w:sz w:val="17"/>
        </w:rPr>
        <w:t>Van Goethem G, Dermaut B, Lofgren A et al (2001) Mutation </w:t>
      </w:r>
      <w:r>
        <w:rPr>
          <w:sz w:val="17"/>
        </w:rPr>
        <w:t>of POLG is associated with progressive external ophthalmoplegia characterized by mtDNA deletions. Nat Genet 28:211–212</w:t>
      </w:r>
    </w:p>
    <w:p>
      <w:pPr>
        <w:pStyle w:val="ListParagraph"/>
        <w:numPr>
          <w:ilvl w:val="0"/>
          <w:numId w:val="1"/>
        </w:numPr>
        <w:tabs>
          <w:tab w:pos="234" w:val="left" w:leader="none"/>
        </w:tabs>
        <w:spacing w:line="244" w:lineRule="auto" w:before="0" w:after="0"/>
        <w:ind w:left="234" w:right="0" w:hanging="207"/>
        <w:jc w:val="both"/>
        <w:rPr>
          <w:sz w:val="17"/>
        </w:rPr>
      </w:pPr>
      <w:r>
        <w:rPr>
          <w:sz w:val="17"/>
        </w:rPr>
        <w:t>Wong LJC, Naviaux RK, Brunetti-Pierri N et al (2008) </w:t>
      </w:r>
      <w:r>
        <w:rPr>
          <w:sz w:val="17"/>
        </w:rPr>
        <w:t>Molecular and clinical genetics of mitochondrial diseases due to POLG mutations. Hum Mutat 29:E150–E172</w:t>
      </w:r>
    </w:p>
    <w:p>
      <w:pPr>
        <w:spacing w:line="240" w:lineRule="auto" w:before="110"/>
        <w:rPr>
          <w:sz w:val="17"/>
        </w:rPr>
      </w:pPr>
      <w:r>
        <w:rPr/>
        <w:br w:type="column"/>
      </w:r>
      <w:r>
        <w:rPr>
          <w:sz w:val="17"/>
        </w:rPr>
      </w:r>
    </w:p>
    <w:p>
      <w:pPr>
        <w:pStyle w:val="ListParagraph"/>
        <w:numPr>
          <w:ilvl w:val="0"/>
          <w:numId w:val="1"/>
        </w:numPr>
        <w:tabs>
          <w:tab w:pos="234" w:val="left" w:leader="none"/>
        </w:tabs>
        <w:spacing w:line="244" w:lineRule="auto" w:before="0" w:after="0"/>
        <w:ind w:left="234" w:right="26" w:hanging="207"/>
        <w:jc w:val="both"/>
        <w:rPr>
          <w:sz w:val="17"/>
        </w:rPr>
      </w:pPr>
      <w:r>
        <w:rPr>
          <w:sz w:val="17"/>
        </w:rPr>
        <w:t>Synofzik M, Schule R, Schulte C et al (2010) Complex </w:t>
      </w:r>
      <w:r>
        <w:rPr>
          <w:sz w:val="17"/>
        </w:rPr>
        <w:t>hyperki- netic movement disorders associated with POLG mutations. Mov Disord 25:2472–2475</w:t>
      </w:r>
    </w:p>
    <w:p>
      <w:pPr>
        <w:pStyle w:val="ListParagraph"/>
        <w:numPr>
          <w:ilvl w:val="0"/>
          <w:numId w:val="1"/>
        </w:numPr>
        <w:tabs>
          <w:tab w:pos="234" w:val="left" w:leader="none"/>
        </w:tabs>
        <w:spacing w:line="244" w:lineRule="auto" w:before="0" w:after="0"/>
        <w:ind w:left="234" w:right="27" w:hanging="207"/>
        <w:jc w:val="both"/>
        <w:rPr>
          <w:sz w:val="17"/>
        </w:rPr>
      </w:pPr>
      <w:r>
        <w:rPr>
          <w:sz w:val="17"/>
        </w:rPr>
        <w:t>Winterthun S, Ferrari G, Taylor RW et al (2005) </w:t>
      </w:r>
      <w:r>
        <w:rPr>
          <w:sz w:val="17"/>
        </w:rPr>
        <w:t>Autosomal recessive mitochondrial ataxic syndrome due to mitochondrial polymerase c mutations. Neurology 64:1204–1208</w:t>
      </w:r>
    </w:p>
    <w:p>
      <w:pPr>
        <w:pStyle w:val="ListParagraph"/>
        <w:numPr>
          <w:ilvl w:val="0"/>
          <w:numId w:val="1"/>
        </w:numPr>
        <w:tabs>
          <w:tab w:pos="234" w:val="left" w:leader="none"/>
        </w:tabs>
        <w:spacing w:line="244" w:lineRule="auto" w:before="0" w:after="0"/>
        <w:ind w:left="234" w:right="27" w:hanging="207"/>
        <w:jc w:val="both"/>
        <w:rPr>
          <w:sz w:val="17"/>
        </w:rPr>
      </w:pPr>
      <w:r>
        <w:rPr>
          <w:sz w:val="17"/>
        </w:rPr>
        <w:t>Tzoulis</w:t>
      </w:r>
      <w:r>
        <w:rPr>
          <w:spacing w:val="-5"/>
          <w:sz w:val="17"/>
        </w:rPr>
        <w:t> </w:t>
      </w:r>
      <w:r>
        <w:rPr>
          <w:sz w:val="17"/>
        </w:rPr>
        <w:t>C,</w:t>
      </w:r>
      <w:r>
        <w:rPr>
          <w:spacing w:val="-5"/>
          <w:sz w:val="17"/>
        </w:rPr>
        <w:t> </w:t>
      </w:r>
      <w:r>
        <w:rPr>
          <w:sz w:val="17"/>
        </w:rPr>
        <w:t>Neckelmann</w:t>
      </w:r>
      <w:r>
        <w:rPr>
          <w:spacing w:val="-5"/>
          <w:sz w:val="17"/>
        </w:rPr>
        <w:t> </w:t>
      </w:r>
      <w:r>
        <w:rPr>
          <w:sz w:val="17"/>
        </w:rPr>
        <w:t>G,</w:t>
      </w:r>
      <w:r>
        <w:rPr>
          <w:spacing w:val="-6"/>
          <w:sz w:val="17"/>
        </w:rPr>
        <w:t> </w:t>
      </w:r>
      <w:r>
        <w:rPr>
          <w:sz w:val="17"/>
        </w:rPr>
        <w:t>Mørk</w:t>
      </w:r>
      <w:r>
        <w:rPr>
          <w:spacing w:val="-5"/>
          <w:sz w:val="17"/>
        </w:rPr>
        <w:t> </w:t>
      </w:r>
      <w:r>
        <w:rPr>
          <w:sz w:val="17"/>
        </w:rPr>
        <w:t>SJ</w:t>
      </w:r>
      <w:r>
        <w:rPr>
          <w:spacing w:val="-6"/>
          <w:sz w:val="17"/>
        </w:rPr>
        <w:t> </w:t>
      </w:r>
      <w:r>
        <w:rPr>
          <w:sz w:val="17"/>
        </w:rPr>
        <w:t>et</w:t>
      </w:r>
      <w:r>
        <w:rPr>
          <w:spacing w:val="-5"/>
          <w:sz w:val="17"/>
        </w:rPr>
        <w:t> </w:t>
      </w:r>
      <w:r>
        <w:rPr>
          <w:sz w:val="17"/>
        </w:rPr>
        <w:t>al</w:t>
      </w:r>
      <w:r>
        <w:rPr>
          <w:spacing w:val="-6"/>
          <w:sz w:val="17"/>
        </w:rPr>
        <w:t> </w:t>
      </w:r>
      <w:r>
        <w:rPr>
          <w:sz w:val="17"/>
        </w:rPr>
        <w:t>(2010)</w:t>
      </w:r>
      <w:r>
        <w:rPr>
          <w:spacing w:val="-5"/>
          <w:sz w:val="17"/>
        </w:rPr>
        <w:t> </w:t>
      </w:r>
      <w:r>
        <w:rPr>
          <w:sz w:val="17"/>
        </w:rPr>
        <w:t>Localized</w:t>
      </w:r>
      <w:r>
        <w:rPr>
          <w:spacing w:val="-5"/>
          <w:sz w:val="17"/>
        </w:rPr>
        <w:t> </w:t>
      </w:r>
      <w:r>
        <w:rPr>
          <w:sz w:val="17"/>
        </w:rPr>
        <w:t>cerebral energy failure in DNA polymerase gamma-associated encepha- lopathy syndromes. Brain 133:1428–1437</w:t>
      </w:r>
    </w:p>
    <w:p>
      <w:pPr>
        <w:pStyle w:val="ListParagraph"/>
        <w:numPr>
          <w:ilvl w:val="0"/>
          <w:numId w:val="1"/>
        </w:numPr>
        <w:tabs>
          <w:tab w:pos="234" w:val="left" w:leader="none"/>
        </w:tabs>
        <w:spacing w:line="244" w:lineRule="auto" w:before="0" w:after="0"/>
        <w:ind w:left="234" w:right="25" w:hanging="207"/>
        <w:jc w:val="both"/>
        <w:rPr>
          <w:sz w:val="17"/>
        </w:rPr>
      </w:pPr>
      <w:r>
        <w:rPr>
          <w:sz w:val="17"/>
        </w:rPr>
        <w:t>Tzoulis C, Engelsen BA, Telstad W et al (2006) The spectrum of clinical disease caused by the A467T and W748S </w:t>
      </w:r>
      <w:r>
        <w:rPr>
          <w:sz w:val="17"/>
        </w:rPr>
        <w:t>POLG mutations: a study of 26 cases. Brain 129:1685–1692</w:t>
      </w:r>
    </w:p>
    <w:p>
      <w:pPr>
        <w:pStyle w:val="ListParagraph"/>
        <w:numPr>
          <w:ilvl w:val="0"/>
          <w:numId w:val="1"/>
        </w:numPr>
        <w:tabs>
          <w:tab w:pos="234" w:val="left" w:leader="none"/>
        </w:tabs>
        <w:spacing w:line="244" w:lineRule="auto" w:before="0" w:after="0"/>
        <w:ind w:left="234" w:right="27" w:hanging="207"/>
        <w:jc w:val="both"/>
        <w:rPr>
          <w:sz w:val="17"/>
        </w:rPr>
      </w:pPr>
      <w:r>
        <w:rPr>
          <w:sz w:val="17"/>
        </w:rPr>
        <w:t>Van</w:t>
      </w:r>
      <w:r>
        <w:rPr>
          <w:spacing w:val="-6"/>
          <w:sz w:val="17"/>
        </w:rPr>
        <w:t> </w:t>
      </w:r>
      <w:r>
        <w:rPr>
          <w:sz w:val="17"/>
        </w:rPr>
        <w:t>der</w:t>
      </w:r>
      <w:r>
        <w:rPr>
          <w:spacing w:val="-8"/>
          <w:sz w:val="17"/>
        </w:rPr>
        <w:t> </w:t>
      </w:r>
      <w:r>
        <w:rPr>
          <w:sz w:val="17"/>
        </w:rPr>
        <w:t>Knaap</w:t>
      </w:r>
      <w:r>
        <w:rPr>
          <w:spacing w:val="-6"/>
          <w:sz w:val="17"/>
        </w:rPr>
        <w:t> </w:t>
      </w:r>
      <w:r>
        <w:rPr>
          <w:sz w:val="17"/>
        </w:rPr>
        <w:t>MS,</w:t>
      </w:r>
      <w:r>
        <w:rPr>
          <w:spacing w:val="-7"/>
          <w:sz w:val="17"/>
        </w:rPr>
        <w:t> </w:t>
      </w:r>
      <w:r>
        <w:rPr>
          <w:sz w:val="17"/>
        </w:rPr>
        <w:t>Arts</w:t>
      </w:r>
      <w:r>
        <w:rPr>
          <w:spacing w:val="-7"/>
          <w:sz w:val="17"/>
        </w:rPr>
        <w:t> </w:t>
      </w:r>
      <w:r>
        <w:rPr>
          <w:sz w:val="17"/>
        </w:rPr>
        <w:t>WFM,</w:t>
      </w:r>
      <w:r>
        <w:rPr>
          <w:spacing w:val="-7"/>
          <w:sz w:val="17"/>
        </w:rPr>
        <w:t> </w:t>
      </w:r>
      <w:r>
        <w:rPr>
          <w:sz w:val="17"/>
        </w:rPr>
        <w:t>Garbern</w:t>
      </w:r>
      <w:r>
        <w:rPr>
          <w:spacing w:val="-7"/>
          <w:sz w:val="17"/>
        </w:rPr>
        <w:t> </w:t>
      </w:r>
      <w:r>
        <w:rPr>
          <w:sz w:val="17"/>
        </w:rPr>
        <w:t>JY</w:t>
      </w:r>
      <w:r>
        <w:rPr>
          <w:spacing w:val="-6"/>
          <w:sz w:val="17"/>
        </w:rPr>
        <w:t> </w:t>
      </w:r>
      <w:r>
        <w:rPr>
          <w:sz w:val="17"/>
        </w:rPr>
        <w:t>et</w:t>
      </w:r>
      <w:r>
        <w:rPr>
          <w:spacing w:val="-7"/>
          <w:sz w:val="17"/>
        </w:rPr>
        <w:t> </w:t>
      </w:r>
      <w:r>
        <w:rPr>
          <w:sz w:val="17"/>
        </w:rPr>
        <w:t>al</w:t>
      </w:r>
      <w:r>
        <w:rPr>
          <w:spacing w:val="-7"/>
          <w:sz w:val="17"/>
        </w:rPr>
        <w:t> </w:t>
      </w:r>
      <w:r>
        <w:rPr>
          <w:sz w:val="17"/>
        </w:rPr>
        <w:t>(2008)</w:t>
      </w:r>
      <w:r>
        <w:rPr>
          <w:spacing w:val="-8"/>
          <w:sz w:val="17"/>
        </w:rPr>
        <w:t> </w:t>
      </w:r>
      <w:r>
        <w:rPr>
          <w:sz w:val="17"/>
        </w:rPr>
        <w:t>Cerebellar leukoencephalopathy: most</w:t>
      </w:r>
      <w:r>
        <w:rPr>
          <w:spacing w:val="-1"/>
          <w:sz w:val="17"/>
        </w:rPr>
        <w:t> </w:t>
      </w:r>
      <w:r>
        <w:rPr>
          <w:sz w:val="17"/>
        </w:rPr>
        <w:t>likely histiocytosis-related. </w:t>
      </w:r>
      <w:r>
        <w:rPr>
          <w:sz w:val="17"/>
        </w:rPr>
        <w:t>Neurology </w:t>
      </w:r>
      <w:r>
        <w:rPr>
          <w:spacing w:val="-2"/>
          <w:sz w:val="17"/>
        </w:rPr>
        <w:t>71:1361–1367</w:t>
      </w:r>
    </w:p>
    <w:p>
      <w:pPr>
        <w:pStyle w:val="ListParagraph"/>
        <w:spacing w:after="0" w:line="244" w:lineRule="auto"/>
        <w:jc w:val="both"/>
        <w:rPr>
          <w:sz w:val="17"/>
        </w:rPr>
        <w:sectPr>
          <w:type w:val="continuous"/>
          <w:pgSz w:w="11910" w:h="15820"/>
          <w:pgMar w:top="560" w:bottom="280" w:left="992" w:right="992"/>
          <w:cols w:num="2" w:equalWidth="0">
            <w:col w:w="4792" w:space="311"/>
            <w:col w:w="4823"/>
          </w:cols>
        </w:sect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43"/>
        <w:rPr>
          <w:sz w:val="30"/>
        </w:rPr>
      </w:pPr>
    </w:p>
    <w:p>
      <w:pPr>
        <w:spacing w:before="0"/>
        <w:ind w:left="0" w:right="22" w:firstLine="0"/>
        <w:jc w:val="right"/>
        <w:rPr>
          <w:rFonts w:ascii="Arial"/>
          <w:sz w:val="30"/>
        </w:rPr>
      </w:pPr>
      <w:r>
        <w:rPr>
          <w:rFonts w:ascii="Arial"/>
          <w:w w:val="85"/>
          <w:sz w:val="30"/>
        </w:rPr>
        <w:t>1</w:t>
      </w:r>
      <w:r>
        <w:rPr>
          <w:rFonts w:ascii="Arial"/>
          <w:spacing w:val="-7"/>
          <w:w w:val="85"/>
          <w:sz w:val="30"/>
        </w:rPr>
        <w:t> </w:t>
      </w:r>
      <w:r>
        <w:rPr>
          <w:rFonts w:ascii="Arial"/>
          <w:spacing w:val="-10"/>
          <w:w w:val="335"/>
          <w:sz w:val="30"/>
        </w:rPr>
        <w:t>3</w:t>
      </w:r>
    </w:p>
    <w:sectPr>
      <w:type w:val="continuous"/>
      <w:pgSz w:w="11910" w:h="15820"/>
      <w:pgMar w:top="560" w:bottom="280" w:left="992"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34" w:hanging="207"/>
        <w:jc w:val="lef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695" w:hanging="207"/>
      </w:pPr>
      <w:rPr>
        <w:rFonts w:hint="default"/>
        <w:lang w:val="en-US" w:eastAsia="en-US" w:bidi="ar-SA"/>
      </w:rPr>
    </w:lvl>
    <w:lvl w:ilvl="2">
      <w:start w:val="0"/>
      <w:numFmt w:val="bullet"/>
      <w:lvlText w:val="•"/>
      <w:lvlJc w:val="left"/>
      <w:pPr>
        <w:ind w:left="1150" w:hanging="207"/>
      </w:pPr>
      <w:rPr>
        <w:rFonts w:hint="default"/>
        <w:lang w:val="en-US" w:eastAsia="en-US" w:bidi="ar-SA"/>
      </w:rPr>
    </w:lvl>
    <w:lvl w:ilvl="3">
      <w:start w:val="0"/>
      <w:numFmt w:val="bullet"/>
      <w:lvlText w:val="•"/>
      <w:lvlJc w:val="left"/>
      <w:pPr>
        <w:ind w:left="1605" w:hanging="207"/>
      </w:pPr>
      <w:rPr>
        <w:rFonts w:hint="default"/>
        <w:lang w:val="en-US" w:eastAsia="en-US" w:bidi="ar-SA"/>
      </w:rPr>
    </w:lvl>
    <w:lvl w:ilvl="4">
      <w:start w:val="0"/>
      <w:numFmt w:val="bullet"/>
      <w:lvlText w:val="•"/>
      <w:lvlJc w:val="left"/>
      <w:pPr>
        <w:ind w:left="2060" w:hanging="207"/>
      </w:pPr>
      <w:rPr>
        <w:rFonts w:hint="default"/>
        <w:lang w:val="en-US" w:eastAsia="en-US" w:bidi="ar-SA"/>
      </w:rPr>
    </w:lvl>
    <w:lvl w:ilvl="5">
      <w:start w:val="0"/>
      <w:numFmt w:val="bullet"/>
      <w:lvlText w:val="•"/>
      <w:lvlJc w:val="left"/>
      <w:pPr>
        <w:ind w:left="2515" w:hanging="207"/>
      </w:pPr>
      <w:rPr>
        <w:rFonts w:hint="default"/>
        <w:lang w:val="en-US" w:eastAsia="en-US" w:bidi="ar-SA"/>
      </w:rPr>
    </w:lvl>
    <w:lvl w:ilvl="6">
      <w:start w:val="0"/>
      <w:numFmt w:val="bullet"/>
      <w:lvlText w:val="•"/>
      <w:lvlJc w:val="left"/>
      <w:pPr>
        <w:ind w:left="2970" w:hanging="207"/>
      </w:pPr>
      <w:rPr>
        <w:rFonts w:hint="default"/>
        <w:lang w:val="en-US" w:eastAsia="en-US" w:bidi="ar-SA"/>
      </w:rPr>
    </w:lvl>
    <w:lvl w:ilvl="7">
      <w:start w:val="0"/>
      <w:numFmt w:val="bullet"/>
      <w:lvlText w:val="•"/>
      <w:lvlJc w:val="left"/>
      <w:pPr>
        <w:ind w:left="3425" w:hanging="207"/>
      </w:pPr>
      <w:rPr>
        <w:rFonts w:hint="default"/>
        <w:lang w:val="en-US" w:eastAsia="en-US" w:bidi="ar-SA"/>
      </w:rPr>
    </w:lvl>
    <w:lvl w:ilvl="8">
      <w:start w:val="0"/>
      <w:numFmt w:val="bullet"/>
      <w:lvlText w:val="•"/>
      <w:lvlJc w:val="left"/>
      <w:pPr>
        <w:ind w:left="3880" w:hanging="207"/>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right="22"/>
      <w:jc w:val="right"/>
      <w:outlineLvl w:val="1"/>
    </w:pPr>
    <w:rPr>
      <w:rFonts w:ascii="Arial" w:hAnsi="Arial" w:eastAsia="Arial" w:cs="Arial"/>
      <w:sz w:val="30"/>
      <w:szCs w:val="30"/>
      <w:lang w:val="en-US" w:eastAsia="en-US" w:bidi="ar-SA"/>
    </w:rPr>
  </w:style>
  <w:style w:styleId="Title" w:type="paragraph">
    <w:name w:val="Title"/>
    <w:basedOn w:val="Normal"/>
    <w:uiPriority w:val="1"/>
    <w:qFormat/>
    <w:pPr>
      <w:ind w:left="28"/>
    </w:pPr>
    <w:rPr>
      <w:rFonts w:ascii="Times New Roman" w:hAnsi="Times New Roman" w:eastAsia="Times New Roman" w:cs="Times New Roman"/>
      <w:sz w:val="32"/>
      <w:szCs w:val="32"/>
      <w:lang w:val="en-US" w:eastAsia="en-US" w:bidi="ar-SA"/>
    </w:rPr>
  </w:style>
  <w:style w:styleId="ListParagraph" w:type="paragraph">
    <w:name w:val="List Paragraph"/>
    <w:basedOn w:val="Normal"/>
    <w:uiPriority w:val="1"/>
    <w:qFormat/>
    <w:pPr>
      <w:ind w:left="234" w:right="27" w:hanging="207"/>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dx.doi.org/10.1007/s00415-012-6776-z" TargetMode="External"/><Relationship Id="rId6" Type="http://schemas.openxmlformats.org/officeDocument/2006/relationships/hyperlink" Target="mailto:b.vandewarrenburg@neuro.umcn.nl" TargetMode="External"/><Relationship Id="rId7" Type="http://schemas.openxmlformats.org/officeDocument/2006/relationships/hyperlink" Target="mailto:am.tuladhar@neuro.umcn.nl" TargetMode="External"/><Relationship Id="rId8" Type="http://schemas.openxmlformats.org/officeDocument/2006/relationships/image" Target="media/image1.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2025-07-04T18:34:13Z</dcterms:created>
  <dcterms:modified xsi:type="dcterms:W3CDTF">2025-07-04T18:34:13Z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2013-03-01T00:00:00Z</vt:filetime>
  </property>
  <property fmtid="{D5CDD505-2E9C-101B-9397-08002B2CF9AE}" pid="3" name="Creator">
    <vt:lpwstr>Arbortext Advanced Print Publisher 9.0.114/W</vt:lpwstr>
  </property>
  <property fmtid="{D5CDD505-2E9C-101B-9397-08002B2CF9AE}" pid="4" name="LastSaved">
    <vt:filetime>2025-07-04T00:00:00Z</vt:filetime>
  </property>
  <property fmtid="{D5CDD505-2E9C-101B-9397-08002B2CF9AE}" pid="5" name="Producer">
    <vt:lpwstr>Acrobat Distiller 10.0.0 (Windows)</vt:lpwstr>
  </property>
</Properties>
</file>