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2"/>
        <w:ind w:left="28" w:right="0" w:firstLine="0"/>
        <w:jc w:val="left"/>
        <w:rPr>
          <w:sz w:val="17"/>
        </w:rPr>
      </w:pPr>
      <w:r>
        <w:rPr>
          <w:spacing w:val="-2"/>
          <w:sz w:val="17"/>
        </w:rPr>
        <w:t>DOI</w:t>
      </w:r>
      <w:r>
        <w:rPr>
          <w:spacing w:val="45"/>
          <w:sz w:val="17"/>
        </w:rPr>
        <w:t> </w:t>
      </w:r>
      <w:r>
        <w:rPr>
          <w:spacing w:val="-2"/>
          <w:sz w:val="17"/>
        </w:rPr>
        <w:t>10.1007/s00415-014-7428-</w:t>
      </w:r>
      <w:r>
        <w:rPr>
          <w:spacing w:val="-10"/>
          <w:sz w:val="17"/>
        </w:rPr>
        <w:t>2</w:t>
      </w:r>
    </w:p>
    <w:p>
      <w:pPr>
        <w:pStyle w:val="BodyText"/>
        <w:spacing w:before="2"/>
        <w:rPr>
          <w:sz w:val="9"/>
        </w:rPr>
      </w:pPr>
      <w:r>
        <w:rPr>
          <w:sz w:val="9"/>
        </w:rPr>
        <mc:AlternateContent>
          <mc:Choice Requires="wps">
            <w:drawing>
              <wp:anchor distT="0" distB="0" distL="0" distR="0" allowOverlap="1" layoutInCell="1" locked="0" behindDoc="1" simplePos="0" relativeHeight="487587840">
                <wp:simplePos x="0" y="0"/>
                <wp:positionH relativeFrom="page">
                  <wp:posOffset>648004</wp:posOffset>
                </wp:positionH>
                <wp:positionV relativeFrom="paragraph">
                  <wp:posOffset>82232</wp:posOffset>
                </wp:positionV>
                <wp:extent cx="6264275" cy="25209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6264275" cy="252095"/>
                          <a:chExt cx="6264275" cy="252095"/>
                        </a:xfrm>
                      </wpg:grpSpPr>
                      <wps:wsp>
                        <wps:cNvPr id="3" name="Textbox 3"/>
                        <wps:cNvSpPr txBox="1"/>
                        <wps:spPr>
                          <a:xfrm>
                            <a:off x="0" y="12236"/>
                            <a:ext cx="3024505" cy="240029"/>
                          </a:xfrm>
                          <a:prstGeom prst="rect">
                            <a:avLst/>
                          </a:prstGeom>
                          <a:solidFill>
                            <a:srgbClr val="B3B3B3"/>
                          </a:solidFill>
                        </wps:spPr>
                        <wps:txbx>
                          <w:txbxContent>
                            <w:p>
                              <w:pPr>
                                <w:spacing w:before="72"/>
                                <w:ind w:left="113" w:right="0" w:firstLine="0"/>
                                <w:jc w:val="left"/>
                                <w:rPr>
                                  <w:color w:val="000000"/>
                                  <w:sz w:val="19"/>
                                </w:rPr>
                              </w:pPr>
                              <w:r>
                                <w:rPr>
                                  <w:color w:val="000000"/>
                                  <w:spacing w:val="16"/>
                                  <w:sz w:val="19"/>
                                </w:rPr>
                                <w:t>LETTER</w:t>
                              </w:r>
                              <w:r>
                                <w:rPr>
                                  <w:color w:val="000000"/>
                                  <w:spacing w:val="33"/>
                                  <w:sz w:val="19"/>
                                </w:rPr>
                                <w:t> </w:t>
                              </w:r>
                              <w:r>
                                <w:rPr>
                                  <w:color w:val="000000"/>
                                  <w:spacing w:val="9"/>
                                  <w:sz w:val="19"/>
                                </w:rPr>
                                <w:t>TO</w:t>
                              </w:r>
                              <w:r>
                                <w:rPr>
                                  <w:color w:val="000000"/>
                                  <w:spacing w:val="33"/>
                                  <w:sz w:val="19"/>
                                </w:rPr>
                                <w:t> </w:t>
                              </w:r>
                              <w:r>
                                <w:rPr>
                                  <w:color w:val="000000"/>
                                  <w:spacing w:val="12"/>
                                  <w:sz w:val="19"/>
                                </w:rPr>
                                <w:t>THE</w:t>
                              </w:r>
                              <w:r>
                                <w:rPr>
                                  <w:color w:val="000000"/>
                                  <w:spacing w:val="34"/>
                                  <w:sz w:val="19"/>
                                </w:rPr>
                                <w:t> </w:t>
                              </w:r>
                              <w:r>
                                <w:rPr>
                                  <w:color w:val="000000"/>
                                  <w:spacing w:val="14"/>
                                  <w:sz w:val="19"/>
                                </w:rPr>
                                <w:t>EDITORS </w:t>
                              </w:r>
                            </w:p>
                          </w:txbxContent>
                        </wps:txbx>
                        <wps:bodyPr wrap="square" lIns="0" tIns="0" rIns="0" bIns="0" rtlCol="0">
                          <a:noAutofit/>
                        </wps:bodyPr>
                      </wps:wsp>
                      <wps:wsp>
                        <wps:cNvPr id="4" name="Graphic 4"/>
                        <wps:cNvSpPr/>
                        <wps:spPr>
                          <a:xfrm>
                            <a:off x="0" y="0"/>
                            <a:ext cx="6264275" cy="13335"/>
                          </a:xfrm>
                          <a:custGeom>
                            <a:avLst/>
                            <a:gdLst/>
                            <a:ahLst/>
                            <a:cxnLst/>
                            <a:rect l="l" t="t" r="r" b="b"/>
                            <a:pathLst>
                              <a:path w="6264275" h="13335">
                                <a:moveTo>
                                  <a:pt x="6263995" y="0"/>
                                </a:moveTo>
                                <a:lnTo>
                                  <a:pt x="0" y="0"/>
                                </a:lnTo>
                                <a:lnTo>
                                  <a:pt x="0" y="12960"/>
                                </a:lnTo>
                                <a:lnTo>
                                  <a:pt x="6263995" y="12960"/>
                                </a:lnTo>
                                <a:lnTo>
                                  <a:pt x="6263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023998pt;margin-top:6.475021pt;width:493.25pt;height:19.850pt;mso-position-horizontal-relative:page;mso-position-vertical-relative:paragraph;z-index:-15728640;mso-wrap-distance-left:0;mso-wrap-distance-right:0" id="docshapegroup2" coordorigin="1020,130" coordsize="9865,397">
                <v:shape style="position:absolute;left:1020;top:148;width:4763;height:378" type="#_x0000_t202" id="docshape3" filled="true" fillcolor="#b3b3b3" stroked="false">
                  <v:textbox inset="0,0,0,0">
                    <w:txbxContent>
                      <w:p>
                        <w:pPr>
                          <w:spacing w:before="72"/>
                          <w:ind w:left="113" w:right="0" w:firstLine="0"/>
                          <w:jc w:val="left"/>
                          <w:rPr>
                            <w:color w:val="000000"/>
                            <w:sz w:val="19"/>
                          </w:rPr>
                        </w:pPr>
                        <w:r>
                          <w:rPr>
                            <w:color w:val="000000"/>
                            <w:spacing w:val="16"/>
                            <w:sz w:val="19"/>
                          </w:rPr>
                          <w:t>LETTER</w:t>
                        </w:r>
                        <w:r>
                          <w:rPr>
                            <w:color w:val="000000"/>
                            <w:spacing w:val="33"/>
                            <w:sz w:val="19"/>
                          </w:rPr>
                          <w:t> </w:t>
                        </w:r>
                        <w:r>
                          <w:rPr>
                            <w:color w:val="000000"/>
                            <w:spacing w:val="9"/>
                            <w:sz w:val="19"/>
                          </w:rPr>
                          <w:t>TO</w:t>
                        </w:r>
                        <w:r>
                          <w:rPr>
                            <w:color w:val="000000"/>
                            <w:spacing w:val="33"/>
                            <w:sz w:val="19"/>
                          </w:rPr>
                          <w:t> </w:t>
                        </w:r>
                        <w:r>
                          <w:rPr>
                            <w:color w:val="000000"/>
                            <w:spacing w:val="12"/>
                            <w:sz w:val="19"/>
                          </w:rPr>
                          <w:t>THE</w:t>
                        </w:r>
                        <w:r>
                          <w:rPr>
                            <w:color w:val="000000"/>
                            <w:spacing w:val="34"/>
                            <w:sz w:val="19"/>
                          </w:rPr>
                          <w:t> </w:t>
                        </w:r>
                        <w:r>
                          <w:rPr>
                            <w:color w:val="000000"/>
                            <w:spacing w:val="14"/>
                            <w:sz w:val="19"/>
                          </w:rPr>
                          <w:t>EDITORS </w:t>
                        </w:r>
                      </w:p>
                    </w:txbxContent>
                  </v:textbox>
                  <v:fill type="solid"/>
                  <w10:wrap type="none"/>
                </v:shape>
                <v:rect style="position:absolute;left:1020;top:129;width:9865;height:21" id="docshape4" filled="true" fillcolor="#000000" stroked="false">
                  <v:fill type="solid"/>
                </v:rect>
                <w10:wrap type="topAndBottom"/>
              </v:group>
            </w:pict>
          </mc:Fallback>
        </mc:AlternateContent>
      </w:r>
    </w:p>
    <w:p>
      <w:pPr>
        <w:pStyle w:val="BodyText"/>
        <w:spacing w:before="131"/>
        <w:rPr>
          <w:sz w:val="32"/>
        </w:rPr>
      </w:pPr>
    </w:p>
    <w:p>
      <w:pPr>
        <w:pStyle w:val="Title"/>
        <w:spacing w:line="232" w:lineRule="auto"/>
      </w:pPr>
      <w:bookmarkStart w:name="Mitochondrial neurogastrointestinal ence" w:id="1"/>
      <w:bookmarkEnd w:id="1"/>
      <w:r>
        <w:rPr/>
      </w:r>
      <w:r>
        <w:rPr>
          <w:w w:val="105"/>
        </w:rPr>
        <w:t>Mitochondrial neurogastrointestinal encephalomyopathy (MNGIE)-like phenotype in a patient with a novel heterozygous </w:t>
      </w:r>
      <w:r>
        <w:rPr>
          <w:i/>
          <w:w w:val="105"/>
        </w:rPr>
        <w:t>POLG </w:t>
      </w:r>
      <w:r>
        <w:rPr>
          <w:w w:val="105"/>
        </w:rPr>
        <w:t>mutation</w:t>
      </w:r>
    </w:p>
    <w:p>
      <w:pPr>
        <w:pStyle w:val="BodyText"/>
        <w:spacing w:before="341"/>
        <w:ind w:left="28"/>
      </w:pPr>
      <w:r>
        <w:rPr>
          <w:w w:val="105"/>
        </w:rPr>
        <w:t>Pankaj</w:t>
      </w:r>
      <w:r>
        <w:rPr>
          <w:spacing w:val="21"/>
          <w:w w:val="105"/>
        </w:rPr>
        <w:t> </w:t>
      </w:r>
      <w:r>
        <w:rPr>
          <w:w w:val="105"/>
        </w:rPr>
        <w:t>Prasun</w:t>
      </w:r>
      <w:r>
        <w:rPr>
          <w:spacing w:val="24"/>
          <w:w w:val="105"/>
        </w:rPr>
        <w:t> </w:t>
      </w:r>
      <w:r>
        <w:rPr>
          <w:w w:val="105"/>
          <w:position w:val="2"/>
          <w:sz w:val="12"/>
        </w:rPr>
        <w:t>•</w:t>
      </w:r>
      <w:r>
        <w:rPr>
          <w:spacing w:val="43"/>
          <w:w w:val="105"/>
          <w:position w:val="2"/>
          <w:sz w:val="12"/>
        </w:rPr>
        <w:t> </w:t>
      </w:r>
      <w:r>
        <w:rPr>
          <w:w w:val="105"/>
        </w:rPr>
        <w:t>Dwight</w:t>
      </w:r>
      <w:r>
        <w:rPr>
          <w:spacing w:val="21"/>
          <w:w w:val="105"/>
        </w:rPr>
        <w:t> </w:t>
      </w:r>
      <w:r>
        <w:rPr>
          <w:w w:val="105"/>
        </w:rPr>
        <w:t>D.</w:t>
      </w:r>
      <w:r>
        <w:rPr>
          <w:spacing w:val="22"/>
          <w:w w:val="105"/>
        </w:rPr>
        <w:t> </w:t>
      </w:r>
      <w:r>
        <w:rPr>
          <w:spacing w:val="-2"/>
          <w:w w:val="105"/>
        </w:rPr>
        <w:t>Koeberl</w:t>
      </w:r>
    </w:p>
    <w:p>
      <w:pPr>
        <w:pStyle w:val="BodyText"/>
      </w:pPr>
    </w:p>
    <w:p>
      <w:pPr>
        <w:pStyle w:val="BodyText"/>
      </w:pPr>
    </w:p>
    <w:p>
      <w:pPr>
        <w:pStyle w:val="BodyText"/>
      </w:pPr>
    </w:p>
    <w:p>
      <w:pPr>
        <w:pStyle w:val="BodyText"/>
        <w:spacing w:before="210"/>
      </w:pPr>
    </w:p>
    <w:p>
      <w:pPr>
        <w:spacing w:before="0"/>
        <w:ind w:left="28" w:right="0" w:firstLine="0"/>
        <w:jc w:val="left"/>
        <w:rPr>
          <w:sz w:val="17"/>
        </w:rPr>
      </w:pPr>
      <w:r>
        <w:rPr>
          <w:sz w:val="17"/>
        </w:rPr>
        <w:t>Received:</w:t>
      </w:r>
      <w:r>
        <w:rPr>
          <w:spacing w:val="1"/>
          <w:sz w:val="17"/>
        </w:rPr>
        <w:t> </w:t>
      </w:r>
      <w:r>
        <w:rPr>
          <w:sz w:val="17"/>
        </w:rPr>
        <w:t>11</w:t>
      </w:r>
      <w:r>
        <w:rPr>
          <w:spacing w:val="11"/>
          <w:sz w:val="17"/>
        </w:rPr>
        <w:t> </w:t>
      </w:r>
      <w:r>
        <w:rPr>
          <w:sz w:val="17"/>
        </w:rPr>
        <w:t>June</w:t>
      </w:r>
      <w:r>
        <w:rPr>
          <w:spacing w:val="10"/>
          <w:sz w:val="17"/>
        </w:rPr>
        <w:t> </w:t>
      </w:r>
      <w:r>
        <w:rPr>
          <w:sz w:val="17"/>
        </w:rPr>
        <w:t>2014</w:t>
      </w:r>
      <w:r>
        <w:rPr>
          <w:spacing w:val="-14"/>
          <w:sz w:val="17"/>
        </w:rPr>
        <w:t> </w:t>
      </w:r>
      <w:r>
        <w:rPr>
          <w:sz w:val="17"/>
        </w:rPr>
        <w:t>/</w:t>
      </w:r>
      <w:r>
        <w:rPr>
          <w:spacing w:val="-15"/>
          <w:sz w:val="17"/>
        </w:rPr>
        <w:t> </w:t>
      </w:r>
      <w:r>
        <w:rPr>
          <w:sz w:val="17"/>
        </w:rPr>
        <w:t>Revised:</w:t>
      </w:r>
      <w:r>
        <w:rPr>
          <w:spacing w:val="11"/>
          <w:sz w:val="17"/>
        </w:rPr>
        <w:t> </w:t>
      </w:r>
      <w:r>
        <w:rPr>
          <w:sz w:val="17"/>
        </w:rPr>
        <w:t>26</w:t>
      </w:r>
      <w:r>
        <w:rPr>
          <w:spacing w:val="10"/>
          <w:sz w:val="17"/>
        </w:rPr>
        <w:t> </w:t>
      </w:r>
      <w:r>
        <w:rPr>
          <w:sz w:val="17"/>
        </w:rPr>
        <w:t>June</w:t>
      </w:r>
      <w:r>
        <w:rPr>
          <w:spacing w:val="11"/>
          <w:sz w:val="17"/>
        </w:rPr>
        <w:t> </w:t>
      </w:r>
      <w:r>
        <w:rPr>
          <w:sz w:val="17"/>
        </w:rPr>
        <w:t>2014</w:t>
      </w:r>
      <w:r>
        <w:rPr>
          <w:spacing w:val="-14"/>
          <w:sz w:val="17"/>
        </w:rPr>
        <w:t> </w:t>
      </w:r>
      <w:r>
        <w:rPr>
          <w:sz w:val="17"/>
        </w:rPr>
        <w:t>/</w:t>
      </w:r>
      <w:r>
        <w:rPr>
          <w:spacing w:val="-15"/>
          <w:sz w:val="17"/>
        </w:rPr>
        <w:t> </w:t>
      </w:r>
      <w:r>
        <w:rPr>
          <w:sz w:val="17"/>
        </w:rPr>
        <w:t>Accepted:</w:t>
      </w:r>
      <w:r>
        <w:rPr>
          <w:spacing w:val="11"/>
          <w:sz w:val="17"/>
        </w:rPr>
        <w:t> </w:t>
      </w:r>
      <w:r>
        <w:rPr>
          <w:sz w:val="17"/>
        </w:rPr>
        <w:t>27</w:t>
      </w:r>
      <w:r>
        <w:rPr>
          <w:spacing w:val="10"/>
          <w:sz w:val="17"/>
        </w:rPr>
        <w:t> </w:t>
      </w:r>
      <w:r>
        <w:rPr>
          <w:sz w:val="17"/>
        </w:rPr>
        <w:t>June</w:t>
      </w:r>
      <w:r>
        <w:rPr>
          <w:spacing w:val="11"/>
          <w:sz w:val="17"/>
        </w:rPr>
        <w:t> </w:t>
      </w:r>
      <w:r>
        <w:rPr>
          <w:sz w:val="17"/>
        </w:rPr>
        <w:t>2014</w:t>
      </w:r>
      <w:r>
        <w:rPr>
          <w:spacing w:val="-15"/>
          <w:sz w:val="17"/>
        </w:rPr>
        <w:t> </w:t>
      </w:r>
      <w:r>
        <w:rPr>
          <w:sz w:val="17"/>
        </w:rPr>
        <w:t>/</w:t>
      </w:r>
      <w:r>
        <w:rPr>
          <w:spacing w:val="-15"/>
          <w:sz w:val="17"/>
        </w:rPr>
        <w:t> </w:t>
      </w:r>
      <w:r>
        <w:rPr>
          <w:sz w:val="17"/>
        </w:rPr>
        <w:t>Published</w:t>
      </w:r>
      <w:r>
        <w:rPr>
          <w:spacing w:val="11"/>
          <w:sz w:val="17"/>
        </w:rPr>
        <w:t> </w:t>
      </w:r>
      <w:r>
        <w:rPr>
          <w:sz w:val="17"/>
        </w:rPr>
        <w:t>online:</w:t>
      </w:r>
      <w:r>
        <w:rPr>
          <w:spacing w:val="11"/>
          <w:sz w:val="17"/>
        </w:rPr>
        <w:t> </w:t>
      </w:r>
      <w:r>
        <w:rPr>
          <w:sz w:val="17"/>
        </w:rPr>
        <w:t>15</w:t>
      </w:r>
      <w:r>
        <w:rPr>
          <w:spacing w:val="10"/>
          <w:sz w:val="17"/>
        </w:rPr>
        <w:t> </w:t>
      </w:r>
      <w:r>
        <w:rPr>
          <w:sz w:val="17"/>
        </w:rPr>
        <w:t>July</w:t>
      </w:r>
      <w:r>
        <w:rPr>
          <w:spacing w:val="11"/>
          <w:sz w:val="17"/>
        </w:rPr>
        <w:t> </w:t>
      </w:r>
      <w:r>
        <w:rPr>
          <w:spacing w:val="-4"/>
          <w:sz w:val="17"/>
        </w:rPr>
        <w:t>2014</w:t>
      </w:r>
    </w:p>
    <w:p>
      <w:pPr>
        <w:spacing w:before="3"/>
        <w:ind w:left="28" w:right="0" w:firstLine="0"/>
        <w:jc w:val="left"/>
        <w:rPr>
          <w:sz w:val="17"/>
        </w:rPr>
      </w:pPr>
      <w:r>
        <w:rPr>
          <w:sz w:val="17"/>
        </w:rPr>
        <w:t>©</w:t>
      </w:r>
      <w:r>
        <w:rPr>
          <w:spacing w:val="9"/>
          <w:sz w:val="17"/>
        </w:rPr>
        <w:t> </w:t>
      </w:r>
      <w:r>
        <w:rPr>
          <w:sz w:val="17"/>
        </w:rPr>
        <w:t>Springer-Verlag</w:t>
      </w:r>
      <w:r>
        <w:rPr>
          <w:spacing w:val="9"/>
          <w:sz w:val="17"/>
        </w:rPr>
        <w:t> </w:t>
      </w:r>
      <w:r>
        <w:rPr>
          <w:sz w:val="17"/>
        </w:rPr>
        <w:t>Berlin</w:t>
      </w:r>
      <w:r>
        <w:rPr>
          <w:spacing w:val="9"/>
          <w:sz w:val="17"/>
        </w:rPr>
        <w:t> </w:t>
      </w:r>
      <w:r>
        <w:rPr>
          <w:sz w:val="17"/>
        </w:rPr>
        <w:t>Heidelberg</w:t>
      </w:r>
      <w:r>
        <w:rPr>
          <w:spacing w:val="11"/>
          <w:sz w:val="17"/>
        </w:rPr>
        <w:t> </w:t>
      </w:r>
      <w:r>
        <w:rPr>
          <w:spacing w:val="-4"/>
          <w:sz w:val="17"/>
        </w:rPr>
        <w:t>2014</w:t>
      </w:r>
    </w:p>
    <w:p>
      <w:pPr>
        <w:pStyle w:val="BodyText"/>
        <w:spacing w:before="70"/>
      </w:pPr>
    </w:p>
    <w:p>
      <w:pPr>
        <w:pStyle w:val="BodyText"/>
        <w:spacing w:after="0"/>
        <w:sectPr>
          <w:headerReference w:type="default" r:id="rId5"/>
          <w:type w:val="continuous"/>
          <w:pgSz w:w="11910" w:h="15820"/>
          <w:pgMar w:header="634" w:footer="0" w:top="820" w:bottom="280" w:left="992" w:right="992"/>
          <w:pgNumType w:start="1"/>
        </w:sectPr>
      </w:pPr>
    </w:p>
    <w:p>
      <w:pPr>
        <w:pStyle w:val="BodyText"/>
        <w:spacing w:before="69"/>
        <w:ind w:left="28"/>
        <w:jc w:val="both"/>
      </w:pPr>
      <w:r>
        <w:rPr/>
        <w:t>Dear</w:t>
      </w:r>
      <w:r>
        <w:rPr>
          <w:spacing w:val="14"/>
        </w:rPr>
        <w:t> </w:t>
      </w:r>
      <w:r>
        <w:rPr>
          <w:spacing w:val="-4"/>
        </w:rPr>
        <w:t>Sirs,</w:t>
      </w:r>
    </w:p>
    <w:p>
      <w:pPr>
        <w:pStyle w:val="BodyText"/>
        <w:spacing w:line="259" w:lineRule="auto" w:before="131"/>
        <w:ind w:left="28"/>
        <w:jc w:val="both"/>
      </w:pPr>
      <w:r>
        <w:rPr/>
        <w:t>POLG-related disease can present with varying degree </w:t>
      </w:r>
      <w:r>
        <w:rPr/>
        <w:t>of severity and timing of onset with multiple organ involve- ment [</w:t>
      </w:r>
      <w:hyperlink w:history="true" w:anchor="_bookmark0">
        <w:r>
          <w:rPr>
            <w:color w:val="0000FF"/>
          </w:rPr>
          <w:t>1</w:t>
        </w:r>
      </w:hyperlink>
      <w:r>
        <w:rPr/>
        <w:t>]. In adulthood, </w:t>
      </w:r>
      <w:r>
        <w:rPr>
          <w:i/>
        </w:rPr>
        <w:t>POLG </w:t>
      </w:r>
      <w:r>
        <w:rPr/>
        <w:t>mutations usually present with progressive external ophthalmoplegia (PEO). PEO</w:t>
      </w:r>
      <w:r>
        <w:rPr>
          <w:spacing w:val="40"/>
        </w:rPr>
        <w:t> </w:t>
      </w:r>
      <w:r>
        <w:rPr/>
        <w:t>can be due to dominant or recessive mutations in </w:t>
      </w:r>
      <w:r>
        <w:rPr>
          <w:i/>
        </w:rPr>
        <w:t>POLG</w:t>
      </w:r>
      <w:r>
        <w:rPr/>
        <w:t>. Autosomal dominant PEO is associated with generalized progressive myopathy. Affected individuals may also have sensorineural deafness, ataxia, axonal neuropathy, depres- sion, parkinsonism, cataract, and hypogonadism. Mito- chondrial neurogastrointestinal encephalomyopathy (MNGIE)-like</w:t>
      </w:r>
      <w:r>
        <w:rPr>
          <w:spacing w:val="-1"/>
        </w:rPr>
        <w:t> </w:t>
      </w:r>
      <w:r>
        <w:rPr/>
        <w:t>presentations</w:t>
      </w:r>
      <w:r>
        <w:rPr>
          <w:spacing w:val="-2"/>
        </w:rPr>
        <w:t> </w:t>
      </w:r>
      <w:r>
        <w:rPr/>
        <w:t>have</w:t>
      </w:r>
      <w:r>
        <w:rPr>
          <w:spacing w:val="-1"/>
        </w:rPr>
        <w:t> </w:t>
      </w:r>
      <w:r>
        <w:rPr/>
        <w:t>been</w:t>
      </w:r>
      <w:r>
        <w:rPr>
          <w:spacing w:val="-1"/>
        </w:rPr>
        <w:t> </w:t>
      </w:r>
      <w:r>
        <w:rPr/>
        <w:t>reported</w:t>
      </w:r>
      <w:r>
        <w:rPr>
          <w:spacing w:val="-2"/>
        </w:rPr>
        <w:t> </w:t>
      </w:r>
      <w:r>
        <w:rPr/>
        <w:t>previously with</w:t>
      </w:r>
      <w:r>
        <w:rPr>
          <w:spacing w:val="-1"/>
        </w:rPr>
        <w:t> </w:t>
      </w:r>
      <w:r>
        <w:rPr/>
        <w:t>autosomal recessive </w:t>
      </w:r>
      <w:r>
        <w:rPr>
          <w:i/>
        </w:rPr>
        <w:t>POLG </w:t>
      </w:r>
      <w:r>
        <w:rPr/>
        <w:t>mutations</w:t>
      </w:r>
      <w:r>
        <w:rPr>
          <w:spacing w:val="-3"/>
        </w:rPr>
        <w:t> </w:t>
      </w:r>
      <w:r>
        <w:rPr/>
        <w:t>[</w:t>
      </w:r>
      <w:hyperlink w:history="true" w:anchor="_bookmark1">
        <w:r>
          <w:rPr>
            <w:color w:val="0000FF"/>
          </w:rPr>
          <w:t>2</w:t>
        </w:r>
      </w:hyperlink>
      <w:r>
        <w:rPr/>
        <w:t>,</w:t>
      </w:r>
      <w:r>
        <w:rPr>
          <w:spacing w:val="-2"/>
        </w:rPr>
        <w:t> </w:t>
      </w:r>
      <w:hyperlink w:history="true" w:anchor="_bookmark2">
        <w:r>
          <w:rPr>
            <w:color w:val="0000FF"/>
          </w:rPr>
          <w:t>3</w:t>
        </w:r>
      </w:hyperlink>
      <w:r>
        <w:rPr/>
        <w:t>].</w:t>
      </w:r>
      <w:r>
        <w:rPr>
          <w:spacing w:val="-1"/>
        </w:rPr>
        <w:t> </w:t>
      </w:r>
      <w:r>
        <w:rPr/>
        <w:t>Here,</w:t>
      </w:r>
      <w:r>
        <w:rPr>
          <w:spacing w:val="-1"/>
        </w:rPr>
        <w:t> </w:t>
      </w:r>
      <w:r>
        <w:rPr/>
        <w:t>we describe a 38-year-old male with a novel heterozygous mutation in </w:t>
      </w:r>
      <w:r>
        <w:rPr>
          <w:i/>
        </w:rPr>
        <w:t>POLG </w:t>
      </w:r>
      <w:r>
        <w:rPr/>
        <w:t>presenting as MNGIE.</w:t>
      </w:r>
    </w:p>
    <w:p>
      <w:pPr>
        <w:pStyle w:val="BodyText"/>
        <w:spacing w:line="259" w:lineRule="auto" w:before="11"/>
        <w:ind w:left="28" w:firstLine="226"/>
        <w:jc w:val="both"/>
      </w:pPr>
      <w:r>
        <w:rPr/>
        <w:t>The patient had bilateral cataracts removed in </w:t>
      </w:r>
      <w:r>
        <w:rPr/>
        <w:t>early childhood. He developed chronic diarrhea and weight loss in</w:t>
      </w:r>
      <w:r>
        <w:rPr>
          <w:spacing w:val="-6"/>
        </w:rPr>
        <w:t> </w:t>
      </w:r>
      <w:r>
        <w:rPr/>
        <w:t>his</w:t>
      </w:r>
      <w:r>
        <w:rPr>
          <w:spacing w:val="-4"/>
        </w:rPr>
        <w:t> </w:t>
      </w:r>
      <w:r>
        <w:rPr/>
        <w:t>20s,</w:t>
      </w:r>
      <w:r>
        <w:rPr>
          <w:spacing w:val="-6"/>
        </w:rPr>
        <w:t> </w:t>
      </w:r>
      <w:r>
        <w:rPr/>
        <w:t>which</w:t>
      </w:r>
      <w:r>
        <w:rPr>
          <w:spacing w:val="-6"/>
        </w:rPr>
        <w:t> </w:t>
      </w:r>
      <w:r>
        <w:rPr/>
        <w:t>were</w:t>
      </w:r>
      <w:r>
        <w:rPr>
          <w:spacing w:val="-4"/>
        </w:rPr>
        <w:t> </w:t>
      </w:r>
      <w:r>
        <w:rPr/>
        <w:t>associated</w:t>
      </w:r>
      <w:r>
        <w:rPr>
          <w:spacing w:val="-5"/>
        </w:rPr>
        <w:t> </w:t>
      </w:r>
      <w:r>
        <w:rPr/>
        <w:t>with</w:t>
      </w:r>
      <w:r>
        <w:rPr>
          <w:spacing w:val="-4"/>
        </w:rPr>
        <w:t> </w:t>
      </w:r>
      <w:r>
        <w:rPr/>
        <w:t>a</w:t>
      </w:r>
      <w:r>
        <w:rPr>
          <w:spacing w:val="-6"/>
        </w:rPr>
        <w:t> </w:t>
      </w:r>
      <w:r>
        <w:rPr/>
        <w:t>rash</w:t>
      </w:r>
      <w:r>
        <w:rPr>
          <w:spacing w:val="-4"/>
        </w:rPr>
        <w:t> </w:t>
      </w:r>
      <w:r>
        <w:rPr/>
        <w:t>that</w:t>
      </w:r>
      <w:r>
        <w:rPr>
          <w:spacing w:val="-5"/>
        </w:rPr>
        <w:t> </w:t>
      </w:r>
      <w:r>
        <w:rPr/>
        <w:t>on</w:t>
      </w:r>
      <w:r>
        <w:rPr>
          <w:spacing w:val="-7"/>
        </w:rPr>
        <w:t> </w:t>
      </w:r>
      <w:r>
        <w:rPr/>
        <w:t>biopsy showed</w:t>
      </w:r>
      <w:r>
        <w:rPr>
          <w:spacing w:val="-3"/>
        </w:rPr>
        <w:t> </w:t>
      </w:r>
      <w:r>
        <w:rPr/>
        <w:t>features</w:t>
      </w:r>
      <w:r>
        <w:rPr>
          <w:spacing w:val="-4"/>
        </w:rPr>
        <w:t> </w:t>
      </w:r>
      <w:r>
        <w:rPr/>
        <w:t>of</w:t>
      </w:r>
      <w:r>
        <w:rPr>
          <w:spacing w:val="-5"/>
        </w:rPr>
        <w:t> </w:t>
      </w:r>
      <w:r>
        <w:rPr/>
        <w:t>dermatitis</w:t>
      </w:r>
      <w:r>
        <w:rPr>
          <w:spacing w:val="-5"/>
        </w:rPr>
        <w:t> </w:t>
      </w:r>
      <w:r>
        <w:rPr/>
        <w:t>herpetiformis.</w:t>
      </w:r>
      <w:r>
        <w:rPr>
          <w:spacing w:val="-5"/>
        </w:rPr>
        <w:t> </w:t>
      </w:r>
      <w:r>
        <w:rPr/>
        <w:t>Hence,</w:t>
      </w:r>
      <w:r>
        <w:rPr>
          <w:spacing w:val="-3"/>
        </w:rPr>
        <w:t> </w:t>
      </w:r>
      <w:r>
        <w:rPr/>
        <w:t>he</w:t>
      </w:r>
      <w:r>
        <w:rPr>
          <w:spacing w:val="-5"/>
        </w:rPr>
        <w:t> </w:t>
      </w:r>
      <w:r>
        <w:rPr/>
        <w:t>was diagnosed with celiac disease. Gluten-restricted diet led to resolution</w:t>
      </w:r>
      <w:r>
        <w:rPr>
          <w:spacing w:val="39"/>
        </w:rPr>
        <w:t> </w:t>
      </w:r>
      <w:r>
        <w:rPr/>
        <w:t>of</w:t>
      </w:r>
      <w:r>
        <w:rPr>
          <w:spacing w:val="40"/>
        </w:rPr>
        <w:t> </w:t>
      </w:r>
      <w:r>
        <w:rPr/>
        <w:t>rash,</w:t>
      </w:r>
      <w:r>
        <w:rPr>
          <w:spacing w:val="40"/>
        </w:rPr>
        <w:t> </w:t>
      </w:r>
      <w:r>
        <w:rPr/>
        <w:t>but</w:t>
      </w:r>
      <w:r>
        <w:rPr>
          <w:spacing w:val="39"/>
        </w:rPr>
        <w:t> </w:t>
      </w:r>
      <w:r>
        <w:rPr/>
        <w:t>diarrhea</w:t>
      </w:r>
      <w:r>
        <w:rPr>
          <w:spacing w:val="39"/>
        </w:rPr>
        <w:t> </w:t>
      </w:r>
      <w:r>
        <w:rPr/>
        <w:t>persisted.</w:t>
      </w:r>
      <w:r>
        <w:rPr>
          <w:spacing w:val="40"/>
        </w:rPr>
        <w:t> </w:t>
      </w:r>
      <w:r>
        <w:rPr/>
        <w:t>At</w:t>
      </w:r>
      <w:r>
        <w:rPr>
          <w:spacing w:val="40"/>
        </w:rPr>
        <w:t> </w:t>
      </w:r>
      <w:r>
        <w:rPr/>
        <w:t>the</w:t>
      </w:r>
      <w:r>
        <w:rPr>
          <w:spacing w:val="40"/>
        </w:rPr>
        <w:t> </w:t>
      </w:r>
      <w:r>
        <w:rPr/>
        <w:t>age</w:t>
      </w:r>
      <w:r>
        <w:rPr>
          <w:spacing w:val="40"/>
        </w:rPr>
        <w:t> </w:t>
      </w:r>
      <w:r>
        <w:rPr/>
        <w:t>of 35 years, the patient presented with weakness of upper extremities and bilateral ptosis. A muscle biopsy revealed ragged-red fibers and cytochrome c oxidase (COX) nega- tive fibers. Mitochondrial genome sequencing from peripheral blood was normal. His weakness continued to progress and involved lower extremities, accompanied by impaired upgaze. He developed cachexia associated with chronic</w:t>
      </w:r>
      <w:r>
        <w:rPr>
          <w:spacing w:val="36"/>
        </w:rPr>
        <w:t> </w:t>
      </w:r>
      <w:r>
        <w:rPr/>
        <w:t>persistent</w:t>
      </w:r>
      <w:r>
        <w:rPr>
          <w:spacing w:val="39"/>
        </w:rPr>
        <w:t> </w:t>
      </w:r>
      <w:r>
        <w:rPr/>
        <w:t>diarrhea.</w:t>
      </w:r>
      <w:r>
        <w:rPr>
          <w:spacing w:val="39"/>
        </w:rPr>
        <w:t> </w:t>
      </w:r>
      <w:r>
        <w:rPr/>
        <w:t>Electromyography</w:t>
      </w:r>
      <w:r>
        <w:rPr>
          <w:spacing w:val="37"/>
        </w:rPr>
        <w:t> </w:t>
      </w:r>
      <w:r>
        <w:rPr/>
        <w:t>and</w:t>
      </w:r>
      <w:r>
        <w:rPr>
          <w:spacing w:val="38"/>
        </w:rPr>
        <w:t> </w:t>
      </w:r>
      <w:r>
        <w:rPr>
          <w:spacing w:val="-4"/>
        </w:rPr>
        <w:t>nerve</w:t>
      </w:r>
    </w:p>
    <w:p>
      <w:pPr>
        <w:pStyle w:val="BodyText"/>
        <w:spacing w:before="228"/>
      </w:pPr>
      <w:r>
        <w:rPr/>
        <mc:AlternateContent>
          <mc:Choice Requires="wps">
            <w:drawing>
              <wp:anchor distT="0" distB="0" distL="0" distR="0" allowOverlap="1" layoutInCell="1" locked="0" behindDoc="1" simplePos="0" relativeHeight="487588352">
                <wp:simplePos x="0" y="0"/>
                <wp:positionH relativeFrom="page">
                  <wp:posOffset>648004</wp:posOffset>
                </wp:positionH>
                <wp:positionV relativeFrom="paragraph">
                  <wp:posOffset>306669</wp:posOffset>
                </wp:positionV>
                <wp:extent cx="3024505" cy="762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3024505" cy="7620"/>
                        </a:xfrm>
                        <a:custGeom>
                          <a:avLst/>
                          <a:gdLst/>
                          <a:ahLst/>
                          <a:cxnLst/>
                          <a:rect l="l" t="t" r="r" b="b"/>
                          <a:pathLst>
                            <a:path w="3024505" h="7620">
                              <a:moveTo>
                                <a:pt x="3023997" y="0"/>
                              </a:moveTo>
                              <a:lnTo>
                                <a:pt x="0" y="0"/>
                              </a:lnTo>
                              <a:lnTo>
                                <a:pt x="0" y="7199"/>
                              </a:lnTo>
                              <a:lnTo>
                                <a:pt x="3023997" y="7199"/>
                              </a:lnTo>
                              <a:lnTo>
                                <a:pt x="3023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3998pt;margin-top:24.147219pt;width:238.11pt;height:.56689pt;mso-position-horizontal-relative:page;mso-position-vertical-relative:paragraph;z-index:-15728128;mso-wrap-distance-left:0;mso-wrap-distance-right:0" id="docshape5" filled="true" fillcolor="#000000" stroked="false">
                <v:fill type="solid"/>
                <w10:wrap type="topAndBottom"/>
              </v:rect>
            </w:pict>
          </mc:Fallback>
        </mc:AlternateContent>
      </w:r>
    </w:p>
    <w:p>
      <w:pPr>
        <w:spacing w:before="78"/>
        <w:ind w:left="28" w:right="0" w:firstLine="0"/>
        <w:jc w:val="both"/>
        <w:rPr>
          <w:sz w:val="17"/>
        </w:rPr>
      </w:pPr>
      <w:r>
        <w:rPr>
          <w:w w:val="105"/>
          <w:sz w:val="17"/>
        </w:rPr>
        <w:t>P.</w:t>
      </w:r>
      <w:r>
        <w:rPr>
          <w:spacing w:val="-2"/>
          <w:w w:val="105"/>
          <w:sz w:val="17"/>
        </w:rPr>
        <w:t> </w:t>
      </w:r>
      <w:r>
        <w:rPr>
          <w:w w:val="105"/>
          <w:sz w:val="17"/>
        </w:rPr>
        <w:t>Prasun</w:t>
      </w:r>
      <w:r>
        <w:rPr>
          <w:spacing w:val="77"/>
          <w:w w:val="105"/>
          <w:sz w:val="17"/>
        </w:rPr>
        <w:t> </w:t>
      </w:r>
      <w:r>
        <w:rPr>
          <w:w w:val="105"/>
          <w:sz w:val="17"/>
        </w:rPr>
        <w:t>D.</w:t>
      </w:r>
      <w:r>
        <w:rPr>
          <w:spacing w:val="-2"/>
          <w:w w:val="105"/>
          <w:sz w:val="17"/>
        </w:rPr>
        <w:t> </w:t>
      </w:r>
      <w:r>
        <w:rPr>
          <w:w w:val="105"/>
          <w:sz w:val="17"/>
        </w:rPr>
        <w:t>D.</w:t>
      </w:r>
      <w:r>
        <w:rPr>
          <w:spacing w:val="-2"/>
          <w:w w:val="105"/>
          <w:sz w:val="17"/>
        </w:rPr>
        <w:t> </w:t>
      </w:r>
      <w:r>
        <w:rPr>
          <w:w w:val="105"/>
          <w:sz w:val="17"/>
        </w:rPr>
        <w:t>Koeberl</w:t>
      </w:r>
      <w:r>
        <w:rPr>
          <w:spacing w:val="-1"/>
          <w:w w:val="105"/>
          <w:sz w:val="17"/>
        </w:rPr>
        <w:t> </w:t>
      </w:r>
      <w:r>
        <w:rPr>
          <w:spacing w:val="-5"/>
          <w:w w:val="105"/>
          <w:sz w:val="17"/>
        </w:rPr>
        <w:t>(</w:t>
      </w:r>
      <w:r>
        <w:rPr>
          <w:rFonts w:ascii="Arial"/>
          <w:spacing w:val="-5"/>
          <w:w w:val="105"/>
          <w:sz w:val="17"/>
        </w:rPr>
        <w:t>&amp;</w:t>
      </w:r>
      <w:r>
        <w:rPr>
          <w:spacing w:val="-5"/>
          <w:w w:val="105"/>
          <w:sz w:val="17"/>
        </w:rPr>
        <w:t>)</w:t>
      </w:r>
    </w:p>
    <w:p>
      <w:pPr>
        <w:spacing w:line="244" w:lineRule="auto" w:before="4"/>
        <w:ind w:left="28" w:right="421" w:firstLine="0"/>
        <w:jc w:val="both"/>
        <w:rPr>
          <w:sz w:val="17"/>
        </w:rPr>
      </w:pPr>
      <w:r>
        <w:rPr>
          <w:sz w:val="17"/>
        </w:rPr>
        <mc:AlternateContent>
          <mc:Choice Requires="wps">
            <w:drawing>
              <wp:anchor distT="0" distB="0" distL="0" distR="0" allowOverlap="1" layoutInCell="1" locked="0" behindDoc="1" simplePos="0" relativeHeight="487506432">
                <wp:simplePos x="0" y="0"/>
                <wp:positionH relativeFrom="page">
                  <wp:posOffset>1098714</wp:posOffset>
                </wp:positionH>
                <wp:positionV relativeFrom="paragraph">
                  <wp:posOffset>-106279</wp:posOffset>
                </wp:positionV>
                <wp:extent cx="29209" cy="1866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9209" cy="186690"/>
                        </a:xfrm>
                        <a:prstGeom prst="rect">
                          <a:avLst/>
                        </a:prstGeom>
                      </wps:spPr>
                      <wps:txbx>
                        <w:txbxContent>
                          <w:p>
                            <w:pPr>
                              <w:spacing w:line="167" w:lineRule="exact" w:before="0"/>
                              <w:ind w:left="0" w:right="0" w:firstLine="0"/>
                              <w:jc w:val="left"/>
                              <w:rPr>
                                <w:rFonts w:ascii="Arial" w:hAnsi="Arial"/>
                                <w:sz w:val="17"/>
                              </w:rPr>
                            </w:pPr>
                            <w:r>
                              <w:rPr>
                                <w:rFonts w:ascii="Arial" w:hAnsi="Arial"/>
                                <w:spacing w:val="-10"/>
                                <w:w w:val="75"/>
                                <w:sz w:val="17"/>
                              </w:rPr>
                              <w:t>•</w:t>
                            </w:r>
                          </w:p>
                        </w:txbxContent>
                      </wps:txbx>
                      <wps:bodyPr wrap="square" lIns="0" tIns="0" rIns="0" bIns="0" rtlCol="0">
                        <a:noAutofit/>
                      </wps:bodyPr>
                    </wps:wsp>
                  </a:graphicData>
                </a:graphic>
              </wp:anchor>
            </w:drawing>
          </mc:Choice>
          <mc:Fallback>
            <w:pict>
              <v:shape style="position:absolute;margin-left:86.512978pt;margin-top:-8.368475pt;width:2.3pt;height:14.7pt;mso-position-horizontal-relative:page;mso-position-vertical-relative:paragraph;z-index:-15810048" type="#_x0000_t202" id="docshape6" filled="false" stroked="false">
                <v:textbox inset="0,0,0,0">
                  <w:txbxContent>
                    <w:p>
                      <w:pPr>
                        <w:spacing w:line="167" w:lineRule="exact" w:before="0"/>
                        <w:ind w:left="0" w:right="0" w:firstLine="0"/>
                        <w:jc w:val="left"/>
                        <w:rPr>
                          <w:rFonts w:ascii="Arial" w:hAnsi="Arial"/>
                          <w:sz w:val="17"/>
                        </w:rPr>
                      </w:pPr>
                      <w:r>
                        <w:rPr>
                          <w:rFonts w:ascii="Arial" w:hAnsi="Arial"/>
                          <w:spacing w:val="-10"/>
                          <w:w w:val="75"/>
                          <w:sz w:val="17"/>
                        </w:rPr>
                        <w:t>•</w:t>
                      </w:r>
                    </w:p>
                  </w:txbxContent>
                </v:textbox>
                <w10:wrap type="none"/>
              </v:shape>
            </w:pict>
          </mc:Fallback>
        </mc:AlternateContent>
      </w:r>
      <w:r>
        <w:rPr>
          <w:sz w:val="17"/>
        </w:rPr>
        <w:t>Division of Medical Genetics, Department of Pediatrics, </w:t>
      </w:r>
      <w:r>
        <w:rPr>
          <w:sz w:val="17"/>
        </w:rPr>
        <w:t>Duke University Medical Center 103856, Durham, NC 27710, USA e-mail: </w:t>
      </w:r>
      <w:hyperlink r:id="rId6">
        <w:r>
          <w:rPr>
            <w:sz w:val="17"/>
          </w:rPr>
          <w:t>Dwight.Koeberl@duke.edu</w:t>
        </w:r>
      </w:hyperlink>
    </w:p>
    <w:p>
      <w:pPr>
        <w:pStyle w:val="BodyText"/>
        <w:spacing w:before="111"/>
        <w:rPr>
          <w:sz w:val="17"/>
        </w:rPr>
      </w:pPr>
    </w:p>
    <w:p>
      <w:pPr>
        <w:spacing w:before="0"/>
        <w:ind w:left="56" w:right="0" w:firstLine="0"/>
        <w:jc w:val="both"/>
        <w:rPr>
          <w:rFonts w:ascii="Arial"/>
          <w:sz w:val="30"/>
        </w:rPr>
      </w:pPr>
      <w:r>
        <w:rPr>
          <w:rFonts w:ascii="Arial"/>
          <w:w w:val="85"/>
          <w:sz w:val="30"/>
        </w:rPr>
        <w:t>1</w:t>
      </w:r>
      <w:r>
        <w:rPr>
          <w:rFonts w:ascii="Arial"/>
          <w:spacing w:val="-7"/>
          <w:w w:val="85"/>
          <w:sz w:val="30"/>
        </w:rPr>
        <w:t> </w:t>
      </w:r>
      <w:r>
        <w:rPr>
          <w:rFonts w:ascii="Arial"/>
          <w:spacing w:val="-10"/>
          <w:w w:val="335"/>
          <w:sz w:val="30"/>
        </w:rPr>
        <w:t>3</w:t>
      </w:r>
    </w:p>
    <w:p>
      <w:pPr>
        <w:pStyle w:val="BodyText"/>
        <w:spacing w:line="259" w:lineRule="auto" w:before="68"/>
        <w:ind w:left="28" w:right="26"/>
        <w:jc w:val="both"/>
      </w:pPr>
      <w:r>
        <w:rPr/>
        <w:br w:type="column"/>
      </w:r>
      <w:r>
        <w:rPr/>
        <w:t>conduction study showed chronic myopathy</w:t>
      </w:r>
      <w:r>
        <w:rPr/>
        <w:t> and severe sensory neuropathy, respectively. MNGIE was </w:t>
      </w:r>
      <w:r>
        <w:rPr/>
        <w:t>suspected due to progressive gastrointestinal dysmotility and cachexia, but sequencing of </w:t>
      </w:r>
      <w:r>
        <w:rPr>
          <w:i/>
        </w:rPr>
        <w:t>TYMP </w:t>
      </w:r>
      <w:r>
        <w:rPr/>
        <w:t>gene was normal.</w:t>
      </w:r>
      <w:r>
        <w:rPr>
          <w:spacing w:val="40"/>
        </w:rPr>
        <w:t> </w:t>
      </w:r>
      <w:r>
        <w:rPr>
          <w:i/>
        </w:rPr>
        <w:t>POLG </w:t>
      </w:r>
      <w:r>
        <w:rPr/>
        <w:t>sequencing and deletion/duplication analysis from peripheral blood DNA showed a heterozygous novel vari- ant, c.2669C[A (p.D890A). Mitochondrial genome next- generation</w:t>
      </w:r>
      <w:r>
        <w:rPr>
          <w:spacing w:val="-7"/>
        </w:rPr>
        <w:t> </w:t>
      </w:r>
      <w:r>
        <w:rPr/>
        <w:t>sequencing</w:t>
      </w:r>
      <w:r>
        <w:rPr>
          <w:spacing w:val="-6"/>
        </w:rPr>
        <w:t> </w:t>
      </w:r>
      <w:r>
        <w:rPr/>
        <w:t>on</w:t>
      </w:r>
      <w:r>
        <w:rPr>
          <w:spacing w:val="-7"/>
        </w:rPr>
        <w:t> </w:t>
      </w:r>
      <w:r>
        <w:rPr/>
        <w:t>skeletal</w:t>
      </w:r>
      <w:r>
        <w:rPr>
          <w:spacing w:val="-7"/>
        </w:rPr>
        <w:t> </w:t>
      </w:r>
      <w:r>
        <w:rPr/>
        <w:t>muscle</w:t>
      </w:r>
      <w:r>
        <w:rPr>
          <w:spacing w:val="-6"/>
        </w:rPr>
        <w:t> </w:t>
      </w:r>
      <w:r>
        <w:rPr/>
        <w:t>revealed</w:t>
      </w:r>
      <w:r>
        <w:rPr>
          <w:spacing w:val="-7"/>
        </w:rPr>
        <w:t> </w:t>
      </w:r>
      <w:r>
        <w:rPr/>
        <w:t>multiple deletions confirming pathogenicity of this variant. Mag- netic resonance imaging (MRI) of the brain was normal (Fig. </w:t>
      </w:r>
      <w:hyperlink w:history="true" w:anchor="_bookmark3">
        <w:r>
          <w:rPr>
            <w:color w:val="0000FF"/>
          </w:rPr>
          <w:t>1</w:t>
        </w:r>
      </w:hyperlink>
      <w:r>
        <w:rPr/>
        <w:t>). On further evaluation, the patient was found to have hypogonadism, hypothyroidism, and osteopenia. The patient has gained weight after starting testosterone.</w:t>
      </w:r>
    </w:p>
    <w:p>
      <w:pPr>
        <w:pStyle w:val="BodyText"/>
        <w:spacing w:line="259" w:lineRule="auto" w:before="9"/>
        <w:ind w:left="28" w:right="26" w:firstLine="226"/>
        <w:jc w:val="both"/>
      </w:pPr>
      <w:r>
        <w:rPr/>
        <w:t>MNGIE is characterized by progressive </w:t>
      </w:r>
      <w:r>
        <w:rPr/>
        <w:t>gastrointestinal dysmotility, cachexia, PEO and peripheral neuropathy [</w:t>
      </w:r>
      <w:hyperlink w:history="true" w:anchor="_bookmark4">
        <w:r>
          <w:rPr>
            <w:color w:val="0000FF"/>
          </w:rPr>
          <w:t>4</w:t>
        </w:r>
      </w:hyperlink>
      <w:r>
        <w:rPr/>
        <w:t>]. It is caused by autosomal recessive mutations in </w:t>
      </w:r>
      <w:r>
        <w:rPr>
          <w:i/>
        </w:rPr>
        <w:t>TYMP </w:t>
      </w:r>
      <w:r>
        <w:rPr/>
        <w:t>gene.</w:t>
      </w:r>
      <w:r>
        <w:rPr>
          <w:spacing w:val="-4"/>
        </w:rPr>
        <w:t> </w:t>
      </w:r>
      <w:r>
        <w:rPr/>
        <w:t>A MNGIE-like</w:t>
      </w:r>
      <w:r>
        <w:rPr>
          <w:spacing w:val="-4"/>
        </w:rPr>
        <w:t> </w:t>
      </w:r>
      <w:r>
        <w:rPr/>
        <w:t>phenotype</w:t>
      </w:r>
      <w:r>
        <w:rPr>
          <w:spacing w:val="-4"/>
        </w:rPr>
        <w:t> </w:t>
      </w:r>
      <w:r>
        <w:rPr/>
        <w:t>has</w:t>
      </w:r>
      <w:r>
        <w:rPr>
          <w:spacing w:val="-5"/>
        </w:rPr>
        <w:t> </w:t>
      </w:r>
      <w:r>
        <w:rPr/>
        <w:t>also</w:t>
      </w:r>
      <w:r>
        <w:rPr>
          <w:spacing w:val="-5"/>
        </w:rPr>
        <w:t> </w:t>
      </w:r>
      <w:r>
        <w:rPr/>
        <w:t>been</w:t>
      </w:r>
      <w:r>
        <w:rPr>
          <w:spacing w:val="-4"/>
        </w:rPr>
        <w:t> </w:t>
      </w:r>
      <w:r>
        <w:rPr/>
        <w:t>reported</w:t>
      </w:r>
      <w:r>
        <w:rPr>
          <w:spacing w:val="-6"/>
        </w:rPr>
        <w:t> </w:t>
      </w:r>
      <w:r>
        <w:rPr/>
        <w:t>in</w:t>
      </w:r>
      <w:r>
        <w:rPr>
          <w:spacing w:val="-6"/>
        </w:rPr>
        <w:t> </w:t>
      </w:r>
      <w:r>
        <w:rPr/>
        <w:t>a patient with recessive mutations</w:t>
      </w:r>
      <w:r>
        <w:rPr>
          <w:spacing w:val="-1"/>
        </w:rPr>
        <w:t> </w:t>
      </w:r>
      <w:r>
        <w:rPr/>
        <w:t>in </w:t>
      </w:r>
      <w:r>
        <w:rPr>
          <w:i/>
        </w:rPr>
        <w:t>RRM2B </w:t>
      </w:r>
      <w:r>
        <w:rPr/>
        <w:t>[</w:t>
      </w:r>
      <w:hyperlink w:history="true" w:anchor="_bookmark5">
        <w:r>
          <w:rPr>
            <w:color w:val="0000FF"/>
          </w:rPr>
          <w:t>5</w:t>
        </w:r>
      </w:hyperlink>
      <w:r>
        <w:rPr/>
        <w:t>]. Autosomal recessive mutations in </w:t>
      </w:r>
      <w:r>
        <w:rPr>
          <w:i/>
        </w:rPr>
        <w:t>POLG </w:t>
      </w:r>
      <w:r>
        <w:rPr/>
        <w:t>presenting as MNGIE was first</w:t>
      </w:r>
      <w:r>
        <w:rPr>
          <w:spacing w:val="-5"/>
        </w:rPr>
        <w:t> </w:t>
      </w:r>
      <w:r>
        <w:rPr/>
        <w:t>reported</w:t>
      </w:r>
      <w:r>
        <w:rPr>
          <w:spacing w:val="-5"/>
        </w:rPr>
        <w:t> </w:t>
      </w:r>
      <w:r>
        <w:rPr/>
        <w:t>by</w:t>
      </w:r>
      <w:r>
        <w:rPr>
          <w:spacing w:val="-7"/>
        </w:rPr>
        <w:t> </w:t>
      </w:r>
      <w:r>
        <w:rPr/>
        <w:t>Van</w:t>
      </w:r>
      <w:r>
        <w:rPr>
          <w:spacing w:val="-5"/>
        </w:rPr>
        <w:t> </w:t>
      </w:r>
      <w:r>
        <w:rPr/>
        <w:t>Goethem</w:t>
      </w:r>
      <w:r>
        <w:rPr>
          <w:spacing w:val="-6"/>
        </w:rPr>
        <w:t> </w:t>
      </w:r>
      <w:r>
        <w:rPr/>
        <w:t>et</w:t>
      </w:r>
      <w:r>
        <w:rPr>
          <w:spacing w:val="-7"/>
        </w:rPr>
        <w:t> </w:t>
      </w:r>
      <w:r>
        <w:rPr/>
        <w:t>al.</w:t>
      </w:r>
      <w:r>
        <w:rPr>
          <w:spacing w:val="-6"/>
        </w:rPr>
        <w:t> </w:t>
      </w:r>
      <w:r>
        <w:rPr/>
        <w:t>[</w:t>
      </w:r>
      <w:hyperlink w:history="true" w:anchor="_bookmark1">
        <w:r>
          <w:rPr>
            <w:color w:val="0000FF"/>
          </w:rPr>
          <w:t>2</w:t>
        </w:r>
      </w:hyperlink>
      <w:r>
        <w:rPr/>
        <w:t>]</w:t>
      </w:r>
      <w:r>
        <w:rPr>
          <w:spacing w:val="-6"/>
        </w:rPr>
        <w:t> </w:t>
      </w:r>
      <w:r>
        <w:rPr/>
        <w:t>in</w:t>
      </w:r>
      <w:r>
        <w:rPr>
          <w:spacing w:val="-6"/>
        </w:rPr>
        <w:t> </w:t>
      </w:r>
      <w:r>
        <w:rPr/>
        <w:t>two</w:t>
      </w:r>
      <w:r>
        <w:rPr>
          <w:spacing w:val="-6"/>
        </w:rPr>
        <w:t> </w:t>
      </w:r>
      <w:r>
        <w:rPr/>
        <w:t>sisters.</w:t>
      </w:r>
      <w:r>
        <w:rPr>
          <w:spacing w:val="-6"/>
        </w:rPr>
        <w:t> </w:t>
      </w:r>
      <w:r>
        <w:rPr/>
        <w:t>Tang et al. [</w:t>
      </w:r>
      <w:hyperlink w:history="true" w:anchor="_bookmark2">
        <w:r>
          <w:rPr>
            <w:color w:val="0000FF"/>
          </w:rPr>
          <w:t>3</w:t>
        </w:r>
      </w:hyperlink>
      <w:r>
        <w:rPr/>
        <w:t>] reported clinical features consistent with MNGIE in</w:t>
      </w:r>
      <w:r>
        <w:rPr>
          <w:spacing w:val="-7"/>
        </w:rPr>
        <w:t> </w:t>
      </w:r>
      <w:r>
        <w:rPr/>
        <w:t>3</w:t>
      </w:r>
      <w:r>
        <w:rPr>
          <w:spacing w:val="-8"/>
        </w:rPr>
        <w:t> </w:t>
      </w:r>
      <w:r>
        <w:rPr/>
        <w:t>of</w:t>
      </w:r>
      <w:r>
        <w:rPr>
          <w:spacing w:val="-7"/>
        </w:rPr>
        <w:t> </w:t>
      </w:r>
      <w:r>
        <w:rPr/>
        <w:t>92</w:t>
      </w:r>
      <w:r>
        <w:rPr>
          <w:spacing w:val="-8"/>
        </w:rPr>
        <w:t> </w:t>
      </w:r>
      <w:r>
        <w:rPr/>
        <w:t>patients</w:t>
      </w:r>
      <w:r>
        <w:rPr>
          <w:spacing w:val="-6"/>
        </w:rPr>
        <w:t> </w:t>
      </w:r>
      <w:r>
        <w:rPr/>
        <w:t>with</w:t>
      </w:r>
      <w:r>
        <w:rPr>
          <w:spacing w:val="-7"/>
        </w:rPr>
        <w:t> </w:t>
      </w:r>
      <w:r>
        <w:rPr/>
        <w:t>two</w:t>
      </w:r>
      <w:r>
        <w:rPr>
          <w:spacing w:val="-7"/>
        </w:rPr>
        <w:t> </w:t>
      </w:r>
      <w:r>
        <w:rPr/>
        <w:t>pathogenic</w:t>
      </w:r>
      <w:r>
        <w:rPr>
          <w:spacing w:val="-7"/>
        </w:rPr>
        <w:t> </w:t>
      </w:r>
      <w:r>
        <w:rPr/>
        <w:t>mutations</w:t>
      </w:r>
      <w:r>
        <w:rPr>
          <w:spacing w:val="-8"/>
        </w:rPr>
        <w:t> </w:t>
      </w:r>
      <w:r>
        <w:rPr/>
        <w:t>in</w:t>
      </w:r>
      <w:r>
        <w:rPr>
          <w:spacing w:val="-8"/>
        </w:rPr>
        <w:t> </w:t>
      </w:r>
      <w:r>
        <w:rPr>
          <w:i/>
        </w:rPr>
        <w:t>POLG</w:t>
      </w:r>
      <w:r>
        <w:rPr/>
        <w:t>. We are reporting the first patient with heterozygous </w:t>
      </w:r>
      <w:r>
        <w:rPr>
          <w:i/>
        </w:rPr>
        <w:t>POLG </w:t>
      </w:r>
      <w:r>
        <w:rPr/>
        <w:t>mutation presenting as MNGIE. This is a novel and likely to be pathogenic mutation due to characteristic clinical presentation, muscle histology, and associated multiple deletions in mitochondrial DNA in muscle biopsy. Aspar- tate</w:t>
      </w:r>
      <w:r>
        <w:rPr>
          <w:spacing w:val="-6"/>
        </w:rPr>
        <w:t> </w:t>
      </w:r>
      <w:r>
        <w:rPr/>
        <w:t>at</w:t>
      </w:r>
      <w:r>
        <w:rPr>
          <w:spacing w:val="-6"/>
        </w:rPr>
        <w:t> </w:t>
      </w:r>
      <w:r>
        <w:rPr/>
        <w:t>890</w:t>
      </w:r>
      <w:r>
        <w:rPr>
          <w:spacing w:val="-7"/>
        </w:rPr>
        <w:t> </w:t>
      </w:r>
      <w:r>
        <w:rPr/>
        <w:t>position</w:t>
      </w:r>
      <w:r>
        <w:rPr>
          <w:spacing w:val="-6"/>
        </w:rPr>
        <w:t> </w:t>
      </w:r>
      <w:r>
        <w:rPr/>
        <w:t>is</w:t>
      </w:r>
      <w:r>
        <w:rPr>
          <w:spacing w:val="-6"/>
        </w:rPr>
        <w:t> </w:t>
      </w:r>
      <w:r>
        <w:rPr/>
        <w:t>evolutionally</w:t>
      </w:r>
      <w:r>
        <w:rPr>
          <w:spacing w:val="-5"/>
        </w:rPr>
        <w:t> </w:t>
      </w:r>
      <w:r>
        <w:rPr/>
        <w:t>conserved</w:t>
      </w:r>
      <w:r>
        <w:rPr>
          <w:spacing w:val="-6"/>
        </w:rPr>
        <w:t> </w:t>
      </w:r>
      <w:r>
        <w:rPr/>
        <w:t>from</w:t>
      </w:r>
      <w:r>
        <w:rPr>
          <w:spacing w:val="-6"/>
        </w:rPr>
        <w:t> </w:t>
      </w:r>
      <w:r>
        <w:rPr/>
        <w:t>yeast</w:t>
      </w:r>
      <w:r>
        <w:rPr>
          <w:spacing w:val="-6"/>
        </w:rPr>
        <w:t> </w:t>
      </w:r>
      <w:r>
        <w:rPr/>
        <w:t>to human and resides at the critical site for catalysis. Muta- tions at this position (D890N) in cultured human cells resulted in mitochondrial DNA depletion [</w:t>
      </w:r>
      <w:hyperlink w:history="true" w:anchor="_bookmark6">
        <w:r>
          <w:rPr>
            <w:color w:val="0000FF"/>
          </w:rPr>
          <w:t>6</w:t>
        </w:r>
      </w:hyperlink>
      <w:r>
        <w:rPr/>
        <w:t>, </w:t>
      </w:r>
      <w:hyperlink w:history="true" w:anchor="_bookmark7">
        <w:r>
          <w:rPr>
            <w:color w:val="0000FF"/>
          </w:rPr>
          <w:t>7</w:t>
        </w:r>
      </w:hyperlink>
      <w:r>
        <w:rPr/>
        <w:t>]. Moreover, expression in cultured human cells suggested that this mutation may be pathogenic in heterozygous state [</w:t>
      </w:r>
      <w:hyperlink w:history="true" w:anchor="_bookmark7">
        <w:r>
          <w:rPr>
            <w:color w:val="0000FF"/>
          </w:rPr>
          <w:t>7</w:t>
        </w:r>
      </w:hyperlink>
      <w:r>
        <w:rPr/>
        <w:t>]. In the</w:t>
      </w:r>
      <w:r>
        <w:rPr>
          <w:spacing w:val="-5"/>
        </w:rPr>
        <w:t> </w:t>
      </w:r>
      <w:r>
        <w:rPr/>
        <w:t>absence</w:t>
      </w:r>
      <w:r>
        <w:rPr>
          <w:spacing w:val="-5"/>
        </w:rPr>
        <w:t> </w:t>
      </w:r>
      <w:r>
        <w:rPr/>
        <w:t>of</w:t>
      </w:r>
      <w:r>
        <w:rPr>
          <w:spacing w:val="-5"/>
        </w:rPr>
        <w:t> </w:t>
      </w:r>
      <w:r>
        <w:rPr/>
        <w:t>affected</w:t>
      </w:r>
      <w:r>
        <w:rPr>
          <w:spacing w:val="-5"/>
        </w:rPr>
        <w:t> </w:t>
      </w:r>
      <w:r>
        <w:rPr/>
        <w:t>relatives,</w:t>
      </w:r>
      <w:r>
        <w:rPr>
          <w:spacing w:val="-6"/>
        </w:rPr>
        <w:t> </w:t>
      </w:r>
      <w:r>
        <w:rPr/>
        <w:t>this</w:t>
      </w:r>
      <w:r>
        <w:rPr>
          <w:spacing w:val="-5"/>
        </w:rPr>
        <w:t> </w:t>
      </w:r>
      <w:r>
        <w:rPr/>
        <w:t>mutation</w:t>
      </w:r>
      <w:r>
        <w:rPr>
          <w:spacing w:val="-5"/>
        </w:rPr>
        <w:t> </w:t>
      </w:r>
      <w:r>
        <w:rPr/>
        <w:t>is</w:t>
      </w:r>
      <w:r>
        <w:rPr>
          <w:spacing w:val="-6"/>
        </w:rPr>
        <w:t> </w:t>
      </w:r>
      <w:r>
        <w:rPr/>
        <w:t>likely</w:t>
      </w:r>
      <w:r>
        <w:rPr>
          <w:spacing w:val="-6"/>
        </w:rPr>
        <w:t> </w:t>
      </w:r>
      <w:r>
        <w:rPr/>
        <w:t>a</w:t>
      </w:r>
      <w:r>
        <w:rPr>
          <w:spacing w:val="-5"/>
        </w:rPr>
        <w:t> </w:t>
      </w:r>
      <w:r>
        <w:rPr/>
        <w:t>de novo</w:t>
      </w:r>
      <w:r>
        <w:rPr>
          <w:spacing w:val="20"/>
        </w:rPr>
        <w:t> </w:t>
      </w:r>
      <w:r>
        <w:rPr/>
        <w:t>dominant</w:t>
      </w:r>
      <w:r>
        <w:rPr>
          <w:spacing w:val="21"/>
        </w:rPr>
        <w:t> </w:t>
      </w:r>
      <w:r>
        <w:rPr/>
        <w:t>mutation</w:t>
      </w:r>
      <w:r>
        <w:rPr>
          <w:spacing w:val="21"/>
        </w:rPr>
        <w:t> </w:t>
      </w:r>
      <w:r>
        <w:rPr/>
        <w:t>in</w:t>
      </w:r>
      <w:r>
        <w:rPr>
          <w:spacing w:val="21"/>
        </w:rPr>
        <w:t> </w:t>
      </w:r>
      <w:r>
        <w:rPr/>
        <w:t>our</w:t>
      </w:r>
      <w:r>
        <w:rPr>
          <w:spacing w:val="20"/>
        </w:rPr>
        <w:t> </w:t>
      </w:r>
      <w:r>
        <w:rPr/>
        <w:t>patient.</w:t>
      </w:r>
      <w:r>
        <w:rPr>
          <w:spacing w:val="19"/>
        </w:rPr>
        <w:t> </w:t>
      </w:r>
      <w:r>
        <w:rPr/>
        <w:t>Like</w:t>
      </w:r>
      <w:r>
        <w:rPr>
          <w:spacing w:val="20"/>
        </w:rPr>
        <w:t> </w:t>
      </w:r>
      <w:r>
        <w:rPr/>
        <w:t>the</w:t>
      </w:r>
      <w:r>
        <w:rPr>
          <w:spacing w:val="20"/>
        </w:rPr>
        <w:t> </w:t>
      </w:r>
      <w:r>
        <w:rPr>
          <w:spacing w:val="-2"/>
        </w:rPr>
        <w:t>previous</w:t>
      </w:r>
    </w:p>
    <w:p>
      <w:pPr>
        <w:pStyle w:val="BodyText"/>
        <w:spacing w:after="0" w:line="259" w:lineRule="auto"/>
        <w:jc w:val="both"/>
        <w:sectPr>
          <w:type w:val="continuous"/>
          <w:pgSz w:w="11910" w:h="15820"/>
          <w:pgMar w:header="634" w:footer="0" w:top="820" w:bottom="280" w:left="992" w:right="992"/>
          <w:cols w:num="2" w:equalWidth="0">
            <w:col w:w="4791" w:space="311"/>
            <w:col w:w="4824"/>
          </w:cols>
        </w:sectPr>
      </w:pPr>
    </w:p>
    <w:p>
      <w:pPr>
        <w:pStyle w:val="BodyText"/>
        <w:rPr>
          <w:sz w:val="6"/>
        </w:rPr>
      </w:pPr>
    </w:p>
    <w:p>
      <w:pPr>
        <w:pStyle w:val="BodyText"/>
        <w:spacing w:line="20" w:lineRule="exact"/>
        <w:ind w:left="28" w:right="-29"/>
        <w:rPr>
          <w:sz w:val="2"/>
        </w:rPr>
      </w:pPr>
      <w:r>
        <w:rPr>
          <w:sz w:val="2"/>
        </w:rPr>
        <mc:AlternateContent>
          <mc:Choice Requires="wps">
            <w:drawing>
              <wp:inline distT="0" distB="0" distL="0" distR="0">
                <wp:extent cx="6264275" cy="12700"/>
                <wp:effectExtent l="0" t="0" r="0" b="0"/>
                <wp:docPr id="9" name="Group 9"/>
                <wp:cNvGraphicFramePr>
                  <a:graphicFrameLocks/>
                </wp:cNvGraphicFramePr>
                <a:graphic>
                  <a:graphicData uri="http://schemas.microsoft.com/office/word/2010/wordprocessingGroup">
                    <wpg:wgp>
                      <wpg:cNvPr id="9" name="Group 9"/>
                      <wpg:cNvGrpSpPr/>
                      <wpg:grpSpPr>
                        <a:xfrm>
                          <a:off x="0" y="0"/>
                          <a:ext cx="6264275" cy="12700"/>
                          <a:chExt cx="6264275" cy="12700"/>
                        </a:xfrm>
                      </wpg:grpSpPr>
                      <wps:wsp>
                        <wps:cNvPr id="10" name="Graphic 10"/>
                        <wps:cNvSpPr/>
                        <wps:spPr>
                          <a:xfrm>
                            <a:off x="0" y="0"/>
                            <a:ext cx="6264275" cy="12700"/>
                          </a:xfrm>
                          <a:custGeom>
                            <a:avLst/>
                            <a:gdLst/>
                            <a:ahLst/>
                            <a:cxnLst/>
                            <a:rect l="l" t="t" r="r" b="b"/>
                            <a:pathLst>
                              <a:path w="6264275" h="12700">
                                <a:moveTo>
                                  <a:pt x="6263995" y="0"/>
                                </a:moveTo>
                                <a:lnTo>
                                  <a:pt x="0" y="0"/>
                                </a:lnTo>
                                <a:lnTo>
                                  <a:pt x="0" y="12240"/>
                                </a:lnTo>
                                <a:lnTo>
                                  <a:pt x="6263995" y="12240"/>
                                </a:lnTo>
                                <a:lnTo>
                                  <a:pt x="6263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25pt;height:1pt;mso-position-horizontal-relative:char;mso-position-vertical-relative:line" id="docshapegroup9" coordorigin="0,0" coordsize="9865,20">
                <v:rect style="position:absolute;left:0;top:0;width:9865;height:20" id="docshape10" filled="true" fillcolor="#000000" stroked="false">
                  <v:fill type="solid"/>
                </v:rect>
              </v:group>
            </w:pict>
          </mc:Fallback>
        </mc:AlternateContent>
      </w:r>
      <w:r>
        <w:rPr>
          <w:sz w:val="2"/>
        </w:rPr>
      </w:r>
    </w:p>
    <w:p>
      <w:pPr>
        <w:pStyle w:val="BodyText"/>
        <w:rPr>
          <w:sz w:val="12"/>
        </w:rPr>
      </w:pPr>
    </w:p>
    <w:p>
      <w:pPr>
        <w:pStyle w:val="BodyText"/>
        <w:spacing w:after="0"/>
        <w:rPr>
          <w:sz w:val="12"/>
        </w:rPr>
        <w:sectPr>
          <w:headerReference w:type="default" r:id="rId7"/>
          <w:pgSz w:w="11910" w:h="15820"/>
          <w:pgMar w:header="637" w:footer="0" w:top="820" w:bottom="280" w:left="992" w:right="992"/>
        </w:sectPr>
      </w:pPr>
    </w:p>
    <w:p>
      <w:pPr>
        <w:pStyle w:val="BodyText"/>
        <w:spacing w:before="5" w:after="1"/>
        <w:rPr>
          <w:sz w:val="10"/>
        </w:rPr>
      </w:pPr>
    </w:p>
    <w:p>
      <w:pPr>
        <w:pStyle w:val="BodyText"/>
        <w:ind w:left="425"/>
      </w:pPr>
      <w:r>
        <w:rPr/>
        <w:drawing>
          <wp:inline distT="0" distB="0" distL="0" distR="0">
            <wp:extent cx="2520010" cy="252069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2520010" cy="2520696"/>
                    </a:xfrm>
                    <a:prstGeom prst="rect">
                      <a:avLst/>
                    </a:prstGeom>
                  </pic:spPr>
                </pic:pic>
              </a:graphicData>
            </a:graphic>
          </wp:inline>
        </w:drawing>
      </w:r>
      <w:r>
        <w:rPr/>
      </w:r>
    </w:p>
    <w:p>
      <w:pPr>
        <w:pStyle w:val="BodyText"/>
        <w:rPr>
          <w:sz w:val="17"/>
        </w:rPr>
      </w:pPr>
    </w:p>
    <w:p>
      <w:pPr>
        <w:spacing w:line="244" w:lineRule="auto" w:before="0"/>
        <w:ind w:left="28" w:right="1" w:firstLine="0"/>
        <w:jc w:val="both"/>
        <w:rPr>
          <w:sz w:val="17"/>
        </w:rPr>
      </w:pPr>
      <w:bookmarkStart w:name="References" w:id="2"/>
      <w:bookmarkEnd w:id="2"/>
      <w:r>
        <w:rPr/>
      </w:r>
      <w:bookmarkStart w:name="_bookmark0" w:id="3"/>
      <w:bookmarkEnd w:id="3"/>
      <w:r>
        <w:rPr/>
      </w:r>
      <w:bookmarkStart w:name="_bookmark1" w:id="4"/>
      <w:bookmarkEnd w:id="4"/>
      <w:r>
        <w:rPr/>
      </w:r>
      <w:bookmarkStart w:name="_bookmark2" w:id="5"/>
      <w:bookmarkEnd w:id="5"/>
      <w:r>
        <w:rPr/>
      </w:r>
      <w:bookmarkStart w:name="_bookmark3" w:id="6"/>
      <w:bookmarkEnd w:id="6"/>
      <w:r>
        <w:rPr/>
      </w:r>
      <w:bookmarkStart w:name="_bookmark4" w:id="7"/>
      <w:bookmarkEnd w:id="7"/>
      <w:r>
        <w:rPr/>
      </w:r>
      <w:r>
        <w:rPr>
          <w:sz w:val="17"/>
        </w:rPr>
        <w:t>Fig. 1</w:t>
      </w:r>
      <w:r>
        <w:rPr>
          <w:spacing w:val="40"/>
          <w:sz w:val="17"/>
        </w:rPr>
        <w:t> </w:t>
      </w:r>
      <w:r>
        <w:rPr>
          <w:sz w:val="17"/>
        </w:rPr>
        <w:t>Brain MRI at diagnosis of POLG-related condition </w:t>
      </w:r>
      <w:r>
        <w:rPr>
          <w:sz w:val="17"/>
        </w:rPr>
        <w:t>revealed</w:t>
      </w:r>
      <w:r>
        <w:rPr>
          <w:spacing w:val="40"/>
          <w:sz w:val="17"/>
        </w:rPr>
        <w:t> </w:t>
      </w:r>
      <w:r>
        <w:rPr>
          <w:sz w:val="17"/>
        </w:rPr>
        <w:t>no leukodystrophy</w:t>
      </w:r>
    </w:p>
    <w:p>
      <w:pPr>
        <w:pStyle w:val="BodyText"/>
        <w:rPr>
          <w:sz w:val="17"/>
        </w:rPr>
      </w:pPr>
    </w:p>
    <w:p>
      <w:pPr>
        <w:pStyle w:val="BodyText"/>
        <w:rPr>
          <w:sz w:val="17"/>
        </w:rPr>
      </w:pPr>
    </w:p>
    <w:p>
      <w:pPr>
        <w:pStyle w:val="BodyText"/>
        <w:spacing w:before="16"/>
        <w:rPr>
          <w:sz w:val="17"/>
        </w:rPr>
      </w:pPr>
    </w:p>
    <w:p>
      <w:pPr>
        <w:pStyle w:val="BodyText"/>
        <w:spacing w:line="259" w:lineRule="auto"/>
        <w:ind w:left="28"/>
        <w:jc w:val="both"/>
      </w:pPr>
      <w:bookmarkStart w:name="_bookmark5" w:id="8"/>
      <w:bookmarkEnd w:id="8"/>
      <w:r>
        <w:rPr/>
      </w:r>
      <w:r>
        <w:rPr/>
        <w:t>patients</w:t>
      </w:r>
      <w:r>
        <w:rPr>
          <w:spacing w:val="-2"/>
        </w:rPr>
        <w:t> </w:t>
      </w:r>
      <w:r>
        <w:rPr/>
        <w:t>with</w:t>
      </w:r>
      <w:r>
        <w:rPr>
          <w:spacing w:val="-2"/>
        </w:rPr>
        <w:t> </w:t>
      </w:r>
      <w:r>
        <w:rPr>
          <w:i/>
        </w:rPr>
        <w:t>POLG</w:t>
      </w:r>
      <w:r>
        <w:rPr>
          <w:i/>
          <w:spacing w:val="-2"/>
        </w:rPr>
        <w:t> </w:t>
      </w:r>
      <w:r>
        <w:rPr/>
        <w:t>mutations</w:t>
      </w:r>
      <w:r>
        <w:rPr>
          <w:spacing w:val="-2"/>
        </w:rPr>
        <w:t> </w:t>
      </w:r>
      <w:r>
        <w:rPr/>
        <w:t>and</w:t>
      </w:r>
      <w:r>
        <w:rPr>
          <w:spacing w:val="-2"/>
        </w:rPr>
        <w:t> </w:t>
      </w:r>
      <w:r>
        <w:rPr/>
        <w:t>MNGIE</w:t>
      </w:r>
      <w:r>
        <w:rPr>
          <w:spacing w:val="-2"/>
        </w:rPr>
        <w:t> </w:t>
      </w:r>
      <w:r>
        <w:rPr/>
        <w:t>phenotype,</w:t>
      </w:r>
      <w:r>
        <w:rPr>
          <w:spacing w:val="-2"/>
        </w:rPr>
        <w:t> </w:t>
      </w:r>
      <w:r>
        <w:rPr/>
        <w:t>our </w:t>
      </w:r>
      <w:bookmarkStart w:name="_bookmark6" w:id="9"/>
      <w:bookmarkEnd w:id="9"/>
      <w:r>
        <w:rPr/>
        <w:t>patient</w:t>
      </w:r>
      <w:r>
        <w:rPr>
          <w:spacing w:val="-7"/>
        </w:rPr>
        <w:t> </w:t>
      </w:r>
      <w:r>
        <w:rPr/>
        <w:t>too</w:t>
      </w:r>
      <w:r>
        <w:rPr>
          <w:spacing w:val="-8"/>
        </w:rPr>
        <w:t> </w:t>
      </w:r>
      <w:r>
        <w:rPr/>
        <w:t>had</w:t>
      </w:r>
      <w:r>
        <w:rPr>
          <w:spacing w:val="-8"/>
        </w:rPr>
        <w:t> </w:t>
      </w:r>
      <w:r>
        <w:rPr/>
        <w:t>absence</w:t>
      </w:r>
      <w:r>
        <w:rPr>
          <w:spacing w:val="-8"/>
        </w:rPr>
        <w:t> </w:t>
      </w:r>
      <w:r>
        <w:rPr/>
        <w:t>of</w:t>
      </w:r>
      <w:r>
        <w:rPr>
          <w:spacing w:val="-8"/>
        </w:rPr>
        <w:t> </w:t>
      </w:r>
      <w:r>
        <w:rPr/>
        <w:t>leukodystrophy</w:t>
      </w:r>
      <w:r>
        <w:rPr>
          <w:spacing w:val="-8"/>
        </w:rPr>
        <w:t> </w:t>
      </w:r>
      <w:r>
        <w:rPr/>
        <w:t>on</w:t>
      </w:r>
      <w:r>
        <w:rPr>
          <w:spacing w:val="-9"/>
        </w:rPr>
        <w:t> </w:t>
      </w:r>
      <w:r>
        <w:rPr/>
        <w:t>brain</w:t>
      </w:r>
      <w:r>
        <w:rPr>
          <w:spacing w:val="-9"/>
        </w:rPr>
        <w:t> </w:t>
      </w:r>
      <w:r>
        <w:rPr/>
        <w:t>MRI</w:t>
      </w:r>
      <w:r>
        <w:rPr>
          <w:spacing w:val="-8"/>
        </w:rPr>
        <w:t> </w:t>
      </w:r>
      <w:r>
        <w:rPr/>
        <w:t>[</w:t>
      </w:r>
      <w:hyperlink w:history="true" w:anchor="_bookmark1">
        <w:r>
          <w:rPr>
            <w:color w:val="0000FF"/>
          </w:rPr>
          <w:t>2</w:t>
        </w:r>
      </w:hyperlink>
      <w:r>
        <w:rPr/>
        <w:t>, </w:t>
      </w:r>
      <w:hyperlink w:history="true" w:anchor="_bookmark2">
        <w:r>
          <w:rPr>
            <w:color w:val="0000FF"/>
          </w:rPr>
          <w:t>3</w:t>
        </w:r>
      </w:hyperlink>
      <w:r>
        <w:rPr/>
        <w:t>]. Leukodystrophy is hallmark of MNGIE [</w:t>
      </w:r>
      <w:hyperlink w:history="true" w:anchor="_bookmark8">
        <w:r>
          <w:rPr>
            <w:color w:val="0000FF"/>
          </w:rPr>
          <w:t>8</w:t>
        </w:r>
      </w:hyperlink>
      <w:r>
        <w:rPr/>
        <w:t>]. Although gastrointestinal dysmotility is commonly seen in mito- chondrial disorders [</w:t>
      </w:r>
      <w:hyperlink w:history="true" w:anchor="_bookmark9">
        <w:r>
          <w:rPr>
            <w:color w:val="0000FF"/>
          </w:rPr>
          <w:t>9</w:t>
        </w:r>
      </w:hyperlink>
      <w:r>
        <w:rPr/>
        <w:t>], the combination of severe dysmo- </w:t>
      </w:r>
      <w:bookmarkStart w:name="_bookmark7" w:id="10"/>
      <w:bookmarkEnd w:id="10"/>
      <w:r>
        <w:rPr/>
        <w:t>tilit</w:t>
      </w:r>
      <w:r>
        <w:rPr/>
        <w:t>y, cachexia, peripheral neuropathy, ophthalmoplegia, and asymptomatic leukodystrophy is suggestive of MNGIE.</w:t>
      </w:r>
      <w:r>
        <w:rPr>
          <w:spacing w:val="-4"/>
        </w:rPr>
        <w:t> </w:t>
      </w:r>
      <w:r>
        <w:rPr/>
        <w:t>As</w:t>
      </w:r>
      <w:r>
        <w:rPr>
          <w:spacing w:val="-2"/>
        </w:rPr>
        <w:t> </w:t>
      </w:r>
      <w:r>
        <w:rPr/>
        <w:t>many</w:t>
      </w:r>
      <w:r>
        <w:rPr>
          <w:spacing w:val="-3"/>
        </w:rPr>
        <w:t> </w:t>
      </w:r>
      <w:r>
        <w:rPr/>
        <w:t>of</w:t>
      </w:r>
      <w:r>
        <w:rPr>
          <w:spacing w:val="-3"/>
        </w:rPr>
        <w:t> </w:t>
      </w:r>
      <w:r>
        <w:rPr/>
        <w:t>these</w:t>
      </w:r>
      <w:r>
        <w:rPr>
          <w:spacing w:val="-3"/>
        </w:rPr>
        <w:t> </w:t>
      </w:r>
      <w:r>
        <w:rPr/>
        <w:t>features</w:t>
      </w:r>
      <w:r>
        <w:rPr>
          <w:spacing w:val="-3"/>
        </w:rPr>
        <w:t> </w:t>
      </w:r>
      <w:r>
        <w:rPr/>
        <w:t>are</w:t>
      </w:r>
      <w:r>
        <w:rPr>
          <w:spacing w:val="-2"/>
        </w:rPr>
        <w:t> </w:t>
      </w:r>
      <w:r>
        <w:rPr/>
        <w:t>also</w:t>
      </w:r>
      <w:r>
        <w:rPr>
          <w:spacing w:val="-2"/>
        </w:rPr>
        <w:t> </w:t>
      </w:r>
      <w:r>
        <w:rPr/>
        <w:t>seen</w:t>
      </w:r>
      <w:r>
        <w:rPr>
          <w:spacing w:val="-2"/>
        </w:rPr>
        <w:t> </w:t>
      </w:r>
      <w:r>
        <w:rPr/>
        <w:t>in</w:t>
      </w:r>
      <w:r>
        <w:rPr>
          <w:spacing w:val="-3"/>
        </w:rPr>
        <w:t> </w:t>
      </w:r>
      <w:r>
        <w:rPr/>
        <w:t>POLG- related disorders, clinical presentation may overlap. Brain </w:t>
      </w:r>
      <w:bookmarkStart w:name="_bookmark8" w:id="11"/>
      <w:bookmarkEnd w:id="11"/>
      <w:r>
        <w:rPr/>
        <w:t>MRI</w:t>
      </w:r>
      <w:r>
        <w:rPr/>
        <w:t> revealing diffuse leukodystrophy is suggestive of </w:t>
      </w:r>
      <w:bookmarkStart w:name="_bookmark9" w:id="12"/>
      <w:bookmarkEnd w:id="12"/>
      <w:r>
        <w:rPr/>
        <w:t>MNG</w:t>
      </w:r>
      <w:r>
        <w:rPr/>
        <w:t>IE.</w:t>
      </w:r>
      <w:r>
        <w:rPr/>
        <w:t> In the absence of asymptomatic diffuse leuko- dystrophy, other possible etiologies, particularly POLG- </w:t>
      </w:r>
      <w:bookmarkStart w:name="_bookmark10" w:id="13"/>
      <w:bookmarkEnd w:id="13"/>
      <w:r>
        <w:rPr/>
        <w:t>related</w:t>
      </w:r>
      <w:r>
        <w:rPr/>
        <w:t> conditions should be considered [</w:t>
      </w:r>
      <w:hyperlink w:history="true" w:anchor="_bookmark10">
        <w:r>
          <w:rPr>
            <w:color w:val="0000FF"/>
          </w:rPr>
          <w:t>10</w:t>
        </w:r>
      </w:hyperlink>
      <w:r>
        <w:rPr/>
        <w:t>]. Thus, this case expands the spectrum of phenotypes linked to AD </w:t>
      </w:r>
      <w:bookmarkStart w:name="Acknowledgments" w:id="14"/>
      <w:bookmarkEnd w:id="14"/>
      <w:r>
        <w:rPr/>
        <w:t>POLG</w:t>
      </w:r>
      <w:r>
        <w:rPr/>
        <w:t> mutations to include MNGIE-like presentations.</w:t>
      </w:r>
    </w:p>
    <w:p>
      <w:pPr>
        <w:pStyle w:val="BodyText"/>
        <w:spacing w:before="6"/>
      </w:pPr>
    </w:p>
    <w:p>
      <w:pPr>
        <w:spacing w:line="244" w:lineRule="auto" w:before="0"/>
        <w:ind w:left="28" w:right="0" w:firstLine="0"/>
        <w:jc w:val="both"/>
        <w:rPr>
          <w:sz w:val="17"/>
        </w:rPr>
      </w:pPr>
      <w:r>
        <w:rPr>
          <w:sz w:val="17"/>
        </w:rPr>
        <w:t>Acknowledgments</w:t>
      </w:r>
      <w:r>
        <w:rPr>
          <w:spacing w:val="80"/>
          <w:sz w:val="17"/>
        </w:rPr>
        <w:t> </w:t>
      </w:r>
      <w:r>
        <w:rPr>
          <w:sz w:val="17"/>
        </w:rPr>
        <w:t>We wish to acknowledge the contributions </w:t>
      </w:r>
      <w:r>
        <w:rPr>
          <w:sz w:val="17"/>
        </w:rPr>
        <w:t>of</w:t>
      </w:r>
      <w:r>
        <w:rPr>
          <w:spacing w:val="80"/>
          <w:sz w:val="17"/>
        </w:rPr>
        <w:t> </w:t>
      </w:r>
      <w:r>
        <w:rPr>
          <w:sz w:val="17"/>
        </w:rPr>
        <w:t>Dr. John Kissel at The Ohio State University to the evaluation of this patient. Dr. Prasun does not have any funding sources to declare related to the study and to the article preparation.</w:t>
      </w:r>
    </w:p>
    <w:p>
      <w:pPr>
        <w:spacing w:line="244" w:lineRule="auto" w:before="0"/>
        <w:ind w:left="28" w:right="0" w:firstLine="168"/>
        <w:jc w:val="both"/>
        <w:rPr>
          <w:sz w:val="17"/>
        </w:rPr>
      </w:pPr>
      <w:r>
        <w:rPr>
          <w:sz w:val="17"/>
        </w:rPr>
        <w:t>Dr.</w:t>
      </w:r>
      <w:r>
        <w:rPr>
          <w:spacing w:val="-3"/>
          <w:sz w:val="17"/>
        </w:rPr>
        <w:t> </w:t>
      </w:r>
      <w:r>
        <w:rPr>
          <w:sz w:val="17"/>
        </w:rPr>
        <w:t>Koeberl</w:t>
      </w:r>
      <w:r>
        <w:rPr>
          <w:spacing w:val="-4"/>
          <w:sz w:val="17"/>
        </w:rPr>
        <w:t> </w:t>
      </w:r>
      <w:r>
        <w:rPr>
          <w:sz w:val="17"/>
        </w:rPr>
        <w:t>does</w:t>
      </w:r>
      <w:r>
        <w:rPr>
          <w:spacing w:val="-3"/>
          <w:sz w:val="17"/>
        </w:rPr>
        <w:t> </w:t>
      </w:r>
      <w:r>
        <w:rPr>
          <w:sz w:val="17"/>
        </w:rPr>
        <w:t>not</w:t>
      </w:r>
      <w:r>
        <w:rPr>
          <w:spacing w:val="-3"/>
          <w:sz w:val="17"/>
        </w:rPr>
        <w:t> </w:t>
      </w:r>
      <w:r>
        <w:rPr>
          <w:sz w:val="17"/>
        </w:rPr>
        <w:t>have</w:t>
      </w:r>
      <w:r>
        <w:rPr>
          <w:spacing w:val="-4"/>
          <w:sz w:val="17"/>
        </w:rPr>
        <w:t> </w:t>
      </w:r>
      <w:r>
        <w:rPr>
          <w:sz w:val="17"/>
        </w:rPr>
        <w:t>any</w:t>
      </w:r>
      <w:r>
        <w:rPr>
          <w:spacing w:val="-4"/>
          <w:sz w:val="17"/>
        </w:rPr>
        <w:t> </w:t>
      </w:r>
      <w:r>
        <w:rPr>
          <w:sz w:val="17"/>
        </w:rPr>
        <w:t>funding</w:t>
      </w:r>
      <w:r>
        <w:rPr>
          <w:spacing w:val="-3"/>
          <w:sz w:val="17"/>
        </w:rPr>
        <w:t> </w:t>
      </w:r>
      <w:r>
        <w:rPr>
          <w:sz w:val="17"/>
        </w:rPr>
        <w:t>sources</w:t>
      </w:r>
      <w:r>
        <w:rPr>
          <w:spacing w:val="-4"/>
          <w:sz w:val="17"/>
        </w:rPr>
        <w:t> </w:t>
      </w:r>
      <w:r>
        <w:rPr>
          <w:sz w:val="17"/>
        </w:rPr>
        <w:t>to</w:t>
      </w:r>
      <w:r>
        <w:rPr>
          <w:spacing w:val="-4"/>
          <w:sz w:val="17"/>
        </w:rPr>
        <w:t> </w:t>
      </w:r>
      <w:r>
        <w:rPr>
          <w:sz w:val="17"/>
        </w:rPr>
        <w:t>declare</w:t>
      </w:r>
      <w:r>
        <w:rPr>
          <w:spacing w:val="-3"/>
          <w:sz w:val="17"/>
        </w:rPr>
        <w:t> </w:t>
      </w:r>
      <w:r>
        <w:rPr>
          <w:sz w:val="17"/>
        </w:rPr>
        <w:t>related</w:t>
      </w:r>
      <w:r>
        <w:rPr>
          <w:spacing w:val="-4"/>
          <w:sz w:val="17"/>
        </w:rPr>
        <w:t> </w:t>
      </w:r>
      <w:r>
        <w:rPr>
          <w:sz w:val="17"/>
        </w:rPr>
        <w:t>to the study and to the article preparation.</w:t>
      </w:r>
    </w:p>
    <w:p>
      <w:pPr>
        <w:spacing w:line="244" w:lineRule="auto" w:before="75"/>
        <w:ind w:left="28" w:right="26" w:firstLine="0"/>
        <w:jc w:val="both"/>
        <w:rPr>
          <w:sz w:val="17"/>
        </w:rPr>
      </w:pPr>
      <w:r>
        <w:rPr/>
        <w:br w:type="column"/>
      </w:r>
      <w:r>
        <w:rPr>
          <w:sz w:val="17"/>
        </w:rPr>
        <w:t>Conflicts of interest</w:t>
      </w:r>
      <w:r>
        <w:rPr>
          <w:spacing w:val="80"/>
          <w:sz w:val="17"/>
        </w:rPr>
        <w:t> </w:t>
      </w:r>
      <w:r>
        <w:rPr>
          <w:sz w:val="17"/>
        </w:rPr>
        <w:t>Dr. Pankaj Prasun has no potential </w:t>
      </w:r>
      <w:r>
        <w:rPr>
          <w:sz w:val="17"/>
        </w:rPr>
        <w:t>conflicting</w:t>
      </w:r>
      <w:r>
        <w:rPr>
          <w:spacing w:val="40"/>
          <w:sz w:val="17"/>
        </w:rPr>
        <w:t> </w:t>
      </w:r>
      <w:r>
        <w:rPr>
          <w:sz w:val="17"/>
        </w:rPr>
        <w:t>or competing interests that could in any way affect the conduct of the study, interpretation of results, or preparation of the manuscript.</w:t>
      </w:r>
    </w:p>
    <w:p>
      <w:pPr>
        <w:spacing w:line="244" w:lineRule="auto" w:before="0"/>
        <w:ind w:left="28" w:right="26" w:firstLine="226"/>
        <w:jc w:val="both"/>
        <w:rPr>
          <w:sz w:val="17"/>
        </w:rPr>
      </w:pPr>
      <w:r>
        <w:rPr>
          <w:sz w:val="17"/>
        </w:rPr>
        <w:t>Dr. Dwight D. Koeberl has no potential conflicting or competing interests that could in any way affect the conduct of the </w:t>
      </w:r>
      <w:r>
        <w:rPr>
          <w:sz w:val="17"/>
        </w:rPr>
        <w:t>study, interpretation of results, or preparation of the manuscript.</w:t>
      </w:r>
    </w:p>
    <w:p>
      <w:pPr>
        <w:pStyle w:val="BodyText"/>
        <w:rPr>
          <w:sz w:val="17"/>
        </w:rPr>
      </w:pPr>
    </w:p>
    <w:p>
      <w:pPr>
        <w:pStyle w:val="BodyText"/>
        <w:spacing w:before="71"/>
        <w:rPr>
          <w:sz w:val="17"/>
        </w:rPr>
      </w:pPr>
    </w:p>
    <w:p>
      <w:pPr>
        <w:pStyle w:val="BodyText"/>
        <w:ind w:left="28"/>
      </w:pPr>
      <w:r>
        <w:rPr>
          <w:spacing w:val="-2"/>
          <w:w w:val="105"/>
        </w:rPr>
        <w:t>References</w:t>
      </w:r>
    </w:p>
    <w:p>
      <w:pPr>
        <w:pStyle w:val="BodyText"/>
        <w:spacing w:before="17"/>
      </w:pPr>
    </w:p>
    <w:p>
      <w:pPr>
        <w:pStyle w:val="ListParagraph"/>
        <w:numPr>
          <w:ilvl w:val="0"/>
          <w:numId w:val="1"/>
        </w:numPr>
        <w:tabs>
          <w:tab w:pos="319" w:val="left" w:leader="none"/>
        </w:tabs>
        <w:spacing w:line="244" w:lineRule="auto" w:before="0" w:after="0"/>
        <w:ind w:left="319" w:right="26" w:hanging="207"/>
        <w:jc w:val="both"/>
        <w:rPr>
          <w:sz w:val="17"/>
        </w:rPr>
      </w:pPr>
      <w:r>
        <w:rPr>
          <w:sz w:val="17"/>
        </w:rPr>
        <w:t>Stumpf JD, Saneto RP, Copeland WC (2013) Clinical </w:t>
      </w:r>
      <w:r>
        <w:rPr>
          <w:sz w:val="17"/>
        </w:rPr>
        <w:t>and molecular features of POLG-related mitochondrial disease. Cold Spring Harb Perspect Biol 5:a011395</w:t>
      </w:r>
    </w:p>
    <w:p>
      <w:pPr>
        <w:pStyle w:val="ListParagraph"/>
        <w:numPr>
          <w:ilvl w:val="0"/>
          <w:numId w:val="1"/>
        </w:numPr>
        <w:tabs>
          <w:tab w:pos="319" w:val="left" w:leader="none"/>
        </w:tabs>
        <w:spacing w:line="244" w:lineRule="auto" w:before="0" w:after="0"/>
        <w:ind w:left="319" w:right="26" w:hanging="207"/>
        <w:jc w:val="both"/>
        <w:rPr>
          <w:sz w:val="17"/>
        </w:rPr>
      </w:pPr>
      <w:r>
        <w:rPr>
          <w:sz w:val="17"/>
        </w:rPr>
        <w:t>Van Goethem G, Schwartz M, Lo¨fgren A, Dermaut B, </w:t>
      </w:r>
      <w:r>
        <w:rPr>
          <w:sz w:val="17"/>
        </w:rPr>
        <w:t>Van Broeckhoven C, Vissing J (2003) Novel POLG mutations in progressive external ophthalmoplegia mimicking mitochondrial neurogastrointestinal encephalomyopathy. Eur J Hum Genet </w:t>
      </w:r>
      <w:r>
        <w:rPr>
          <w:spacing w:val="-2"/>
          <w:sz w:val="17"/>
        </w:rPr>
        <w:t>11:547–549</w:t>
      </w:r>
    </w:p>
    <w:p>
      <w:pPr>
        <w:pStyle w:val="ListParagraph"/>
        <w:numPr>
          <w:ilvl w:val="0"/>
          <w:numId w:val="1"/>
        </w:numPr>
        <w:tabs>
          <w:tab w:pos="319" w:val="left" w:leader="none"/>
        </w:tabs>
        <w:spacing w:line="244" w:lineRule="auto" w:before="0" w:after="0"/>
        <w:ind w:left="319" w:right="25" w:hanging="207"/>
        <w:jc w:val="both"/>
        <w:rPr>
          <w:sz w:val="17"/>
        </w:rPr>
      </w:pPr>
      <w:r>
        <w:rPr>
          <w:sz w:val="17"/>
        </w:rPr>
        <w:t>Tang S, Dimberg EL, Milone M, Wong LJ (2012) </w:t>
      </w:r>
      <w:r>
        <w:rPr>
          <w:sz w:val="17"/>
        </w:rPr>
        <w:t>Mitochondrial neurogastrointestinal encephalomyopathy (MNGIE)-like pheno- type:</w:t>
      </w:r>
      <w:r>
        <w:rPr>
          <w:spacing w:val="69"/>
          <w:sz w:val="17"/>
        </w:rPr>
        <w:t> </w:t>
      </w:r>
      <w:r>
        <w:rPr>
          <w:sz w:val="17"/>
        </w:rPr>
        <w:t>an</w:t>
      </w:r>
      <w:r>
        <w:rPr>
          <w:spacing w:val="68"/>
          <w:sz w:val="17"/>
        </w:rPr>
        <w:t> </w:t>
      </w:r>
      <w:r>
        <w:rPr>
          <w:sz w:val="17"/>
        </w:rPr>
        <w:t>expanded</w:t>
      </w:r>
      <w:r>
        <w:rPr>
          <w:spacing w:val="69"/>
          <w:sz w:val="17"/>
        </w:rPr>
        <w:t> </w:t>
      </w:r>
      <w:r>
        <w:rPr>
          <w:sz w:val="17"/>
        </w:rPr>
        <w:t>clinical</w:t>
      </w:r>
      <w:r>
        <w:rPr>
          <w:spacing w:val="69"/>
          <w:sz w:val="17"/>
        </w:rPr>
        <w:t> </w:t>
      </w:r>
      <w:r>
        <w:rPr>
          <w:sz w:val="17"/>
        </w:rPr>
        <w:t>spectrum</w:t>
      </w:r>
      <w:r>
        <w:rPr>
          <w:spacing w:val="68"/>
          <w:sz w:val="17"/>
        </w:rPr>
        <w:t> </w:t>
      </w:r>
      <w:r>
        <w:rPr>
          <w:sz w:val="17"/>
        </w:rPr>
        <w:t>of</w:t>
      </w:r>
      <w:r>
        <w:rPr>
          <w:spacing w:val="68"/>
          <w:sz w:val="17"/>
        </w:rPr>
        <w:t> </w:t>
      </w:r>
      <w:r>
        <w:rPr>
          <w:sz w:val="17"/>
        </w:rPr>
        <w:t>POLG1</w:t>
      </w:r>
      <w:r>
        <w:rPr>
          <w:spacing w:val="68"/>
          <w:sz w:val="17"/>
        </w:rPr>
        <w:t> </w:t>
      </w:r>
      <w:r>
        <w:rPr>
          <w:sz w:val="17"/>
        </w:rPr>
        <w:t>mutations. J Neurol 259:862–868</w:t>
      </w:r>
    </w:p>
    <w:p>
      <w:pPr>
        <w:pStyle w:val="ListParagraph"/>
        <w:numPr>
          <w:ilvl w:val="0"/>
          <w:numId w:val="1"/>
        </w:numPr>
        <w:tabs>
          <w:tab w:pos="319" w:val="left" w:leader="none"/>
        </w:tabs>
        <w:spacing w:line="244" w:lineRule="auto" w:before="0" w:after="0"/>
        <w:ind w:left="319" w:right="26" w:hanging="207"/>
        <w:jc w:val="both"/>
        <w:rPr>
          <w:sz w:val="17"/>
        </w:rPr>
      </w:pPr>
      <w:r>
        <w:rPr>
          <w:sz w:val="17"/>
        </w:rPr>
        <w:t>Hirano M, Nishigaki Y, Mart</w:t>
      </w:r>
      <w:r>
        <w:rPr>
          <w:position w:val="1"/>
          <w:sz w:val="17"/>
        </w:rPr>
        <w:t>´</w:t>
      </w:r>
      <w:r>
        <w:rPr>
          <w:sz w:val="17"/>
        </w:rPr>
        <w:t>ı R (2004) Mitochondrial neuro- gastrointestinal encephalomyopathy (MNGIE): a disease of </w:t>
      </w:r>
      <w:r>
        <w:rPr>
          <w:sz w:val="17"/>
        </w:rPr>
        <w:t>two genomes. Neurologist 10:8–17</w:t>
      </w:r>
    </w:p>
    <w:p>
      <w:pPr>
        <w:pStyle w:val="ListParagraph"/>
        <w:numPr>
          <w:ilvl w:val="0"/>
          <w:numId w:val="1"/>
        </w:numPr>
        <w:tabs>
          <w:tab w:pos="319" w:val="left" w:leader="none"/>
        </w:tabs>
        <w:spacing w:line="244" w:lineRule="auto" w:before="0" w:after="0"/>
        <w:ind w:left="319" w:right="27" w:hanging="207"/>
        <w:jc w:val="both"/>
        <w:rPr>
          <w:sz w:val="17"/>
        </w:rPr>
      </w:pPr>
      <w:r>
        <w:rPr>
          <w:sz w:val="17"/>
        </w:rPr>
        <w:t>Shaibani A, Shchelochkov OA, Zhang S, Katsonis P, </w:t>
      </w:r>
      <w:r>
        <w:rPr>
          <w:sz w:val="17"/>
        </w:rPr>
        <w:t>Lichtarge</w:t>
      </w:r>
      <w:r>
        <w:rPr>
          <w:spacing w:val="40"/>
          <w:sz w:val="17"/>
        </w:rPr>
        <w:t> </w:t>
      </w:r>
      <w:r>
        <w:rPr>
          <w:sz w:val="17"/>
        </w:rPr>
        <w:t>O, Wong LJ, Shinawi M (2009) Mitochondrial neurogastroin- testinal encephalopathy due to mutations in RRM2B. Arch</w:t>
      </w:r>
      <w:r>
        <w:rPr>
          <w:spacing w:val="40"/>
          <w:sz w:val="17"/>
        </w:rPr>
        <w:t> </w:t>
      </w:r>
      <w:r>
        <w:rPr>
          <w:sz w:val="17"/>
        </w:rPr>
        <w:t>Neurol 66:1028–1032</w:t>
      </w:r>
    </w:p>
    <w:p>
      <w:pPr>
        <w:pStyle w:val="ListParagraph"/>
        <w:numPr>
          <w:ilvl w:val="0"/>
          <w:numId w:val="1"/>
        </w:numPr>
        <w:tabs>
          <w:tab w:pos="319" w:val="left" w:leader="none"/>
        </w:tabs>
        <w:spacing w:line="244" w:lineRule="auto" w:before="0" w:after="0"/>
        <w:ind w:left="319" w:right="26" w:hanging="207"/>
        <w:jc w:val="both"/>
        <w:rPr>
          <w:sz w:val="17"/>
        </w:rPr>
      </w:pPr>
      <w:r>
        <w:rPr>
          <w:sz w:val="17"/>
        </w:rPr>
        <w:t>Spelbrink JN, Toivonen JM, Hakkaart GA, Kurkela JM, </w:t>
      </w:r>
      <w:r>
        <w:rPr>
          <w:sz w:val="17"/>
        </w:rPr>
        <w:t>Cooper HM, Lehtinen SK, Lecrenier N, Back JW, Speijer D, Foury F, Jacobs HT (2000) In vivo functional analysis of the human mitochondrial DNA polymerase POLG expressed in cultured human cells. J Biol Chem 275:24818–24828</w:t>
      </w:r>
    </w:p>
    <w:p>
      <w:pPr>
        <w:pStyle w:val="ListParagraph"/>
        <w:numPr>
          <w:ilvl w:val="0"/>
          <w:numId w:val="1"/>
        </w:numPr>
        <w:tabs>
          <w:tab w:pos="319" w:val="left" w:leader="none"/>
        </w:tabs>
        <w:spacing w:line="244" w:lineRule="auto" w:before="0" w:after="0"/>
        <w:ind w:left="319" w:right="26" w:hanging="207"/>
        <w:jc w:val="both"/>
        <w:rPr>
          <w:sz w:val="17"/>
        </w:rPr>
      </w:pPr>
      <w:r>
        <w:rPr>
          <w:sz w:val="17"/>
        </w:rPr>
        <w:t>Wanrooij S, Goffart S, Pohjoisma¨ki JL, Yasukawa T, Spelbrink JN</w:t>
      </w:r>
      <w:r>
        <w:rPr>
          <w:spacing w:val="-5"/>
          <w:sz w:val="17"/>
        </w:rPr>
        <w:t> </w:t>
      </w:r>
      <w:r>
        <w:rPr>
          <w:sz w:val="17"/>
        </w:rPr>
        <w:t>(2007)</w:t>
      </w:r>
      <w:r>
        <w:rPr>
          <w:spacing w:val="-4"/>
          <w:sz w:val="17"/>
        </w:rPr>
        <w:t> </w:t>
      </w:r>
      <w:r>
        <w:rPr>
          <w:sz w:val="17"/>
        </w:rPr>
        <w:t>Expression</w:t>
      </w:r>
      <w:r>
        <w:rPr>
          <w:spacing w:val="-5"/>
          <w:sz w:val="17"/>
        </w:rPr>
        <w:t> </w:t>
      </w:r>
      <w:r>
        <w:rPr>
          <w:sz w:val="17"/>
        </w:rPr>
        <w:t>of</w:t>
      </w:r>
      <w:r>
        <w:rPr>
          <w:spacing w:val="-6"/>
          <w:sz w:val="17"/>
        </w:rPr>
        <w:t> </w:t>
      </w:r>
      <w:r>
        <w:rPr>
          <w:sz w:val="17"/>
        </w:rPr>
        <w:t>catalytic</w:t>
      </w:r>
      <w:r>
        <w:rPr>
          <w:spacing w:val="-4"/>
          <w:sz w:val="17"/>
        </w:rPr>
        <w:t> </w:t>
      </w:r>
      <w:r>
        <w:rPr>
          <w:sz w:val="17"/>
        </w:rPr>
        <w:t>mutants</w:t>
      </w:r>
      <w:r>
        <w:rPr>
          <w:spacing w:val="-5"/>
          <w:sz w:val="17"/>
        </w:rPr>
        <w:t> </w:t>
      </w:r>
      <w:r>
        <w:rPr>
          <w:sz w:val="17"/>
        </w:rPr>
        <w:t>of</w:t>
      </w:r>
      <w:r>
        <w:rPr>
          <w:spacing w:val="-4"/>
          <w:sz w:val="17"/>
        </w:rPr>
        <w:t> </w:t>
      </w:r>
      <w:r>
        <w:rPr>
          <w:sz w:val="17"/>
        </w:rPr>
        <w:t>the</w:t>
      </w:r>
      <w:r>
        <w:rPr>
          <w:spacing w:val="-6"/>
          <w:sz w:val="17"/>
        </w:rPr>
        <w:t> </w:t>
      </w:r>
      <w:r>
        <w:rPr>
          <w:sz w:val="17"/>
        </w:rPr>
        <w:t>mtDNA</w:t>
      </w:r>
      <w:r>
        <w:rPr>
          <w:spacing w:val="-4"/>
          <w:sz w:val="17"/>
        </w:rPr>
        <w:t> </w:t>
      </w:r>
      <w:r>
        <w:rPr>
          <w:sz w:val="17"/>
        </w:rPr>
        <w:t>helicase Twinkle and polymerase POLG causes distinct replication stall- ing phenotypes. Nucleic Acids Res 35:3238–3251</w:t>
      </w:r>
    </w:p>
    <w:p>
      <w:pPr>
        <w:pStyle w:val="ListParagraph"/>
        <w:numPr>
          <w:ilvl w:val="0"/>
          <w:numId w:val="1"/>
        </w:numPr>
        <w:tabs>
          <w:tab w:pos="319" w:val="left" w:leader="none"/>
        </w:tabs>
        <w:spacing w:line="244" w:lineRule="auto" w:before="0" w:after="0"/>
        <w:ind w:left="319" w:right="27" w:hanging="207"/>
        <w:jc w:val="both"/>
        <w:rPr>
          <w:sz w:val="17"/>
        </w:rPr>
      </w:pPr>
      <w:r>
        <w:rPr>
          <w:sz w:val="17"/>
        </w:rPr>
        <w:t>Wong LJ (2012) Mitochondrial syndromes with </w:t>
      </w:r>
      <w:r>
        <w:rPr>
          <w:sz w:val="17"/>
        </w:rPr>
        <w:t>leukoencephal- opathies. Semin Neurol 32:55–61</w:t>
      </w:r>
    </w:p>
    <w:p>
      <w:pPr>
        <w:pStyle w:val="ListParagraph"/>
        <w:numPr>
          <w:ilvl w:val="0"/>
          <w:numId w:val="1"/>
        </w:numPr>
        <w:tabs>
          <w:tab w:pos="319" w:val="left" w:leader="none"/>
        </w:tabs>
        <w:spacing w:line="244" w:lineRule="auto" w:before="0" w:after="0"/>
        <w:ind w:left="319" w:right="27" w:hanging="207"/>
        <w:jc w:val="both"/>
        <w:rPr>
          <w:sz w:val="17"/>
        </w:rPr>
      </w:pPr>
      <w:r>
        <w:rPr>
          <w:sz w:val="17"/>
        </w:rPr>
        <w:t>Di</w:t>
      </w:r>
      <w:r>
        <w:rPr>
          <w:spacing w:val="-3"/>
          <w:sz w:val="17"/>
        </w:rPr>
        <w:t> </w:t>
      </w:r>
      <w:r>
        <w:rPr>
          <w:sz w:val="17"/>
        </w:rPr>
        <w:t>Donato</w:t>
      </w:r>
      <w:r>
        <w:rPr>
          <w:spacing w:val="-3"/>
          <w:sz w:val="17"/>
        </w:rPr>
        <w:t> </w:t>
      </w:r>
      <w:r>
        <w:rPr>
          <w:sz w:val="17"/>
        </w:rPr>
        <w:t>S</w:t>
      </w:r>
      <w:r>
        <w:rPr>
          <w:spacing w:val="-3"/>
          <w:sz w:val="17"/>
        </w:rPr>
        <w:t> </w:t>
      </w:r>
      <w:r>
        <w:rPr>
          <w:sz w:val="17"/>
        </w:rPr>
        <w:t>(2009)</w:t>
      </w:r>
      <w:r>
        <w:rPr>
          <w:spacing w:val="-4"/>
          <w:sz w:val="17"/>
        </w:rPr>
        <w:t> </w:t>
      </w:r>
      <w:r>
        <w:rPr>
          <w:sz w:val="17"/>
        </w:rPr>
        <w:t>Multisystem</w:t>
      </w:r>
      <w:r>
        <w:rPr>
          <w:spacing w:val="-2"/>
          <w:sz w:val="17"/>
        </w:rPr>
        <w:t> </w:t>
      </w:r>
      <w:r>
        <w:rPr>
          <w:sz w:val="17"/>
        </w:rPr>
        <w:t>manifestations</w:t>
      </w:r>
      <w:r>
        <w:rPr>
          <w:spacing w:val="-2"/>
          <w:sz w:val="17"/>
        </w:rPr>
        <w:t> </w:t>
      </w:r>
      <w:r>
        <w:rPr>
          <w:sz w:val="17"/>
        </w:rPr>
        <w:t>of</w:t>
      </w:r>
      <w:r>
        <w:rPr>
          <w:spacing w:val="-3"/>
          <w:sz w:val="17"/>
        </w:rPr>
        <w:t> </w:t>
      </w:r>
      <w:r>
        <w:rPr>
          <w:sz w:val="17"/>
        </w:rPr>
        <w:t>mitochondrial disorders. J Neurol 256:693–710</w:t>
      </w:r>
    </w:p>
    <w:p>
      <w:pPr>
        <w:pStyle w:val="ListParagraph"/>
        <w:numPr>
          <w:ilvl w:val="0"/>
          <w:numId w:val="1"/>
        </w:numPr>
        <w:tabs>
          <w:tab w:pos="318" w:val="left" w:leader="none"/>
        </w:tabs>
        <w:spacing w:line="195" w:lineRule="exact" w:before="0" w:after="0"/>
        <w:ind w:left="318" w:right="0" w:hanging="290"/>
        <w:jc w:val="both"/>
        <w:rPr>
          <w:sz w:val="17"/>
        </w:rPr>
      </w:pPr>
      <w:r>
        <w:rPr>
          <w:sz w:val="17"/>
        </w:rPr>
        <w:t>Echaniz-Laguna</w:t>
      </w:r>
      <w:r>
        <w:rPr>
          <w:spacing w:val="25"/>
          <w:sz w:val="17"/>
        </w:rPr>
        <w:t> </w:t>
      </w:r>
      <w:r>
        <w:rPr>
          <w:sz w:val="17"/>
        </w:rPr>
        <w:t>A,</w:t>
      </w:r>
      <w:r>
        <w:rPr>
          <w:spacing w:val="25"/>
          <w:sz w:val="17"/>
        </w:rPr>
        <w:t> </w:t>
      </w:r>
      <w:r>
        <w:rPr>
          <w:sz w:val="17"/>
        </w:rPr>
        <w:t>Chassagne</w:t>
      </w:r>
      <w:r>
        <w:rPr>
          <w:spacing w:val="25"/>
          <w:sz w:val="17"/>
        </w:rPr>
        <w:t> </w:t>
      </w:r>
      <w:r>
        <w:rPr>
          <w:sz w:val="17"/>
        </w:rPr>
        <w:t>M,</w:t>
      </w:r>
      <w:r>
        <w:rPr>
          <w:spacing w:val="24"/>
          <w:sz w:val="17"/>
        </w:rPr>
        <w:t> </w:t>
      </w:r>
      <w:r>
        <w:rPr>
          <w:sz w:val="17"/>
        </w:rPr>
        <w:t>de</w:t>
      </w:r>
      <w:r>
        <w:rPr>
          <w:spacing w:val="25"/>
          <w:sz w:val="17"/>
        </w:rPr>
        <w:t> </w:t>
      </w:r>
      <w:r>
        <w:rPr>
          <w:sz w:val="17"/>
        </w:rPr>
        <w:t>Se</w:t>
      </w:r>
      <w:r>
        <w:rPr>
          <w:position w:val="1"/>
          <w:sz w:val="17"/>
        </w:rPr>
        <w:t>`</w:t>
      </w:r>
      <w:r>
        <w:rPr>
          <w:sz w:val="17"/>
        </w:rPr>
        <w:t>ze</w:t>
      </w:r>
      <w:r>
        <w:rPr>
          <w:spacing w:val="25"/>
          <w:sz w:val="17"/>
        </w:rPr>
        <w:t> </w:t>
      </w:r>
      <w:r>
        <w:rPr>
          <w:sz w:val="17"/>
        </w:rPr>
        <w:t>J,</w:t>
      </w:r>
      <w:r>
        <w:rPr>
          <w:spacing w:val="24"/>
          <w:sz w:val="17"/>
        </w:rPr>
        <w:t> </w:t>
      </w:r>
      <w:r>
        <w:rPr>
          <w:sz w:val="17"/>
        </w:rPr>
        <w:t>Mohr</w:t>
      </w:r>
      <w:r>
        <w:rPr>
          <w:spacing w:val="25"/>
          <w:sz w:val="17"/>
        </w:rPr>
        <w:t> </w:t>
      </w:r>
      <w:r>
        <w:rPr>
          <w:sz w:val="17"/>
        </w:rPr>
        <w:t>M,</w:t>
      </w:r>
      <w:r>
        <w:rPr>
          <w:spacing w:val="25"/>
          <w:sz w:val="17"/>
        </w:rPr>
        <w:t> </w:t>
      </w:r>
      <w:r>
        <w:rPr>
          <w:spacing w:val="-2"/>
          <w:sz w:val="17"/>
        </w:rPr>
        <w:t>Clerc-</w:t>
      </w:r>
    </w:p>
    <w:p>
      <w:pPr>
        <w:spacing w:line="244" w:lineRule="auto" w:before="0"/>
        <w:ind w:left="319" w:right="27" w:firstLine="0"/>
        <w:jc w:val="both"/>
        <w:rPr>
          <w:sz w:val="17"/>
        </w:rPr>
      </w:pPr>
      <w:r>
        <w:rPr>
          <w:sz w:val="17"/>
        </w:rPr>
        <w:t>Renaud P, Tranchant C, Mousson de Camaret B (2010) </w:t>
      </w:r>
      <w:r>
        <w:rPr>
          <w:sz w:val="17"/>
        </w:rPr>
        <w:t>POLG1 variations presenting as multiple sclerosis. Arch Neurol </w:t>
      </w:r>
      <w:r>
        <w:rPr>
          <w:spacing w:val="-2"/>
          <w:sz w:val="17"/>
        </w:rPr>
        <w:t>67:1140–1143</w:t>
      </w:r>
    </w:p>
    <w:p>
      <w:pPr>
        <w:spacing w:after="0" w:line="244" w:lineRule="auto"/>
        <w:jc w:val="both"/>
        <w:rPr>
          <w:sz w:val="17"/>
        </w:rPr>
        <w:sectPr>
          <w:type w:val="continuous"/>
          <w:pgSz w:w="11910" w:h="15820"/>
          <w:pgMar w:header="637" w:footer="0" w:top="820" w:bottom="280" w:left="992" w:right="992"/>
          <w:cols w:num="2" w:equalWidth="0">
            <w:col w:w="4791" w:space="311"/>
            <w:col w:w="4824"/>
          </w:cols>
        </w:sect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1"/>
        <w:rPr>
          <w:sz w:val="30"/>
        </w:rPr>
      </w:pPr>
    </w:p>
    <w:p>
      <w:pPr>
        <w:spacing w:before="0"/>
        <w:ind w:left="0" w:right="22" w:firstLine="0"/>
        <w:jc w:val="right"/>
        <w:rPr>
          <w:rFonts w:ascii="Arial"/>
          <w:sz w:val="30"/>
        </w:rPr>
      </w:pPr>
      <w:r>
        <w:rPr>
          <w:rFonts w:ascii="Arial"/>
          <w:w w:val="85"/>
          <w:sz w:val="30"/>
        </w:rPr>
        <w:t>1</w:t>
      </w:r>
      <w:r>
        <w:rPr>
          <w:rFonts w:ascii="Arial"/>
          <w:spacing w:val="-7"/>
          <w:w w:val="85"/>
          <w:sz w:val="30"/>
        </w:rPr>
        <w:t> </w:t>
      </w:r>
      <w:r>
        <w:rPr>
          <w:rFonts w:ascii="Arial"/>
          <w:spacing w:val="-10"/>
          <w:w w:val="335"/>
          <w:sz w:val="30"/>
        </w:rPr>
        <w:t>3</w:t>
      </w:r>
    </w:p>
    <w:sectPr>
      <w:type w:val="continuous"/>
      <w:pgSz w:w="11910" w:h="15820"/>
      <w:pgMar w:header="637" w:footer="0" w:top="82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05408">
              <wp:simplePos x="0" y="0"/>
              <wp:positionH relativeFrom="page">
                <wp:posOffset>635299</wp:posOffset>
              </wp:positionH>
              <wp:positionV relativeFrom="page">
                <wp:posOffset>409068</wp:posOffset>
              </wp:positionV>
              <wp:extent cx="1436370" cy="1333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36370" cy="133350"/>
                      </a:xfrm>
                      <a:prstGeom prst="rect">
                        <a:avLst/>
                      </a:prstGeom>
                    </wps:spPr>
                    <wps:txbx>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(2014)</w:t>
                          </w:r>
                          <w:r>
                            <w:rPr>
                              <w:spacing w:val="10"/>
                              <w:sz w:val="17"/>
                            </w:rPr>
                            <w:t> </w:t>
                          </w:r>
                          <w:r>
                            <w:rPr>
                              <w:spacing w:val="-2"/>
                              <w:sz w:val="17"/>
                            </w:rPr>
                            <w:t>261:1818–1819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023602pt;margin-top:32.210136pt;width:113.1pt;height:10.5pt;mso-position-horizontal-relative:page;mso-position-vertical-relative:page;z-index:-15811072" type="#_x0000_t202" id="docshape1" filled="false" stroked="false">
              <v:textbox inset="0,0,0,0">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(2014)</w:t>
                    </w:r>
                    <w:r>
                      <w:rPr>
                        <w:spacing w:val="10"/>
                        <w:sz w:val="17"/>
                      </w:rPr>
                      <w:t> </w:t>
                    </w:r>
                    <w:r>
                      <w:rPr>
                        <w:spacing w:val="-2"/>
                        <w:sz w:val="17"/>
                      </w:rPr>
                      <w:t>261:1818–1819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05920">
              <wp:simplePos x="0" y="0"/>
              <wp:positionH relativeFrom="page">
                <wp:posOffset>635299</wp:posOffset>
              </wp:positionH>
              <wp:positionV relativeFrom="page">
                <wp:posOffset>411227</wp:posOffset>
              </wp:positionV>
              <wp:extent cx="1436370" cy="13335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436370" cy="133350"/>
                      </a:xfrm>
                      <a:prstGeom prst="rect">
                        <a:avLst/>
                      </a:prstGeom>
                    </wps:spPr>
                    <wps:txbx>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(2014)</w:t>
                          </w:r>
                          <w:r>
                            <w:rPr>
                              <w:spacing w:val="10"/>
                              <w:sz w:val="17"/>
                            </w:rPr>
                            <w:t> </w:t>
                          </w:r>
                          <w:r>
                            <w:rPr>
                              <w:spacing w:val="-2"/>
                              <w:sz w:val="17"/>
                            </w:rPr>
                            <w:t>261:1818–1819</w:t>
                          </w:r>
                        </w:p>
                      </w:txbxContent>
                    </wps:txbx>
                    <wps:bodyPr wrap="square" lIns="0" tIns="0" rIns="0" bIns="0" rtlCol="0">
                      <a:noAutofit/>
                    </wps:bodyPr>
                  </wps:wsp>
                </a:graphicData>
              </a:graphic>
            </wp:anchor>
          </w:drawing>
        </mc:Choice>
        <mc:Fallback>
          <w:pict>
            <v:shape style="position:absolute;margin-left:50.023602pt;margin-top:32.380119pt;width:113.1pt;height:10.5pt;mso-position-horizontal-relative:page;mso-position-vertical-relative:page;z-index:-15810560" type="#_x0000_t202" id="docshape7" filled="false" stroked="false">
              <v:textbox inset="0,0,0,0">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(2014)</w:t>
                    </w:r>
                    <w:r>
                      <w:rPr>
                        <w:spacing w:val="10"/>
                        <w:sz w:val="17"/>
                      </w:rPr>
                      <w:t> </w:t>
                    </w:r>
                    <w:r>
                      <w:rPr>
                        <w:spacing w:val="-2"/>
                        <w:sz w:val="17"/>
                      </w:rPr>
                      <w:t>261:1818–1819</w:t>
                    </w:r>
                  </w:p>
                </w:txbxContent>
              </v:textbox>
              <w10:wrap type="none"/>
            </v:shape>
          </w:pict>
        </mc:Fallback>
      </mc:AlternateContent>
    </w:r>
    <w:r>
      <w:rPr/>
      <mc:AlternateContent>
        <mc:Choice Requires="wps">
          <w:drawing>
            <wp:anchor distT="0" distB="0" distL="0" distR="0" allowOverlap="1" layoutInCell="1" locked="0" behindDoc="1" simplePos="0" relativeHeight="487506432">
              <wp:simplePos x="0" y="0"/>
              <wp:positionH relativeFrom="page">
                <wp:posOffset>6684006</wp:posOffset>
              </wp:positionH>
              <wp:positionV relativeFrom="page">
                <wp:posOffset>411227</wp:posOffset>
              </wp:positionV>
              <wp:extent cx="240665" cy="13335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0665" cy="133350"/>
                      </a:xfrm>
                      <a:prstGeom prst="rect">
                        <a:avLst/>
                      </a:prstGeom>
                    </wps:spPr>
                    <wps:txbx>
                      <w:txbxContent>
                        <w:p>
                          <w:pPr>
                            <w:spacing w:line="189" w:lineRule="exact" w:before="0"/>
                            <w:ind w:left="20" w:right="0" w:firstLine="0"/>
                            <w:jc w:val="left"/>
                            <w:rPr>
                              <w:sz w:val="17"/>
                            </w:rPr>
                          </w:pPr>
                          <w:r>
                            <w:rPr>
                              <w:spacing w:val="-4"/>
                              <w:sz w:val="17"/>
                            </w:rPr>
                            <w:t>1819</w:t>
                          </w:r>
                        </w:p>
                      </w:txbxContent>
                    </wps:txbx>
                    <wps:bodyPr wrap="square" lIns="0" tIns="0" rIns="0" bIns="0" rtlCol="0">
                      <a:noAutofit/>
                    </wps:bodyPr>
                  </wps:wsp>
                </a:graphicData>
              </a:graphic>
            </wp:anchor>
          </w:drawing>
        </mc:Choice>
        <mc:Fallback>
          <w:pict>
            <v:shape style="position:absolute;margin-left:526.299744pt;margin-top:32.380119pt;width:18.95pt;height:10.5pt;mso-position-horizontal-relative:page;mso-position-vertical-relative:page;z-index:-15810048" type="#_x0000_t202" id="docshape8" filled="false" stroked="false">
              <v:textbox inset="0,0,0,0">
                <w:txbxContent>
                  <w:p>
                    <w:pPr>
                      <w:spacing w:line="189" w:lineRule="exact" w:before="0"/>
                      <w:ind w:left="20" w:right="0" w:firstLine="0"/>
                      <w:jc w:val="left"/>
                      <w:rPr>
                        <w:sz w:val="17"/>
                      </w:rPr>
                    </w:pPr>
                    <w:r>
                      <w:rPr>
                        <w:spacing w:val="-4"/>
                        <w:sz w:val="17"/>
                      </w:rPr>
                      <w:t>1819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19" w:hanging="207"/>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769" w:hanging="207"/>
      </w:pPr>
      <w:rPr>
        <w:rFonts w:hint="default"/>
        <w:lang w:val="en-US" w:eastAsia="en-US" w:bidi="ar-SA"/>
      </w:rPr>
    </w:lvl>
    <w:lvl w:ilvl="2">
      <w:start w:val="0"/>
      <w:numFmt w:val="bullet"/>
      <w:lvlText w:val="•"/>
      <w:lvlJc w:val="left"/>
      <w:pPr>
        <w:ind w:left="1219" w:hanging="207"/>
      </w:pPr>
      <w:rPr>
        <w:rFonts w:hint="default"/>
        <w:lang w:val="en-US" w:eastAsia="en-US" w:bidi="ar-SA"/>
      </w:rPr>
    </w:lvl>
    <w:lvl w:ilvl="3">
      <w:start w:val="0"/>
      <w:numFmt w:val="bullet"/>
      <w:lvlText w:val="•"/>
      <w:lvlJc w:val="left"/>
      <w:pPr>
        <w:ind w:left="1669" w:hanging="207"/>
      </w:pPr>
      <w:rPr>
        <w:rFonts w:hint="default"/>
        <w:lang w:val="en-US" w:eastAsia="en-US" w:bidi="ar-SA"/>
      </w:rPr>
    </w:lvl>
    <w:lvl w:ilvl="4">
      <w:start w:val="0"/>
      <w:numFmt w:val="bullet"/>
      <w:lvlText w:val="•"/>
      <w:lvlJc w:val="left"/>
      <w:pPr>
        <w:ind w:left="2119" w:hanging="207"/>
      </w:pPr>
      <w:rPr>
        <w:rFonts w:hint="default"/>
        <w:lang w:val="en-US" w:eastAsia="en-US" w:bidi="ar-SA"/>
      </w:rPr>
    </w:lvl>
    <w:lvl w:ilvl="5">
      <w:start w:val="0"/>
      <w:numFmt w:val="bullet"/>
      <w:lvlText w:val="•"/>
      <w:lvlJc w:val="left"/>
      <w:pPr>
        <w:ind w:left="2569" w:hanging="207"/>
      </w:pPr>
      <w:rPr>
        <w:rFonts w:hint="default"/>
        <w:lang w:val="en-US" w:eastAsia="en-US" w:bidi="ar-SA"/>
      </w:rPr>
    </w:lvl>
    <w:lvl w:ilvl="6">
      <w:start w:val="0"/>
      <w:numFmt w:val="bullet"/>
      <w:lvlText w:val="•"/>
      <w:lvlJc w:val="left"/>
      <w:pPr>
        <w:ind w:left="3019" w:hanging="207"/>
      </w:pPr>
      <w:rPr>
        <w:rFonts w:hint="default"/>
        <w:lang w:val="en-US" w:eastAsia="en-US" w:bidi="ar-SA"/>
      </w:rPr>
    </w:lvl>
    <w:lvl w:ilvl="7">
      <w:start w:val="0"/>
      <w:numFmt w:val="bullet"/>
      <w:lvlText w:val="•"/>
      <w:lvlJc w:val="left"/>
      <w:pPr>
        <w:ind w:left="3469" w:hanging="207"/>
      </w:pPr>
      <w:rPr>
        <w:rFonts w:hint="default"/>
        <w:lang w:val="en-US" w:eastAsia="en-US" w:bidi="ar-SA"/>
      </w:rPr>
    </w:lvl>
    <w:lvl w:ilvl="8">
      <w:start w:val="0"/>
      <w:numFmt w:val="bullet"/>
      <w:lvlText w:val="•"/>
      <w:lvlJc w:val="left"/>
      <w:pPr>
        <w:ind w:left="3919" w:hanging="20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ind w:left="28" w:right="2084"/>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319" w:right="26" w:hanging="20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Dwight.Koeberl@duke.edu" TargetMode="Externa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2025-07-04T18:36:34Z</dcterms:created>
  <dcterms:modified xsi:type="dcterms:W3CDTF">2025-07-04T18:36:34Z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2014-08-28T00:00:00Z</vt:filetime>
  </property>
  <property fmtid="{D5CDD505-2E9C-101B-9397-08002B2CF9AE}" pid="3" name="Creator">
    <vt:lpwstr>Arbortext Advanced Print Publisher 9.0.114/W</vt:lpwstr>
  </property>
  <property fmtid="{D5CDD505-2E9C-101B-9397-08002B2CF9AE}" pid="4" name="LastSaved">
    <vt:filetime>2025-07-04T00:00:00Z</vt:filetime>
  </property>
  <property fmtid="{D5CDD505-2E9C-101B-9397-08002B2CF9AE}" pid="5" name="Producer">
    <vt:lpwstr>Acrobat Distiller 10.1.8 (Windows)</vt:lpwstr>
  </property>
</Properties>
</file>