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35"/>
        <w:ind w:left="28" w:right="0" w:firstLine="0"/>
        <w:jc w:val="left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6338874</wp:posOffset>
                </wp:positionH>
                <wp:positionV relativeFrom="paragraph">
                  <wp:posOffset>-105962</wp:posOffset>
                </wp:positionV>
                <wp:extent cx="574040" cy="228600"/>
                <wp:effectExtent l="0" t="0" r="0" b="0"/>
                <wp:wrapNone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574040" cy="228600"/>
                          <a:chExt cx="574040" cy="228600"/>
                        </a:xfrm>
                      </wpg:grpSpPr>
                      <pic:pic>
                        <pic:nvPicPr>
                          <pic:cNvPr id="12" name="Image 12">
                            <a:hlinkClick r:id="rId10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59" cy="2282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>
                            <a:hlinkClick r:id="rId10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62" y="11036"/>
                            <a:ext cx="206870" cy="206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>
                            <a:hlinkClick r:id="rId10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85" y="32144"/>
                            <a:ext cx="94157" cy="168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82454" y="39614"/>
                            <a:ext cx="2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0" h="1270">
                                <a:moveTo>
                                  <a:pt x="0" y="1176"/>
                                </a:moveTo>
                                <a:lnTo>
                                  <a:pt x="753" y="752"/>
                                </a:lnTo>
                                <a:lnTo>
                                  <a:pt x="2404" y="0"/>
                                </a:lnTo>
                                <a:lnTo>
                                  <a:pt x="793" y="733"/>
                                </a:lnTo>
                                <a:lnTo>
                                  <a:pt x="0" y="1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00" y="39584"/>
                            <a:ext cx="79397" cy="1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Graphic 17"/>
                        <wps:cNvSpPr/>
                        <wps:spPr>
                          <a:xfrm>
                            <a:off x="80619" y="41097"/>
                            <a:ext cx="1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270">
                                <a:moveTo>
                                  <a:pt x="1511" y="0"/>
                                </a:moveTo>
                                <a:lnTo>
                                  <a:pt x="977" y="279"/>
                                </a:lnTo>
                                <a:lnTo>
                                  <a:pt x="495" y="546"/>
                                </a:lnTo>
                                <a:lnTo>
                                  <a:pt x="0" y="838"/>
                                </a:lnTo>
                                <a:lnTo>
                                  <a:pt x="495" y="558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7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549" y="41097"/>
                            <a:ext cx="84045" cy="1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82092" y="4089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419" y="0"/>
                                </a:moveTo>
                                <a:lnTo>
                                  <a:pt x="253" y="63"/>
                                </a:lnTo>
                                <a:lnTo>
                                  <a:pt x="126" y="139"/>
                                </a:lnTo>
                                <a:lnTo>
                                  <a:pt x="292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A59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87236" y="3853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67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90170" y="3718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0">
                                <a:moveTo>
                                  <a:pt x="0" y="0"/>
                                </a:moveTo>
                                <a:lnTo>
                                  <a:pt x="444" y="0"/>
                                </a:lnTo>
                              </a:path>
                            </a:pathLst>
                          </a:custGeom>
                          <a:ln w="203">
                            <a:solidFill>
                              <a:srgbClr val="5B4E4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35928" y="32016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1270">
                                <a:moveTo>
                                  <a:pt x="101" y="0"/>
                                </a:moveTo>
                                <a:lnTo>
                                  <a:pt x="2082" y="330"/>
                                </a:lnTo>
                                <a:lnTo>
                                  <a:pt x="4152" y="749"/>
                                </a:lnTo>
                                <a:lnTo>
                                  <a:pt x="6223" y="1244"/>
                                </a:lnTo>
                                <a:lnTo>
                                  <a:pt x="4203" y="749"/>
                                </a:lnTo>
                                <a:lnTo>
                                  <a:pt x="2159" y="330"/>
                                </a:lnTo>
                                <a:lnTo>
                                  <a:pt x="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B68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" name="Image 23">
                            <a:hlinkClick r:id="rId10"/>
                          </pic:cNvPr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085" y="48539"/>
                            <a:ext cx="94157" cy="1526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80175" y="4193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431" y="0"/>
                                </a:moveTo>
                                <a:lnTo>
                                  <a:pt x="292" y="76"/>
                                </a:lnTo>
                                <a:lnTo>
                                  <a:pt x="152" y="165"/>
                                </a:lnTo>
                                <a:lnTo>
                                  <a:pt x="0" y="253"/>
                                </a:lnTo>
                                <a:lnTo>
                                  <a:pt x="152" y="177"/>
                                </a:lnTo>
                                <a:lnTo>
                                  <a:pt x="292" y="101"/>
                                </a:lnTo>
                                <a:lnTo>
                                  <a:pt x="431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7C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77" y="48539"/>
                            <a:ext cx="1409" cy="4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79871" y="4215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635">
                                <a:moveTo>
                                  <a:pt x="159" y="0"/>
                                </a:moveTo>
                                <a:lnTo>
                                  <a:pt x="0" y="89"/>
                                </a:lnTo>
                                <a:lnTo>
                                  <a:pt x="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443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>
                          <a:hlinkClick r:id="rId10"/>
                        </wps:cNvPr>
                        <wps:cNvSpPr/>
                        <wps:spPr>
                          <a:xfrm>
                            <a:off x="252019" y="91896"/>
                            <a:ext cx="32194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945" h="55244">
                                <a:moveTo>
                                  <a:pt x="41656" y="42240"/>
                                </a:moveTo>
                                <a:lnTo>
                                  <a:pt x="38125" y="42240"/>
                                </a:lnTo>
                                <a:lnTo>
                                  <a:pt x="38125" y="47612"/>
                                </a:lnTo>
                                <a:lnTo>
                                  <a:pt x="33426" y="50330"/>
                                </a:lnTo>
                                <a:lnTo>
                                  <a:pt x="30416" y="51282"/>
                                </a:lnTo>
                                <a:lnTo>
                                  <a:pt x="26733" y="51282"/>
                                </a:lnTo>
                                <a:lnTo>
                                  <a:pt x="19088" y="49618"/>
                                </a:lnTo>
                                <a:lnTo>
                                  <a:pt x="12903" y="45021"/>
                                </a:lnTo>
                                <a:lnTo>
                                  <a:pt x="8775" y="38138"/>
                                </a:lnTo>
                                <a:lnTo>
                                  <a:pt x="7264" y="29603"/>
                                </a:lnTo>
                                <a:lnTo>
                                  <a:pt x="8610" y="21082"/>
                                </a:lnTo>
                                <a:lnTo>
                                  <a:pt x="12382" y="14414"/>
                                </a:lnTo>
                                <a:lnTo>
                                  <a:pt x="18186" y="10071"/>
                                </a:lnTo>
                                <a:lnTo>
                                  <a:pt x="25628" y="8509"/>
                                </a:lnTo>
                                <a:lnTo>
                                  <a:pt x="30340" y="8509"/>
                                </a:lnTo>
                                <a:lnTo>
                                  <a:pt x="33642" y="9766"/>
                                </a:lnTo>
                                <a:lnTo>
                                  <a:pt x="38125" y="13068"/>
                                </a:lnTo>
                                <a:lnTo>
                                  <a:pt x="38125" y="16675"/>
                                </a:lnTo>
                                <a:lnTo>
                                  <a:pt x="41592" y="16675"/>
                                </a:lnTo>
                                <a:lnTo>
                                  <a:pt x="41592" y="4178"/>
                                </a:lnTo>
                                <a:lnTo>
                                  <a:pt x="38125" y="4178"/>
                                </a:lnTo>
                                <a:lnTo>
                                  <a:pt x="38125" y="7480"/>
                                </a:lnTo>
                                <a:lnTo>
                                  <a:pt x="34010" y="5575"/>
                                </a:lnTo>
                                <a:lnTo>
                                  <a:pt x="30200" y="4762"/>
                                </a:lnTo>
                                <a:lnTo>
                                  <a:pt x="25425" y="4762"/>
                                </a:lnTo>
                                <a:lnTo>
                                  <a:pt x="15405" y="6718"/>
                                </a:lnTo>
                                <a:lnTo>
                                  <a:pt x="7340" y="12065"/>
                                </a:lnTo>
                                <a:lnTo>
                                  <a:pt x="1968" y="20091"/>
                                </a:lnTo>
                                <a:lnTo>
                                  <a:pt x="0" y="30048"/>
                                </a:lnTo>
                                <a:lnTo>
                                  <a:pt x="1981" y="40081"/>
                                </a:lnTo>
                                <a:lnTo>
                                  <a:pt x="7442" y="48006"/>
                                </a:lnTo>
                                <a:lnTo>
                                  <a:pt x="15748" y="53238"/>
                                </a:lnTo>
                                <a:lnTo>
                                  <a:pt x="26225" y="55105"/>
                                </a:lnTo>
                                <a:lnTo>
                                  <a:pt x="31445" y="55105"/>
                                </a:lnTo>
                                <a:lnTo>
                                  <a:pt x="35483" y="54305"/>
                                </a:lnTo>
                                <a:lnTo>
                                  <a:pt x="41656" y="52019"/>
                                </a:lnTo>
                                <a:lnTo>
                                  <a:pt x="41656" y="42240"/>
                                </a:lnTo>
                                <a:close/>
                              </a:path>
                              <a:path w="321945" h="55244">
                                <a:moveTo>
                                  <a:pt x="70446" y="22644"/>
                                </a:moveTo>
                                <a:lnTo>
                                  <a:pt x="68160" y="20662"/>
                                </a:lnTo>
                                <a:lnTo>
                                  <a:pt x="67729" y="20218"/>
                                </a:lnTo>
                                <a:lnTo>
                                  <a:pt x="66992" y="20002"/>
                                </a:lnTo>
                                <a:lnTo>
                                  <a:pt x="63461" y="20002"/>
                                </a:lnTo>
                                <a:lnTo>
                                  <a:pt x="61556" y="21615"/>
                                </a:lnTo>
                                <a:lnTo>
                                  <a:pt x="56261" y="28371"/>
                                </a:lnTo>
                                <a:lnTo>
                                  <a:pt x="56261" y="20142"/>
                                </a:lnTo>
                                <a:lnTo>
                                  <a:pt x="54952" y="20142"/>
                                </a:lnTo>
                                <a:lnTo>
                                  <a:pt x="44361" y="23012"/>
                                </a:lnTo>
                                <a:lnTo>
                                  <a:pt x="44361" y="24993"/>
                                </a:lnTo>
                                <a:lnTo>
                                  <a:pt x="50749" y="24993"/>
                                </a:lnTo>
                                <a:lnTo>
                                  <a:pt x="50749" y="51447"/>
                                </a:lnTo>
                                <a:lnTo>
                                  <a:pt x="45173" y="51447"/>
                                </a:lnTo>
                                <a:lnTo>
                                  <a:pt x="45173" y="54165"/>
                                </a:lnTo>
                                <a:lnTo>
                                  <a:pt x="63322" y="54165"/>
                                </a:lnTo>
                                <a:lnTo>
                                  <a:pt x="63322" y="51447"/>
                                </a:lnTo>
                                <a:lnTo>
                                  <a:pt x="56261" y="51447"/>
                                </a:lnTo>
                                <a:lnTo>
                                  <a:pt x="56261" y="31889"/>
                                </a:lnTo>
                                <a:lnTo>
                                  <a:pt x="60312" y="26987"/>
                                </a:lnTo>
                                <a:lnTo>
                                  <a:pt x="61633" y="25742"/>
                                </a:lnTo>
                                <a:lnTo>
                                  <a:pt x="63690" y="25742"/>
                                </a:lnTo>
                                <a:lnTo>
                                  <a:pt x="64719" y="26390"/>
                                </a:lnTo>
                                <a:lnTo>
                                  <a:pt x="66179" y="27787"/>
                                </a:lnTo>
                                <a:lnTo>
                                  <a:pt x="70446" y="22644"/>
                                </a:lnTo>
                                <a:close/>
                              </a:path>
                              <a:path w="321945" h="55244">
                                <a:moveTo>
                                  <a:pt x="102831" y="27825"/>
                                </a:moveTo>
                                <a:lnTo>
                                  <a:pt x="98475" y="23063"/>
                                </a:lnTo>
                                <a:lnTo>
                                  <a:pt x="96608" y="21031"/>
                                </a:lnTo>
                                <a:lnTo>
                                  <a:pt x="96608" y="29375"/>
                                </a:lnTo>
                                <a:lnTo>
                                  <a:pt x="96608" y="45694"/>
                                </a:lnTo>
                                <a:lnTo>
                                  <a:pt x="92265" y="52006"/>
                                </a:lnTo>
                                <a:lnTo>
                                  <a:pt x="81241" y="52006"/>
                                </a:lnTo>
                                <a:lnTo>
                                  <a:pt x="77025" y="45694"/>
                                </a:lnTo>
                                <a:lnTo>
                                  <a:pt x="76974" y="29375"/>
                                </a:lnTo>
                                <a:lnTo>
                                  <a:pt x="81241" y="23063"/>
                                </a:lnTo>
                                <a:lnTo>
                                  <a:pt x="92265" y="23063"/>
                                </a:lnTo>
                                <a:lnTo>
                                  <a:pt x="96608" y="29375"/>
                                </a:lnTo>
                                <a:lnTo>
                                  <a:pt x="96608" y="21031"/>
                                </a:lnTo>
                                <a:lnTo>
                                  <a:pt x="95643" y="19977"/>
                                </a:lnTo>
                                <a:lnTo>
                                  <a:pt x="77863" y="19977"/>
                                </a:lnTo>
                                <a:lnTo>
                                  <a:pt x="70662" y="27825"/>
                                </a:lnTo>
                                <a:lnTo>
                                  <a:pt x="70662" y="47244"/>
                                </a:lnTo>
                                <a:lnTo>
                                  <a:pt x="77863" y="55105"/>
                                </a:lnTo>
                                <a:lnTo>
                                  <a:pt x="95643" y="55105"/>
                                </a:lnTo>
                                <a:lnTo>
                                  <a:pt x="98488" y="52006"/>
                                </a:lnTo>
                                <a:lnTo>
                                  <a:pt x="102831" y="47244"/>
                                </a:lnTo>
                                <a:lnTo>
                                  <a:pt x="102831" y="27825"/>
                                </a:lnTo>
                                <a:close/>
                              </a:path>
                              <a:path w="321945" h="55244">
                                <a:moveTo>
                                  <a:pt x="131686" y="40411"/>
                                </a:moveTo>
                                <a:lnTo>
                                  <a:pt x="129413" y="37985"/>
                                </a:lnTo>
                                <a:lnTo>
                                  <a:pt x="113322" y="31508"/>
                                </a:lnTo>
                                <a:lnTo>
                                  <a:pt x="112801" y="31153"/>
                                </a:lnTo>
                                <a:lnTo>
                                  <a:pt x="112801" y="24828"/>
                                </a:lnTo>
                                <a:lnTo>
                                  <a:pt x="115303" y="22771"/>
                                </a:lnTo>
                                <a:lnTo>
                                  <a:pt x="123088" y="22771"/>
                                </a:lnTo>
                                <a:lnTo>
                                  <a:pt x="126403" y="25120"/>
                                </a:lnTo>
                                <a:lnTo>
                                  <a:pt x="126403" y="28651"/>
                                </a:lnTo>
                                <a:lnTo>
                                  <a:pt x="126250" y="29603"/>
                                </a:lnTo>
                                <a:lnTo>
                                  <a:pt x="125958" y="30416"/>
                                </a:lnTo>
                                <a:lnTo>
                                  <a:pt x="129120" y="30416"/>
                                </a:lnTo>
                                <a:lnTo>
                                  <a:pt x="130873" y="19837"/>
                                </a:lnTo>
                                <a:lnTo>
                                  <a:pt x="127723" y="19837"/>
                                </a:lnTo>
                                <a:lnTo>
                                  <a:pt x="127279" y="22479"/>
                                </a:lnTo>
                                <a:lnTo>
                                  <a:pt x="125222" y="20789"/>
                                </a:lnTo>
                                <a:lnTo>
                                  <a:pt x="122720" y="19989"/>
                                </a:lnTo>
                                <a:lnTo>
                                  <a:pt x="112725" y="19989"/>
                                </a:lnTo>
                                <a:lnTo>
                                  <a:pt x="108102" y="23876"/>
                                </a:lnTo>
                                <a:lnTo>
                                  <a:pt x="108102" y="34239"/>
                                </a:lnTo>
                                <a:lnTo>
                                  <a:pt x="110604" y="36957"/>
                                </a:lnTo>
                                <a:lnTo>
                                  <a:pt x="125374" y="42684"/>
                                </a:lnTo>
                                <a:lnTo>
                                  <a:pt x="127419" y="44297"/>
                                </a:lnTo>
                                <a:lnTo>
                                  <a:pt x="127419" y="50177"/>
                                </a:lnTo>
                                <a:lnTo>
                                  <a:pt x="124409" y="52311"/>
                                </a:lnTo>
                                <a:lnTo>
                                  <a:pt x="115811" y="52311"/>
                                </a:lnTo>
                                <a:lnTo>
                                  <a:pt x="111696" y="49517"/>
                                </a:lnTo>
                                <a:lnTo>
                                  <a:pt x="111696" y="44373"/>
                                </a:lnTo>
                                <a:lnTo>
                                  <a:pt x="108318" y="44373"/>
                                </a:lnTo>
                                <a:lnTo>
                                  <a:pt x="108318" y="54813"/>
                                </a:lnTo>
                                <a:lnTo>
                                  <a:pt x="111264" y="54813"/>
                                </a:lnTo>
                                <a:lnTo>
                                  <a:pt x="111264" y="52158"/>
                                </a:lnTo>
                                <a:lnTo>
                                  <a:pt x="113385" y="54152"/>
                                </a:lnTo>
                                <a:lnTo>
                                  <a:pt x="116484" y="55105"/>
                                </a:lnTo>
                                <a:lnTo>
                                  <a:pt x="120586" y="55105"/>
                                </a:lnTo>
                                <a:lnTo>
                                  <a:pt x="127127" y="55105"/>
                                </a:lnTo>
                                <a:lnTo>
                                  <a:pt x="131686" y="50990"/>
                                </a:lnTo>
                                <a:lnTo>
                                  <a:pt x="131686" y="40411"/>
                                </a:lnTo>
                                <a:close/>
                              </a:path>
                              <a:path w="321945" h="55244">
                                <a:moveTo>
                                  <a:pt x="161366" y="40411"/>
                                </a:moveTo>
                                <a:lnTo>
                                  <a:pt x="159092" y="37985"/>
                                </a:lnTo>
                                <a:lnTo>
                                  <a:pt x="143002" y="31508"/>
                                </a:lnTo>
                                <a:lnTo>
                                  <a:pt x="142494" y="31153"/>
                                </a:lnTo>
                                <a:lnTo>
                                  <a:pt x="142494" y="24828"/>
                                </a:lnTo>
                                <a:lnTo>
                                  <a:pt x="144995" y="22771"/>
                                </a:lnTo>
                                <a:lnTo>
                                  <a:pt x="152781" y="22771"/>
                                </a:lnTo>
                                <a:lnTo>
                                  <a:pt x="156083" y="25120"/>
                                </a:lnTo>
                                <a:lnTo>
                                  <a:pt x="156083" y="28651"/>
                                </a:lnTo>
                                <a:lnTo>
                                  <a:pt x="155930" y="29603"/>
                                </a:lnTo>
                                <a:lnTo>
                                  <a:pt x="155638" y="30416"/>
                                </a:lnTo>
                                <a:lnTo>
                                  <a:pt x="158800" y="30416"/>
                                </a:lnTo>
                                <a:lnTo>
                                  <a:pt x="160566" y="19837"/>
                                </a:lnTo>
                                <a:lnTo>
                                  <a:pt x="157403" y="19837"/>
                                </a:lnTo>
                                <a:lnTo>
                                  <a:pt x="156959" y="22479"/>
                                </a:lnTo>
                                <a:lnTo>
                                  <a:pt x="154901" y="20789"/>
                                </a:lnTo>
                                <a:lnTo>
                                  <a:pt x="152412" y="19989"/>
                                </a:lnTo>
                                <a:lnTo>
                                  <a:pt x="142417" y="19989"/>
                                </a:lnTo>
                                <a:lnTo>
                                  <a:pt x="137782" y="23876"/>
                                </a:lnTo>
                                <a:lnTo>
                                  <a:pt x="137782" y="34239"/>
                                </a:lnTo>
                                <a:lnTo>
                                  <a:pt x="140296" y="36957"/>
                                </a:lnTo>
                                <a:lnTo>
                                  <a:pt x="155054" y="42684"/>
                                </a:lnTo>
                                <a:lnTo>
                                  <a:pt x="157111" y="44297"/>
                                </a:lnTo>
                                <a:lnTo>
                                  <a:pt x="157111" y="50177"/>
                                </a:lnTo>
                                <a:lnTo>
                                  <a:pt x="154101" y="52311"/>
                                </a:lnTo>
                                <a:lnTo>
                                  <a:pt x="145503" y="52311"/>
                                </a:lnTo>
                                <a:lnTo>
                                  <a:pt x="141389" y="49517"/>
                                </a:lnTo>
                                <a:lnTo>
                                  <a:pt x="141389" y="44373"/>
                                </a:lnTo>
                                <a:lnTo>
                                  <a:pt x="138010" y="44373"/>
                                </a:lnTo>
                                <a:lnTo>
                                  <a:pt x="138010" y="54813"/>
                                </a:lnTo>
                                <a:lnTo>
                                  <a:pt x="140944" y="54813"/>
                                </a:lnTo>
                                <a:lnTo>
                                  <a:pt x="140944" y="52158"/>
                                </a:lnTo>
                                <a:lnTo>
                                  <a:pt x="143078" y="54152"/>
                                </a:lnTo>
                                <a:lnTo>
                                  <a:pt x="146164" y="55105"/>
                                </a:lnTo>
                                <a:lnTo>
                                  <a:pt x="150279" y="55105"/>
                                </a:lnTo>
                                <a:lnTo>
                                  <a:pt x="156819" y="55105"/>
                                </a:lnTo>
                                <a:lnTo>
                                  <a:pt x="161366" y="50990"/>
                                </a:lnTo>
                                <a:lnTo>
                                  <a:pt x="161366" y="40411"/>
                                </a:lnTo>
                                <a:close/>
                              </a:path>
                              <a:path w="321945" h="55244">
                                <a:moveTo>
                                  <a:pt x="224447" y="5651"/>
                                </a:moveTo>
                                <a:lnTo>
                                  <a:pt x="212979" y="5651"/>
                                </a:lnTo>
                                <a:lnTo>
                                  <a:pt x="195707" y="43129"/>
                                </a:lnTo>
                                <a:lnTo>
                                  <a:pt x="178955" y="5651"/>
                                </a:lnTo>
                                <a:lnTo>
                                  <a:pt x="167119" y="5651"/>
                                </a:lnTo>
                                <a:lnTo>
                                  <a:pt x="167119" y="8369"/>
                                </a:lnTo>
                                <a:lnTo>
                                  <a:pt x="172707" y="8369"/>
                                </a:lnTo>
                                <a:lnTo>
                                  <a:pt x="172707" y="51435"/>
                                </a:lnTo>
                                <a:lnTo>
                                  <a:pt x="167119" y="51435"/>
                                </a:lnTo>
                                <a:lnTo>
                                  <a:pt x="167119" y="54152"/>
                                </a:lnTo>
                                <a:lnTo>
                                  <a:pt x="181965" y="54152"/>
                                </a:lnTo>
                                <a:lnTo>
                                  <a:pt x="181965" y="51435"/>
                                </a:lnTo>
                                <a:lnTo>
                                  <a:pt x="176377" y="51435"/>
                                </a:lnTo>
                                <a:lnTo>
                                  <a:pt x="176377" y="14478"/>
                                </a:lnTo>
                                <a:lnTo>
                                  <a:pt x="194462" y="54876"/>
                                </a:lnTo>
                                <a:lnTo>
                                  <a:pt x="212458" y="15290"/>
                                </a:lnTo>
                                <a:lnTo>
                                  <a:pt x="212458" y="51435"/>
                                </a:lnTo>
                                <a:lnTo>
                                  <a:pt x="206946" y="51435"/>
                                </a:lnTo>
                                <a:lnTo>
                                  <a:pt x="206946" y="54152"/>
                                </a:lnTo>
                                <a:lnTo>
                                  <a:pt x="224447" y="54152"/>
                                </a:lnTo>
                                <a:lnTo>
                                  <a:pt x="224447" y="51435"/>
                                </a:lnTo>
                                <a:lnTo>
                                  <a:pt x="218922" y="51435"/>
                                </a:lnTo>
                                <a:lnTo>
                                  <a:pt x="218922" y="8369"/>
                                </a:lnTo>
                                <a:lnTo>
                                  <a:pt x="224447" y="8369"/>
                                </a:lnTo>
                                <a:lnTo>
                                  <a:pt x="224447" y="5651"/>
                                </a:lnTo>
                                <a:close/>
                              </a:path>
                              <a:path w="321945" h="55244">
                                <a:moveTo>
                                  <a:pt x="257924" y="50774"/>
                                </a:moveTo>
                                <a:lnTo>
                                  <a:pt x="252260" y="50774"/>
                                </a:lnTo>
                                <a:lnTo>
                                  <a:pt x="252260" y="49745"/>
                                </a:lnTo>
                                <a:lnTo>
                                  <a:pt x="252260" y="39090"/>
                                </a:lnTo>
                                <a:lnTo>
                                  <a:pt x="252260" y="23228"/>
                                </a:lnTo>
                                <a:lnTo>
                                  <a:pt x="251663" y="22783"/>
                                </a:lnTo>
                                <a:lnTo>
                                  <a:pt x="247992" y="19989"/>
                                </a:lnTo>
                                <a:lnTo>
                                  <a:pt x="234848" y="19989"/>
                                </a:lnTo>
                                <a:lnTo>
                                  <a:pt x="230149" y="22999"/>
                                </a:lnTo>
                                <a:lnTo>
                                  <a:pt x="229920" y="23228"/>
                                </a:lnTo>
                                <a:lnTo>
                                  <a:pt x="229997" y="28587"/>
                                </a:lnTo>
                                <a:lnTo>
                                  <a:pt x="230505" y="29464"/>
                                </a:lnTo>
                                <a:lnTo>
                                  <a:pt x="237058" y="27559"/>
                                </a:lnTo>
                                <a:lnTo>
                                  <a:pt x="237058" y="24028"/>
                                </a:lnTo>
                                <a:lnTo>
                                  <a:pt x="239179" y="22999"/>
                                </a:lnTo>
                                <a:lnTo>
                                  <a:pt x="240131" y="22783"/>
                                </a:lnTo>
                                <a:lnTo>
                                  <a:pt x="244538" y="22783"/>
                                </a:lnTo>
                                <a:lnTo>
                                  <a:pt x="246748" y="24917"/>
                                </a:lnTo>
                                <a:lnTo>
                                  <a:pt x="246748" y="36156"/>
                                </a:lnTo>
                                <a:lnTo>
                                  <a:pt x="246748" y="39090"/>
                                </a:lnTo>
                                <a:lnTo>
                                  <a:pt x="246748" y="46888"/>
                                </a:lnTo>
                                <a:lnTo>
                                  <a:pt x="243509" y="49745"/>
                                </a:lnTo>
                                <a:lnTo>
                                  <a:pt x="241604" y="50774"/>
                                </a:lnTo>
                                <a:lnTo>
                                  <a:pt x="236169" y="50774"/>
                                </a:lnTo>
                                <a:lnTo>
                                  <a:pt x="234188" y="48793"/>
                                </a:lnTo>
                                <a:lnTo>
                                  <a:pt x="234188" y="42037"/>
                                </a:lnTo>
                                <a:lnTo>
                                  <a:pt x="246748" y="39090"/>
                                </a:lnTo>
                                <a:lnTo>
                                  <a:pt x="246748" y="36156"/>
                                </a:lnTo>
                                <a:lnTo>
                                  <a:pt x="230657" y="39827"/>
                                </a:lnTo>
                                <a:lnTo>
                                  <a:pt x="228231" y="42913"/>
                                </a:lnTo>
                                <a:lnTo>
                                  <a:pt x="228231" y="51587"/>
                                </a:lnTo>
                                <a:lnTo>
                                  <a:pt x="231978" y="55118"/>
                                </a:lnTo>
                                <a:lnTo>
                                  <a:pt x="240944" y="55118"/>
                                </a:lnTo>
                                <a:lnTo>
                                  <a:pt x="243738" y="53555"/>
                                </a:lnTo>
                                <a:lnTo>
                                  <a:pt x="245986" y="50774"/>
                                </a:lnTo>
                                <a:lnTo>
                                  <a:pt x="246824" y="49745"/>
                                </a:lnTo>
                                <a:lnTo>
                                  <a:pt x="246824" y="53200"/>
                                </a:lnTo>
                                <a:lnTo>
                                  <a:pt x="248145" y="54813"/>
                                </a:lnTo>
                                <a:lnTo>
                                  <a:pt x="251002" y="54813"/>
                                </a:lnTo>
                                <a:lnTo>
                                  <a:pt x="252031" y="54597"/>
                                </a:lnTo>
                                <a:lnTo>
                                  <a:pt x="257924" y="52755"/>
                                </a:lnTo>
                                <a:lnTo>
                                  <a:pt x="257924" y="50774"/>
                                </a:lnTo>
                                <a:close/>
                              </a:path>
                              <a:path w="321945" h="55244">
                                <a:moveTo>
                                  <a:pt x="286169" y="22644"/>
                                </a:moveTo>
                                <a:lnTo>
                                  <a:pt x="283895" y="20662"/>
                                </a:lnTo>
                                <a:lnTo>
                                  <a:pt x="283451" y="20218"/>
                                </a:lnTo>
                                <a:lnTo>
                                  <a:pt x="282714" y="20002"/>
                                </a:lnTo>
                                <a:lnTo>
                                  <a:pt x="279196" y="20002"/>
                                </a:lnTo>
                                <a:lnTo>
                                  <a:pt x="277279" y="21615"/>
                                </a:lnTo>
                                <a:lnTo>
                                  <a:pt x="271983" y="28371"/>
                                </a:lnTo>
                                <a:lnTo>
                                  <a:pt x="271983" y="20142"/>
                                </a:lnTo>
                                <a:lnTo>
                                  <a:pt x="270662" y="20142"/>
                                </a:lnTo>
                                <a:lnTo>
                                  <a:pt x="260096" y="23012"/>
                                </a:lnTo>
                                <a:lnTo>
                                  <a:pt x="260096" y="24993"/>
                                </a:lnTo>
                                <a:lnTo>
                                  <a:pt x="266484" y="24993"/>
                                </a:lnTo>
                                <a:lnTo>
                                  <a:pt x="266484" y="51447"/>
                                </a:lnTo>
                                <a:lnTo>
                                  <a:pt x="260896" y="51447"/>
                                </a:lnTo>
                                <a:lnTo>
                                  <a:pt x="260896" y="54165"/>
                                </a:lnTo>
                                <a:lnTo>
                                  <a:pt x="279044" y="54165"/>
                                </a:lnTo>
                                <a:lnTo>
                                  <a:pt x="279044" y="51447"/>
                                </a:lnTo>
                                <a:lnTo>
                                  <a:pt x="271983" y="51447"/>
                                </a:lnTo>
                                <a:lnTo>
                                  <a:pt x="271983" y="31889"/>
                                </a:lnTo>
                                <a:lnTo>
                                  <a:pt x="276021" y="26987"/>
                                </a:lnTo>
                                <a:lnTo>
                                  <a:pt x="277355" y="25742"/>
                                </a:lnTo>
                                <a:lnTo>
                                  <a:pt x="279400" y="25742"/>
                                </a:lnTo>
                                <a:lnTo>
                                  <a:pt x="280441" y="26390"/>
                                </a:lnTo>
                                <a:lnTo>
                                  <a:pt x="281914" y="27787"/>
                                </a:lnTo>
                                <a:lnTo>
                                  <a:pt x="286169" y="22644"/>
                                </a:lnTo>
                                <a:close/>
                              </a:path>
                              <a:path w="321945" h="55244">
                                <a:moveTo>
                                  <a:pt x="302348" y="51435"/>
                                </a:moveTo>
                                <a:lnTo>
                                  <a:pt x="296824" y="51435"/>
                                </a:lnTo>
                                <a:lnTo>
                                  <a:pt x="296824" y="0"/>
                                </a:lnTo>
                                <a:lnTo>
                                  <a:pt x="295427" y="0"/>
                                </a:lnTo>
                                <a:lnTo>
                                  <a:pt x="284848" y="2870"/>
                                </a:lnTo>
                                <a:lnTo>
                                  <a:pt x="284848" y="4838"/>
                                </a:lnTo>
                                <a:lnTo>
                                  <a:pt x="291325" y="4838"/>
                                </a:lnTo>
                                <a:lnTo>
                                  <a:pt x="291325" y="51435"/>
                                </a:lnTo>
                                <a:lnTo>
                                  <a:pt x="285737" y="51435"/>
                                </a:lnTo>
                                <a:lnTo>
                                  <a:pt x="285737" y="54152"/>
                                </a:lnTo>
                                <a:lnTo>
                                  <a:pt x="302348" y="54152"/>
                                </a:lnTo>
                                <a:lnTo>
                                  <a:pt x="302348" y="51435"/>
                                </a:lnTo>
                                <a:close/>
                              </a:path>
                              <a:path w="321945" h="55244">
                                <a:moveTo>
                                  <a:pt x="321589" y="51435"/>
                                </a:moveTo>
                                <a:lnTo>
                                  <a:pt x="317411" y="51435"/>
                                </a:lnTo>
                                <a:lnTo>
                                  <a:pt x="303364" y="34467"/>
                                </a:lnTo>
                                <a:lnTo>
                                  <a:pt x="314756" y="23583"/>
                                </a:lnTo>
                                <a:lnTo>
                                  <a:pt x="320421" y="23583"/>
                                </a:lnTo>
                                <a:lnTo>
                                  <a:pt x="320421" y="20866"/>
                                </a:lnTo>
                                <a:lnTo>
                                  <a:pt x="305790" y="20866"/>
                                </a:lnTo>
                                <a:lnTo>
                                  <a:pt x="305790" y="23583"/>
                                </a:lnTo>
                                <a:lnTo>
                                  <a:pt x="310565" y="23583"/>
                                </a:lnTo>
                                <a:lnTo>
                                  <a:pt x="297421" y="36068"/>
                                </a:lnTo>
                                <a:lnTo>
                                  <a:pt x="312483" y="54152"/>
                                </a:lnTo>
                                <a:lnTo>
                                  <a:pt x="321589" y="54152"/>
                                </a:lnTo>
                                <a:lnTo>
                                  <a:pt x="321589" y="51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4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9.123993pt;margin-top:-8.343466pt;width:45.2pt;height:18pt;mso-position-horizontal-relative:page;mso-position-vertical-relative:paragraph;z-index:15729664" id="docshapegroup7" coordorigin="9982,-167" coordsize="904,360">
                <v:shape style="position:absolute;left:9982;top:-167;width:386;height:360" type="#_x0000_t75" id="docshape8" href="http://crossmark.crossref.org/dialog/?doi=10.1007/s12311-016-0777-x&amp;domain=pdf" stroked="false">
                  <v:imagedata r:id="rId9" o:title=""/>
                </v:shape>
                <v:shape style="position:absolute;left:10012;top:-150;width:326;height:326" type="#_x0000_t75" id="docshape9" href="http://crossmark.crossref.org/dialog/?doi=10.1007/s12311-016-0777-x&amp;domain=pdf" stroked="false">
                  <v:imagedata r:id="rId11" o:title=""/>
                </v:shape>
                <v:shape style="position:absolute;left:10102;top:-117;width:149;height:266" type="#_x0000_t75" id="docshape10" href="http://crossmark.crossref.org/dialog/?doi=10.1007/s12311-016-0777-x&amp;domain=pdf" stroked="false">
                  <v:imagedata r:id="rId12" o:title=""/>
                </v:shape>
                <v:shape style="position:absolute;left:10112;top:-105;width:4;height:2" id="docshape11" coordorigin="10112,-104" coordsize="4,2" path="m10112,-103l10114,-103,10116,-104,10114,-103,10112,-103xe" filled="true" fillcolor="#6b6866" stroked="false">
                  <v:path arrowok="t"/>
                  <v:fill type="solid"/>
                </v:shape>
                <v:shape style="position:absolute;left:10112;top:-105;width:126;height:3" type="#_x0000_t75" id="docshape12" stroked="false">
                  <v:imagedata r:id="rId13" o:title=""/>
                </v:shape>
                <v:shape style="position:absolute;left:10109;top:-103;width:3;height:2" id="docshape13" coordorigin="10109,-102" coordsize="3,2" path="m10112,-102l10111,-102,10110,-101,10109,-101,10110,-101,10112,-102xe" filled="true" fillcolor="#7e6766" stroked="false">
                  <v:path arrowok="t"/>
                  <v:fill type="solid"/>
                </v:shape>
                <v:shape style="position:absolute;left:10109;top:-103;width:133;height:2" type="#_x0000_t75" id="docshape14" stroked="false">
                  <v:imagedata r:id="rId14" o:title=""/>
                </v:shape>
                <v:shape style="position:absolute;left:10111;top:-103;width:2;height:2" id="docshape15" coordorigin="10112,-102" coordsize="1,1" path="m10112,-102l10112,-102,10112,-102,10112,-102xe" filled="true" fillcolor="#6a5958" stroked="false">
                  <v:path arrowok="t"/>
                  <v:fill type="solid"/>
                </v:shape>
                <v:shape style="position:absolute;left:10119;top:-107;width:2;height:2" id="docshape16" coordorigin="10120,-106" coordsize="1,0" path="m10120,-106l10120,-106,10120,-106xe" filled="true" fillcolor="#7e6766" stroked="false">
                  <v:path arrowok="t"/>
                  <v:fill type="solid"/>
                </v:shape>
                <v:line style="position:absolute" from="10124,-108" to="10125,-108" stroked="true" strokeweight=".015991pt" strokecolor="#5b4e4f">
                  <v:stroke dashstyle="solid"/>
                </v:line>
                <v:shape style="position:absolute;left:10196;top:-117;width:10;height:2" id="docshape17" coordorigin="10197,-116" coordsize="10,2" path="m10197,-116l10200,-116,10203,-115,10206,-114,10203,-115,10200,-116,10197,-116xe" filled="true" fillcolor="#6b6866" stroked="false">
                  <v:path arrowok="t"/>
                  <v:fill type="solid"/>
                </v:shape>
                <v:shape style="position:absolute;left:10102;top:-91;width:149;height:241" type="#_x0000_t75" id="docshape18" href="http://crossmark.crossref.org/dialog/?doi=10.1007/s12311-016-0777-x&amp;domain=pdf" stroked="false">
                  <v:imagedata r:id="rId15" o:title=""/>
                </v:shape>
                <v:shape style="position:absolute;left:10108;top:-101;width:2;height:2" id="docshape19" coordorigin="10109,-101" coordsize="1,1" path="m10109,-101l10109,-101,10109,-101,10109,-100,10109,-101,10109,-101,10109,-101xe" filled="true" fillcolor="#a17c67" stroked="false">
                  <v:path arrowok="t"/>
                  <v:fill type="solid"/>
                </v:shape>
                <v:shape style="position:absolute;left:10106;top:-91;width:3;height:7" type="#_x0000_t75" id="docshape20" stroked="false">
                  <v:imagedata r:id="rId16" o:title=""/>
                </v:shape>
                <v:shape style="position:absolute;left:10108;top:-101;width:2;height:2" id="docshape21" coordorigin="10108,-100" coordsize="1,1" path="m10109,-100l10108,-100,10109,-100xe" filled="true" fillcolor="#79443c" stroked="false">
                  <v:path arrowok="t"/>
                  <v:fill type="solid"/>
                </v:shape>
                <v:shape style="position:absolute;left:10379;top:-23;width:507;height:87" id="docshape22" href="http://crossmark.crossref.org/dialog/?doi=10.1007/s12311-016-0777-x&amp;domain=pdf" coordorigin="10379,-22" coordsize="507,87" path="m10445,44l10439,44,10439,53,10432,57,10427,59,10421,59,10409,56,10400,49,10393,38,10391,24,10393,11,10399,1,10408,-6,10420,-9,10427,-9,10432,-7,10439,-2,10439,4,10445,4,10445,-16,10439,-16,10439,-10,10433,-13,10427,-15,10419,-15,10404,-12,10391,-3,10382,9,10379,25,10382,41,10391,53,10404,62,10421,65,10429,65,10435,63,10445,60,10445,44xm10490,14l10487,10,10486,10,10485,9,10479,9,10476,12,10468,23,10468,10,10466,10,10449,14,10449,17,10459,17,10459,59,10451,59,10451,63,10479,63,10479,59,10468,59,10468,28,10474,20,10476,18,10480,18,10481,19,10484,22,10490,14xm10541,22l10534,14,10532,11,10532,24,10532,50,10525,60,10507,60,10501,50,10501,24,10507,14,10525,14,10532,24,10532,11,10530,9,10502,9,10491,22,10491,52,10502,65,10530,65,10534,60,10541,52,10541,22xm10587,41l10583,38,10558,27,10557,27,10557,17,10561,14,10573,14,10578,17,10578,23,10578,24,10578,26,10583,26,10585,9,10581,9,10580,13,10577,11,10573,9,10557,9,10550,15,10550,32,10554,36,10577,45,10580,48,10580,57,10575,60,10562,60,10555,56,10555,48,10550,48,10550,64,10555,64,10555,60,10558,63,10563,65,10569,65,10580,65,10587,58,10587,41xm10633,41l10630,38,10605,27,10604,27,10604,17,10608,14,10620,14,10625,17,10625,23,10625,24,10624,26,10629,26,10632,9,10627,9,10627,13,10623,11,10619,9,10604,9,10596,15,10596,32,10600,36,10624,45,10627,48,10627,57,10622,60,10609,60,10602,56,10602,48,10597,48,10597,64,10601,64,10601,60,10605,63,10610,65,10616,65,10626,65,10633,58,10633,41xm10733,-13l10715,-13,10688,46,10661,-13,10643,-13,10643,-9,10651,-9,10651,59,10643,59,10643,63,10666,63,10666,59,10657,59,10657,1,10686,64,10714,2,10714,59,10705,59,10705,63,10733,63,10733,59,10724,59,10724,-9,10733,-9,10733,-13xm10786,58l10777,58,10777,56,10777,39,10777,14,10776,14,10770,9,10749,9,10742,14,10741,14,10742,23,10742,24,10753,21,10753,16,10756,14,10758,14,10764,14,10768,17,10768,35,10768,39,10768,52,10763,56,10760,58,10751,58,10748,55,10748,44,10768,39,10768,35,10743,41,10739,45,10739,59,10745,65,10759,65,10763,62,10767,58,10768,56,10768,62,10770,64,10775,64,10776,64,10786,61,10786,58xm10830,14l10826,10,10826,10,10825,9,10819,9,10816,12,10808,23,10808,10,10806,10,10789,14,10789,17,10799,17,10799,59,10790,59,10790,63,10819,63,10819,59,10808,59,10808,28,10814,20,10816,18,10819,18,10821,19,10823,22,10830,14xm10856,59l10847,59,10847,-22,10845,-22,10828,-18,10828,-15,10838,-15,10838,59,10829,59,10829,63,10856,63,10856,59xm10886,59l10879,59,10857,32,10875,15,10884,15,10884,11,10861,11,10861,15,10868,15,10848,35,10871,63,10886,63,10886,59xe" filled="true" fillcolor="#13141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POLG-Associated Ataxia Presenting as a F" w:id="1"/>
      <w:bookmarkEnd w:id="1"/>
      <w:r>
        <w:rPr/>
      </w:r>
      <w:r>
        <w:rPr>
          <w:color w:val="131413"/>
          <w:spacing w:val="-4"/>
          <w:sz w:val="17"/>
        </w:rPr>
        <w:t>DOI</w:t>
      </w:r>
      <w:r>
        <w:rPr>
          <w:color w:val="131413"/>
          <w:spacing w:val="22"/>
          <w:sz w:val="17"/>
        </w:rPr>
        <w:t> </w:t>
      </w:r>
      <w:r>
        <w:rPr>
          <w:color w:val="131413"/>
          <w:spacing w:val="-4"/>
          <w:sz w:val="17"/>
        </w:rPr>
        <w:t>10.1007/s12311-016-0777-</w:t>
      </w:r>
      <w:r>
        <w:rPr>
          <w:color w:val="131413"/>
          <w:spacing w:val="-10"/>
          <w:sz w:val="17"/>
        </w:rPr>
        <w:t>x</w:t>
      </w:r>
    </w:p>
    <w:p>
      <w:pPr>
        <w:pStyle w:val="BodyText"/>
        <w:spacing w:before="3"/>
        <w:rPr>
          <w:sz w:val="9"/>
        </w:rPr>
      </w:pPr>
      <w:r>
        <w:rPr>
          <w:sz w:val="9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648004</wp:posOffset>
                </wp:positionH>
                <wp:positionV relativeFrom="paragraph">
                  <wp:posOffset>83202</wp:posOffset>
                </wp:positionV>
                <wp:extent cx="6264275" cy="252729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264275" cy="252729"/>
                          <a:chExt cx="6264275" cy="252729"/>
                        </a:xfrm>
                      </wpg:grpSpPr>
                      <wps:wsp>
                        <wps:cNvPr id="29" name="Textbox 29"/>
                        <wps:cNvSpPr txBox="1"/>
                        <wps:spPr>
                          <a:xfrm>
                            <a:off x="0" y="723"/>
                            <a:ext cx="3024505" cy="252095"/>
                          </a:xfrm>
                          <a:prstGeom prst="rect">
                            <a:avLst/>
                          </a:prstGeom>
                          <a:solidFill>
                            <a:srgbClr val="C3C4C4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66"/>
                                <w:ind w:left="113" w:right="0" w:firstLine="0"/>
                                <w:jc w:val="left"/>
                                <w:rPr>
                                  <w:color w:val="000000"/>
                                  <w:sz w:val="21"/>
                                </w:rPr>
                              </w:pPr>
                              <w:r>
                                <w:rPr>
                                  <w:color w:val="131413"/>
                                  <w:spacing w:val="-5"/>
                                  <w:sz w:val="21"/>
                                </w:rPr>
                                <w:t>SHORT</w:t>
                              </w:r>
                              <w:r>
                                <w:rPr>
                                  <w:color w:val="131413"/>
                                  <w:spacing w:val="-4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color w:val="131413"/>
                                  <w:spacing w:val="-2"/>
                                  <w:sz w:val="21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723"/>
                            <a:ext cx="3024505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252095">
                                <a:moveTo>
                                  <a:pt x="3023997" y="251993"/>
                                </a:moveTo>
                                <a:lnTo>
                                  <a:pt x="0" y="251993"/>
                                </a:lnTo>
                                <a:lnTo>
                                  <a:pt x="0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251993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C3C4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2642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4275" h="12700">
                                <a:moveTo>
                                  <a:pt x="6263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242"/>
                                </a:lnTo>
                                <a:lnTo>
                                  <a:pt x="6263995" y="12242"/>
                                </a:lnTo>
                                <a:lnTo>
                                  <a:pt x="6263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4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2642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4275" h="12700">
                                <a:moveTo>
                                  <a:pt x="0" y="0"/>
                                </a:moveTo>
                                <a:lnTo>
                                  <a:pt x="6263995" y="0"/>
                                </a:lnTo>
                                <a:lnTo>
                                  <a:pt x="6263995" y="12242"/>
                                </a:lnTo>
                                <a:lnTo>
                                  <a:pt x="0" y="122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>
                            <a:solidFill>
                              <a:srgbClr val="1314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23998pt;margin-top:6.551371pt;width:493.25pt;height:19.9pt;mso-position-horizontal-relative:page;mso-position-vertical-relative:paragraph;z-index:-15728640;mso-wrap-distance-left:0;mso-wrap-distance-right:0" id="docshapegroup23" coordorigin="1020,131" coordsize="9865,398">
                <v:shape style="position:absolute;left:1020;top:132;width:4763;height:397" type="#_x0000_t202" id="docshape24" filled="true" fillcolor="#c3c4c4" stroked="false">
                  <v:textbox inset="0,0,0,0">
                    <w:txbxContent>
                      <w:p>
                        <w:pPr>
                          <w:spacing w:before="66"/>
                          <w:ind w:left="113" w:right="0" w:firstLine="0"/>
                          <w:jc w:val="left"/>
                          <w:rPr>
                            <w:color w:val="000000"/>
                            <w:sz w:val="21"/>
                          </w:rPr>
                        </w:pPr>
                        <w:r>
                          <w:rPr>
                            <w:color w:val="131413"/>
                            <w:spacing w:val="-5"/>
                            <w:sz w:val="21"/>
                          </w:rPr>
                          <w:t>SHORT</w:t>
                        </w:r>
                        <w:r>
                          <w:rPr>
                            <w:color w:val="131413"/>
                            <w:spacing w:val="-4"/>
                            <w:sz w:val="21"/>
                          </w:rPr>
                          <w:t> </w:t>
                        </w:r>
                        <w:r>
                          <w:rPr>
                            <w:color w:val="131413"/>
                            <w:spacing w:val="-2"/>
                            <w:sz w:val="21"/>
                          </w:rPr>
                          <w:t>REPORT</w:t>
                        </w:r>
                      </w:p>
                    </w:txbxContent>
                  </v:textbox>
                  <v:fill type="solid"/>
                  <w10:wrap type="none"/>
                </v:shape>
                <v:rect style="position:absolute;left:1020;top:132;width:4763;height:397" id="docshape25" filled="false" stroked="true" strokeweight="0pt" strokecolor="#c3c4c4">
                  <v:stroke dashstyle="solid"/>
                </v:rect>
                <v:rect style="position:absolute;left:1020;top:131;width:9865;height:20" id="docshape26" filled="true" fillcolor="#131413" stroked="false">
                  <v:fill type="solid"/>
                </v:rect>
                <v:rect style="position:absolute;left:1020;top:131;width:9865;height:20" id="docshape27" filled="false" stroked="true" strokeweight="0pt" strokecolor="#13141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108"/>
        <w:rPr>
          <w:sz w:val="34"/>
        </w:rPr>
      </w:pPr>
    </w:p>
    <w:p>
      <w:pPr>
        <w:pStyle w:val="Title"/>
        <w:spacing w:line="232" w:lineRule="auto"/>
      </w:pPr>
      <w:r>
        <w:rPr>
          <w:color w:val="131413"/>
        </w:rPr>
        <w:t>POLG-Associated</w:t>
      </w:r>
      <w:r>
        <w:rPr>
          <w:color w:val="131413"/>
          <w:spacing w:val="40"/>
        </w:rPr>
        <w:t> </w:t>
      </w:r>
      <w:r>
        <w:rPr>
          <w:color w:val="131413"/>
        </w:rPr>
        <w:t>Ataxia</w:t>
      </w:r>
      <w:r>
        <w:rPr>
          <w:color w:val="131413"/>
          <w:spacing w:val="40"/>
        </w:rPr>
        <w:t> </w:t>
      </w:r>
      <w:r>
        <w:rPr>
          <w:color w:val="131413"/>
        </w:rPr>
        <w:t>Presenting</w:t>
      </w:r>
      <w:r>
        <w:rPr>
          <w:color w:val="131413"/>
          <w:spacing w:val="40"/>
        </w:rPr>
        <w:t> </w:t>
      </w:r>
      <w:r>
        <w:rPr>
          <w:color w:val="131413"/>
        </w:rPr>
        <w:t>as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Fragile</w:t>
      </w:r>
      <w:r>
        <w:rPr>
          <w:color w:val="131413"/>
          <w:spacing w:val="40"/>
        </w:rPr>
        <w:t> </w:t>
      </w:r>
      <w:r>
        <w:rPr>
          <w:color w:val="131413"/>
        </w:rPr>
        <w:t>X </w:t>
      </w:r>
      <w:r>
        <w:rPr>
          <w:color w:val="131413"/>
          <w:w w:val="110"/>
        </w:rPr>
        <w:t>Tremor/Ataxia</w:t>
      </w:r>
      <w:r>
        <w:rPr>
          <w:color w:val="131413"/>
          <w:spacing w:val="-10"/>
          <w:w w:val="110"/>
        </w:rPr>
        <w:t> </w:t>
      </w:r>
      <w:r>
        <w:rPr>
          <w:color w:val="131413"/>
          <w:w w:val="110"/>
        </w:rPr>
        <w:t>Phenocopy</w:t>
      </w:r>
      <w:r>
        <w:rPr>
          <w:color w:val="131413"/>
          <w:spacing w:val="-9"/>
          <w:w w:val="110"/>
        </w:rPr>
        <w:t> </w:t>
      </w:r>
      <w:r>
        <w:rPr>
          <w:color w:val="131413"/>
          <w:w w:val="110"/>
        </w:rPr>
        <w:t>Syndrome</w:t>
      </w:r>
    </w:p>
    <w:p>
      <w:pPr>
        <w:pStyle w:val="BodyText"/>
        <w:spacing w:before="103"/>
      </w:pPr>
    </w:p>
    <w:p>
      <w:pPr>
        <w:pStyle w:val="BodyText"/>
        <w:ind w:left="28"/>
        <w:rPr>
          <w:rFonts w:ascii="Arial" w:hAnsi="Arial"/>
          <w:sz w:val="16"/>
        </w:rPr>
      </w:pPr>
      <w:r>
        <w:rPr>
          <w:color w:val="131413"/>
          <w:w w:val="105"/>
        </w:rPr>
        <w:t>Martin</w:t>
      </w:r>
      <w:r>
        <w:rPr>
          <w:color w:val="131413"/>
          <w:spacing w:val="11"/>
          <w:w w:val="105"/>
        </w:rPr>
        <w:t> </w:t>
      </w:r>
      <w:r>
        <w:rPr>
          <w:color w:val="131413"/>
          <w:w w:val="105"/>
        </w:rPr>
        <w:t>Paucar</w:t>
      </w:r>
      <w:r>
        <w:rPr>
          <w:color w:val="131413"/>
          <w:w w:val="105"/>
          <w:vertAlign w:val="superscript"/>
        </w:rPr>
        <w:t>1,2</w:t>
      </w:r>
      <w:r>
        <w:rPr>
          <w:color w:val="131413"/>
          <w:spacing w:val="7"/>
          <w:w w:val="105"/>
          <w:vertAlign w:val="baseline"/>
        </w:rPr>
        <w:t> </w:t>
      </w:r>
      <w:r>
        <w:rPr>
          <w:rFonts w:ascii="Arial" w:hAnsi="Arial"/>
          <w:color w:val="131413"/>
          <w:w w:val="105"/>
          <w:sz w:val="16"/>
          <w:vertAlign w:val="baseline"/>
        </w:rPr>
        <w:t>•</w:t>
      </w:r>
      <w:r>
        <w:rPr>
          <w:rFonts w:ascii="Arial" w:hAnsi="Arial"/>
          <w:color w:val="131413"/>
          <w:spacing w:val="21"/>
          <w:w w:val="105"/>
          <w:sz w:val="16"/>
          <w:vertAlign w:val="baseline"/>
        </w:rPr>
        <w:t> </w:t>
      </w:r>
      <w:r>
        <w:rPr>
          <w:color w:val="131413"/>
          <w:w w:val="105"/>
          <w:vertAlign w:val="baseline"/>
        </w:rPr>
        <w:t>Martin</w:t>
      </w:r>
      <w:r>
        <w:rPr>
          <w:color w:val="131413"/>
          <w:spacing w:val="11"/>
          <w:w w:val="105"/>
          <w:vertAlign w:val="baseline"/>
        </w:rPr>
        <w:t> </w:t>
      </w:r>
      <w:r>
        <w:rPr>
          <w:color w:val="131413"/>
          <w:w w:val="105"/>
          <w:vertAlign w:val="baseline"/>
        </w:rPr>
        <w:t>Engvall</w:t>
      </w:r>
      <w:r>
        <w:rPr>
          <w:color w:val="131413"/>
          <w:w w:val="105"/>
          <w:vertAlign w:val="superscript"/>
        </w:rPr>
        <w:t>1,3</w:t>
      </w:r>
      <w:r>
        <w:rPr>
          <w:color w:val="131413"/>
          <w:spacing w:val="8"/>
          <w:w w:val="105"/>
          <w:vertAlign w:val="baseline"/>
        </w:rPr>
        <w:t> </w:t>
      </w:r>
      <w:r>
        <w:rPr>
          <w:rFonts w:ascii="Arial" w:hAnsi="Arial"/>
          <w:color w:val="131413"/>
          <w:w w:val="105"/>
          <w:sz w:val="16"/>
          <w:vertAlign w:val="baseline"/>
        </w:rPr>
        <w:t>•</w:t>
      </w:r>
      <w:r>
        <w:rPr>
          <w:rFonts w:ascii="Arial" w:hAnsi="Arial"/>
          <w:color w:val="131413"/>
          <w:spacing w:val="21"/>
          <w:w w:val="105"/>
          <w:sz w:val="16"/>
          <w:vertAlign w:val="baseline"/>
        </w:rPr>
        <w:t> </w:t>
      </w:r>
      <w:r>
        <w:rPr>
          <w:color w:val="131413"/>
          <w:w w:val="105"/>
          <w:vertAlign w:val="baseline"/>
        </w:rPr>
        <w:t>Lisa</w:t>
      </w:r>
      <w:r>
        <w:rPr>
          <w:color w:val="131413"/>
          <w:spacing w:val="10"/>
          <w:w w:val="105"/>
          <w:vertAlign w:val="baseline"/>
        </w:rPr>
        <w:t> </w:t>
      </w:r>
      <w:r>
        <w:rPr>
          <w:color w:val="131413"/>
          <w:w w:val="105"/>
          <w:vertAlign w:val="baseline"/>
        </w:rPr>
        <w:t>Gordon</w:t>
      </w:r>
      <w:r>
        <w:rPr>
          <w:color w:val="131413"/>
          <w:w w:val="105"/>
          <w:vertAlign w:val="superscript"/>
        </w:rPr>
        <w:t>1</w:t>
      </w:r>
      <w:r>
        <w:rPr>
          <w:color w:val="131413"/>
          <w:spacing w:val="7"/>
          <w:w w:val="105"/>
          <w:vertAlign w:val="baseline"/>
        </w:rPr>
        <w:t> </w:t>
      </w:r>
      <w:r>
        <w:rPr>
          <w:rFonts w:ascii="Arial" w:hAnsi="Arial"/>
          <w:color w:val="131413"/>
          <w:w w:val="105"/>
          <w:sz w:val="16"/>
          <w:vertAlign w:val="baseline"/>
        </w:rPr>
        <w:t>•</w:t>
      </w:r>
      <w:r>
        <w:rPr>
          <w:rFonts w:ascii="Arial" w:hAnsi="Arial"/>
          <w:color w:val="131413"/>
          <w:spacing w:val="21"/>
          <w:w w:val="105"/>
          <w:sz w:val="16"/>
          <w:vertAlign w:val="baseline"/>
        </w:rPr>
        <w:t> </w:t>
      </w:r>
      <w:r>
        <w:rPr>
          <w:color w:val="131413"/>
          <w:w w:val="105"/>
          <w:vertAlign w:val="baseline"/>
        </w:rPr>
        <w:t>Emma</w:t>
      </w:r>
      <w:r>
        <w:rPr>
          <w:color w:val="131413"/>
          <w:spacing w:val="11"/>
          <w:w w:val="105"/>
          <w:vertAlign w:val="baseline"/>
        </w:rPr>
        <w:t> </w:t>
      </w:r>
      <w:r>
        <w:rPr>
          <w:color w:val="131413"/>
          <w:w w:val="105"/>
          <w:vertAlign w:val="baseline"/>
        </w:rPr>
        <w:t>Tham</w:t>
      </w:r>
      <w:r>
        <w:rPr>
          <w:color w:val="131413"/>
          <w:spacing w:val="-29"/>
          <w:w w:val="105"/>
          <w:vertAlign w:val="baseline"/>
        </w:rPr>
        <w:t> </w:t>
      </w:r>
      <w:r>
        <w:rPr>
          <w:color w:val="131413"/>
          <w:w w:val="105"/>
          <w:vertAlign w:val="superscript"/>
        </w:rPr>
        <w:t>4,5</w:t>
      </w:r>
      <w:r>
        <w:rPr>
          <w:color w:val="131413"/>
          <w:spacing w:val="7"/>
          <w:w w:val="105"/>
          <w:vertAlign w:val="baseline"/>
        </w:rPr>
        <w:t> </w:t>
      </w:r>
      <w:r>
        <w:rPr>
          <w:rFonts w:ascii="Arial" w:hAnsi="Arial"/>
          <w:color w:val="131413"/>
          <w:spacing w:val="-10"/>
          <w:w w:val="105"/>
          <w:sz w:val="16"/>
          <w:vertAlign w:val="baseline"/>
        </w:rPr>
        <w:t>•</w:t>
      </w:r>
    </w:p>
    <w:p>
      <w:pPr>
        <w:pStyle w:val="BodyText"/>
        <w:spacing w:before="20"/>
        <w:ind w:left="28"/>
      </w:pPr>
      <w:r>
        <w:rPr>
          <w:color w:val="131413"/>
          <w:w w:val="105"/>
        </w:rPr>
        <w:t>Matthis</w:t>
      </w:r>
      <w:r>
        <w:rPr>
          <w:color w:val="131413"/>
          <w:spacing w:val="-4"/>
          <w:w w:val="105"/>
        </w:rPr>
        <w:t> </w:t>
      </w:r>
      <w:r>
        <w:rPr>
          <w:color w:val="131413"/>
          <w:w w:val="105"/>
        </w:rPr>
        <w:t>Synofzik</w:t>
      </w:r>
      <w:r>
        <w:rPr>
          <w:color w:val="131413"/>
          <w:w w:val="105"/>
          <w:vertAlign w:val="superscript"/>
        </w:rPr>
        <w:t>6,7</w:t>
      </w:r>
      <w:r>
        <w:rPr>
          <w:color w:val="131413"/>
          <w:spacing w:val="-7"/>
          <w:w w:val="105"/>
          <w:vertAlign w:val="baseline"/>
        </w:rPr>
        <w:t> </w:t>
      </w:r>
      <w:r>
        <w:rPr>
          <w:rFonts w:ascii="Arial" w:hAnsi="Arial"/>
          <w:color w:val="131413"/>
          <w:w w:val="105"/>
          <w:sz w:val="16"/>
          <w:vertAlign w:val="baseline"/>
        </w:rPr>
        <w:t>•</w:t>
      </w:r>
      <w:r>
        <w:rPr>
          <w:rFonts w:ascii="Arial" w:hAnsi="Arial"/>
          <w:color w:val="131413"/>
          <w:spacing w:val="6"/>
          <w:w w:val="105"/>
          <w:sz w:val="16"/>
          <w:vertAlign w:val="baseline"/>
        </w:rPr>
        <w:t> </w:t>
      </w:r>
      <w:r>
        <w:rPr>
          <w:color w:val="131413"/>
          <w:w w:val="105"/>
          <w:vertAlign w:val="baseline"/>
        </w:rPr>
        <w:t>Per</w:t>
      </w:r>
      <w:r>
        <w:rPr>
          <w:color w:val="131413"/>
          <w:spacing w:val="-2"/>
          <w:w w:val="105"/>
          <w:vertAlign w:val="baseline"/>
        </w:rPr>
        <w:t> Svenningsson</w:t>
      </w:r>
      <w:r>
        <w:rPr>
          <w:color w:val="131413"/>
          <w:spacing w:val="-2"/>
          <w:w w:val="105"/>
          <w:vertAlign w:val="superscript"/>
        </w:rPr>
        <w:t>1,2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6"/>
      </w:pPr>
    </w:p>
    <w:p>
      <w:pPr>
        <w:spacing w:line="187" w:lineRule="exact" w:before="0"/>
        <w:ind w:left="28" w:right="0" w:firstLine="0"/>
        <w:jc w:val="left"/>
        <w:rPr>
          <w:sz w:val="17"/>
        </w:rPr>
      </w:pPr>
      <w:bookmarkStart w:name="Abstract" w:id="2"/>
      <w:bookmarkEnd w:id="2"/>
      <w:r>
        <w:rPr/>
      </w:r>
      <w:r>
        <w:rPr>
          <w:color w:val="131413"/>
          <w:spacing w:val="-2"/>
          <w:sz w:val="17"/>
        </w:rPr>
        <w:t>Published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online: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12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April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2016</w:t>
      </w:r>
    </w:p>
    <w:p>
      <w:pPr>
        <w:spacing w:line="208" w:lineRule="exact" w:before="0"/>
        <w:ind w:left="28" w:right="0" w:firstLine="0"/>
        <w:jc w:val="left"/>
        <w:rPr>
          <w:sz w:val="17"/>
        </w:rPr>
      </w:pPr>
      <w:r>
        <w:rPr>
          <w:rFonts w:ascii="Arial"/>
          <w:color w:val="131413"/>
          <w:position w:val="2"/>
          <w:sz w:val="17"/>
        </w:rPr>
        <w:t>#</w:t>
      </w:r>
      <w:r>
        <w:rPr>
          <w:rFonts w:ascii="Arial"/>
          <w:color w:val="131413"/>
          <w:spacing w:val="-12"/>
          <w:position w:val="2"/>
          <w:sz w:val="17"/>
        </w:rPr>
        <w:t> </w:t>
      </w:r>
      <w:r>
        <w:rPr>
          <w:color w:val="131413"/>
          <w:sz w:val="17"/>
        </w:rPr>
        <w:t>Springer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Science+Business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Media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New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York</w:t>
      </w:r>
      <w:r>
        <w:rPr>
          <w:color w:val="131413"/>
          <w:spacing w:val="-10"/>
          <w:sz w:val="17"/>
        </w:rPr>
        <w:t> </w:t>
      </w:r>
      <w:r>
        <w:rPr>
          <w:color w:val="131413"/>
          <w:spacing w:val="-4"/>
          <w:sz w:val="17"/>
        </w:rPr>
        <w:t>2016</w:t>
      </w:r>
    </w:p>
    <w:p>
      <w:pPr>
        <w:pStyle w:val="BodyText"/>
        <w:spacing w:before="2"/>
        <w:rPr>
          <w:sz w:val="15"/>
        </w:rPr>
      </w:pPr>
    </w:p>
    <w:p>
      <w:pPr>
        <w:pStyle w:val="BodyText"/>
        <w:spacing w:after="0"/>
        <w:rPr>
          <w:sz w:val="15"/>
        </w:rPr>
        <w:sectPr>
          <w:headerReference w:type="even" r:id="rId5"/>
          <w:headerReference w:type="default" r:id="rId6"/>
          <w:footerReference w:type="even" r:id="rId7"/>
          <w:footerReference w:type="default" r:id="rId8"/>
          <w:type w:val="continuous"/>
          <w:pgSz w:w="11910" w:h="15820"/>
          <w:pgMar w:header="629" w:footer="972" w:top="820" w:bottom="1160" w:left="992" w:right="992"/>
          <w:pgNumType w:start="632"/>
        </w:sectPr>
      </w:pPr>
    </w:p>
    <w:p>
      <w:pPr>
        <w:pStyle w:val="BodyText"/>
        <w:spacing w:line="259" w:lineRule="auto" w:before="89"/>
        <w:ind w:left="28"/>
        <w:jc w:val="both"/>
      </w:pPr>
      <w:r>
        <w:rPr>
          <w:color w:val="131413"/>
        </w:rPr>
        <w:t>Abstract Hyperintensities in the middle cerebellar pe- duncles</w:t>
      </w:r>
      <w:r>
        <w:rPr>
          <w:color w:val="131413"/>
          <w:spacing w:val="40"/>
        </w:rPr>
        <w:t> </w:t>
      </w:r>
      <w:r>
        <w:rPr>
          <w:color w:val="131413"/>
        </w:rPr>
        <w:t>(MCP),</w:t>
      </w:r>
      <w:r>
        <w:rPr>
          <w:color w:val="131413"/>
          <w:spacing w:val="40"/>
        </w:rPr>
        <w:t> </w:t>
      </w:r>
      <w:r>
        <w:rPr>
          <w:color w:val="131413"/>
        </w:rPr>
        <w:t>known</w:t>
      </w:r>
      <w:r>
        <w:rPr>
          <w:color w:val="131413"/>
          <w:spacing w:val="40"/>
        </w:rPr>
        <w:t> </w:t>
      </w:r>
      <w:r>
        <w:rPr>
          <w:color w:val="131413"/>
        </w:rPr>
        <w:t>as</w:t>
      </w:r>
      <w:r>
        <w:rPr>
          <w:color w:val="131413"/>
          <w:spacing w:val="4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MCP</w:t>
      </w:r>
      <w:r>
        <w:rPr>
          <w:color w:val="131413"/>
          <w:spacing w:val="40"/>
        </w:rPr>
        <w:t> </w:t>
      </w:r>
      <w:r>
        <w:rPr>
          <w:color w:val="131413"/>
        </w:rPr>
        <w:t>sign,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0"/>
        </w:rPr>
        <w:t> </w:t>
      </w:r>
      <w:r>
        <w:rPr>
          <w:color w:val="131413"/>
        </w:rPr>
        <w:t>progres- sive late-onset ataxia constitute major characteristics of</w:t>
      </w:r>
      <w:r>
        <w:rPr>
          <w:color w:val="131413"/>
          <w:spacing w:val="80"/>
          <w:w w:val="150"/>
        </w:rPr>
        <w:t> </w:t>
      </w:r>
      <w:r>
        <w:rPr>
          <w:color w:val="131413"/>
        </w:rPr>
        <w:t>the</w:t>
      </w:r>
      <w:r>
        <w:rPr>
          <w:color w:val="131413"/>
          <w:spacing w:val="40"/>
        </w:rPr>
        <w:t> </w:t>
      </w:r>
      <w:r>
        <w:rPr>
          <w:color w:val="131413"/>
        </w:rPr>
        <w:t>fragile</w:t>
      </w:r>
      <w:r>
        <w:rPr>
          <w:color w:val="131413"/>
          <w:spacing w:val="40"/>
        </w:rPr>
        <w:t> </w:t>
      </w:r>
      <w:r>
        <w:rPr>
          <w:color w:val="131413"/>
        </w:rPr>
        <w:t>X</w:t>
      </w:r>
      <w:r>
        <w:rPr>
          <w:color w:val="131413"/>
          <w:spacing w:val="40"/>
        </w:rPr>
        <w:t> </w:t>
      </w:r>
      <w:r>
        <w:rPr>
          <w:color w:val="131413"/>
        </w:rPr>
        <w:t>tremor/ataxia</w:t>
      </w:r>
      <w:r>
        <w:rPr>
          <w:color w:val="131413"/>
          <w:spacing w:val="40"/>
        </w:rPr>
        <w:t> </w:t>
      </w:r>
      <w:r>
        <w:rPr>
          <w:color w:val="131413"/>
        </w:rPr>
        <w:t>syndrome</w:t>
      </w:r>
      <w:r>
        <w:rPr>
          <w:color w:val="131413"/>
          <w:spacing w:val="40"/>
        </w:rPr>
        <w:t> </w:t>
      </w:r>
      <w:r>
        <w:rPr>
          <w:color w:val="131413"/>
        </w:rPr>
        <w:t>(FXTAS).</w:t>
      </w:r>
      <w:r>
        <w:rPr>
          <w:color w:val="131413"/>
          <w:spacing w:val="40"/>
        </w:rPr>
        <w:t> </w:t>
      </w:r>
      <w:r>
        <w:rPr>
          <w:color w:val="131413"/>
        </w:rPr>
        <w:t>Here, we</w:t>
      </w:r>
      <w:r>
        <w:rPr>
          <w:color w:val="131413"/>
          <w:spacing w:val="40"/>
        </w:rPr>
        <w:t> </w:t>
      </w:r>
      <w:r>
        <w:rPr>
          <w:color w:val="131413"/>
        </w:rPr>
        <w:t>describe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60-year-old</w:t>
      </w:r>
      <w:r>
        <w:rPr>
          <w:color w:val="131413"/>
          <w:spacing w:val="40"/>
        </w:rPr>
        <w:t> </w:t>
      </w:r>
      <w:r>
        <w:rPr>
          <w:color w:val="131413"/>
        </w:rPr>
        <w:t>male</w:t>
      </w:r>
      <w:r>
        <w:rPr>
          <w:color w:val="131413"/>
          <w:spacing w:val="40"/>
        </w:rPr>
        <w:t> </w:t>
      </w:r>
      <w:r>
        <w:rPr>
          <w:color w:val="131413"/>
        </w:rPr>
        <w:t>affected</w:t>
      </w:r>
      <w:r>
        <w:rPr>
          <w:color w:val="131413"/>
          <w:spacing w:val="40"/>
        </w:rPr>
        <w:t> </w:t>
      </w:r>
      <w:r>
        <w:rPr>
          <w:color w:val="131413"/>
        </w:rPr>
        <w:t>by</w:t>
      </w:r>
      <w:r>
        <w:rPr>
          <w:color w:val="131413"/>
          <w:spacing w:val="40"/>
        </w:rPr>
        <w:t> </w:t>
      </w:r>
      <w:r>
        <w:rPr>
          <w:color w:val="131413"/>
        </w:rPr>
        <w:t>ataxia</w:t>
      </w:r>
      <w:r>
        <w:rPr>
          <w:color w:val="131413"/>
          <w:spacing w:val="40"/>
        </w:rPr>
        <w:t> </w:t>
      </w:r>
      <w:r>
        <w:rPr>
          <w:color w:val="131413"/>
        </w:rPr>
        <w:t>due to biallelic mutations in the mitochondrial polymerase gamma (POLG) gene in which hyperintensities of the middle cerebellar peduncles (MCP) were found. The</w:t>
      </w:r>
      <w:r>
        <w:rPr>
          <w:color w:val="131413"/>
          <w:spacing w:val="80"/>
        </w:rPr>
        <w:t> </w:t>
      </w:r>
      <w:r>
        <w:rPr>
          <w:color w:val="131413"/>
        </w:rPr>
        <w:t>initial</w:t>
      </w:r>
      <w:r>
        <w:rPr>
          <w:color w:val="131413"/>
          <w:spacing w:val="40"/>
        </w:rPr>
        <w:t> </w:t>
      </w:r>
      <w:r>
        <w:rPr>
          <w:color w:val="131413"/>
        </w:rPr>
        <w:t>suspicion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FXTAS</w:t>
      </w:r>
      <w:r>
        <w:rPr>
          <w:color w:val="131413"/>
          <w:spacing w:val="40"/>
        </w:rPr>
        <w:t> </w:t>
      </w:r>
      <w:r>
        <w:rPr>
          <w:color w:val="131413"/>
        </w:rPr>
        <w:t>was</w:t>
      </w:r>
      <w:r>
        <w:rPr>
          <w:color w:val="131413"/>
          <w:spacing w:val="40"/>
        </w:rPr>
        <w:t> </w:t>
      </w:r>
      <w:r>
        <w:rPr>
          <w:color w:val="131413"/>
        </w:rPr>
        <w:t>however</w:t>
      </w:r>
      <w:r>
        <w:rPr>
          <w:color w:val="131413"/>
          <w:spacing w:val="40"/>
        </w:rPr>
        <w:t> </w:t>
      </w:r>
      <w:r>
        <w:rPr>
          <w:color w:val="131413"/>
        </w:rPr>
        <w:t>ruled</w:t>
      </w:r>
      <w:r>
        <w:rPr>
          <w:color w:val="131413"/>
          <w:spacing w:val="40"/>
        </w:rPr>
        <w:t> </w:t>
      </w:r>
      <w:r>
        <w:rPr>
          <w:color w:val="131413"/>
        </w:rPr>
        <w:t>out</w:t>
      </w:r>
      <w:r>
        <w:rPr>
          <w:color w:val="131413"/>
          <w:spacing w:val="40"/>
        </w:rPr>
        <w:t> </w:t>
      </w:r>
      <w:r>
        <w:rPr>
          <w:color w:val="131413"/>
        </w:rPr>
        <w:t>by</w:t>
      </w:r>
      <w:r>
        <w:rPr>
          <w:color w:val="131413"/>
          <w:spacing w:val="80"/>
        </w:rPr>
        <w:t> </w:t>
      </w:r>
      <w:r>
        <w:rPr>
          <w:color w:val="131413"/>
        </w:rPr>
        <w:t>a normal CGG expansion size in the </w:t>
      </w:r>
      <w:r>
        <w:rPr>
          <w:i/>
          <w:color w:val="131413"/>
        </w:rPr>
        <w:t>FMR1 </w:t>
      </w:r>
      <w:r>
        <w:rPr>
          <w:color w:val="131413"/>
        </w:rPr>
        <w:t>gene. We discuss the features of late-onset POLG-A as a pheno-</w:t>
      </w:r>
      <w:r>
        <w:rPr>
          <w:color w:val="131413"/>
          <w:spacing w:val="40"/>
        </w:rPr>
        <w:t> </w:t>
      </w:r>
      <w:r>
        <w:rPr>
          <w:color w:val="131413"/>
        </w:rPr>
        <w:t>copy</w:t>
      </w:r>
      <w:r>
        <w:rPr>
          <w:color w:val="131413"/>
          <w:spacing w:val="40"/>
        </w:rPr>
        <w:t> </w:t>
      </w:r>
      <w:r>
        <w:rPr>
          <w:color w:val="131413"/>
        </w:rPr>
        <w:t>of</w:t>
      </w:r>
      <w:r>
        <w:rPr>
          <w:color w:val="131413"/>
          <w:spacing w:val="40"/>
        </w:rPr>
        <w:t> </w:t>
      </w:r>
      <w:r>
        <w:rPr>
          <w:color w:val="131413"/>
        </w:rPr>
        <w:t>FXTAS.</w:t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28"/>
        <w:jc w:val="both"/>
      </w:pPr>
      <w:r>
        <w:rPr>
          <w:color w:val="131413"/>
        </w:rPr>
        <w:t>Keywords</w:t>
      </w:r>
      <w:r>
        <w:rPr>
          <w:color w:val="131413"/>
          <w:spacing w:val="6"/>
        </w:rPr>
        <w:t> </w:t>
      </w:r>
      <w:r>
        <w:rPr>
          <w:color w:val="131413"/>
        </w:rPr>
        <w:t>FXTAS</w:t>
      </w:r>
      <w:r>
        <w:rPr>
          <w:color w:val="131413"/>
          <w:spacing w:val="5"/>
        </w:rPr>
        <w:t> </w:t>
      </w:r>
      <w:r>
        <w:rPr>
          <w:color w:val="131413"/>
          <w:position w:val="4"/>
        </w:rPr>
        <w:t>.</w:t>
      </w:r>
      <w:r>
        <w:rPr>
          <w:color w:val="131413"/>
          <w:spacing w:val="-14"/>
          <w:position w:val="4"/>
        </w:rPr>
        <w:t> </w:t>
      </w:r>
      <w:r>
        <w:rPr>
          <w:color w:val="131413"/>
        </w:rPr>
        <w:t>POLG</w:t>
      </w:r>
      <w:r>
        <w:rPr>
          <w:color w:val="131413"/>
          <w:spacing w:val="5"/>
        </w:rPr>
        <w:t> </w:t>
      </w:r>
      <w:r>
        <w:rPr>
          <w:color w:val="131413"/>
          <w:position w:val="4"/>
        </w:rPr>
        <w:t>.</w:t>
      </w:r>
      <w:r>
        <w:rPr>
          <w:color w:val="131413"/>
          <w:spacing w:val="-14"/>
          <w:position w:val="4"/>
        </w:rPr>
        <w:t> </w:t>
      </w:r>
      <w:r>
        <w:rPr>
          <w:color w:val="131413"/>
        </w:rPr>
        <w:t>MCP</w:t>
      </w:r>
      <w:r>
        <w:rPr>
          <w:color w:val="131413"/>
          <w:spacing w:val="-14"/>
        </w:rPr>
        <w:t> </w:t>
      </w:r>
      <w:r>
        <w:rPr>
          <w:color w:val="131413"/>
          <w:spacing w:val="-4"/>
        </w:rPr>
        <w:t>sign</w:t>
      </w:r>
    </w:p>
    <w:p>
      <w:pPr>
        <w:pStyle w:val="BodyText"/>
      </w:pPr>
    </w:p>
    <w:p>
      <w:pPr>
        <w:pStyle w:val="BodyText"/>
        <w:spacing w:before="8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648004</wp:posOffset>
                </wp:positionH>
                <wp:positionV relativeFrom="paragraph">
                  <wp:posOffset>212271</wp:posOffset>
                </wp:positionV>
                <wp:extent cx="3024505" cy="6985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024505" cy="6985"/>
                          <a:chExt cx="3024505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30245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6985">
                                <a:moveTo>
                                  <a:pt x="30239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023997" y="6476"/>
                                </a:lnTo>
                                <a:lnTo>
                                  <a:pt x="3023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141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02450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4505" h="6985">
                                <a:moveTo>
                                  <a:pt x="3023997" y="6476"/>
                                </a:moveTo>
                                <a:lnTo>
                                  <a:pt x="0" y="6476"/>
                                </a:lnTo>
                                <a:lnTo>
                                  <a:pt x="0" y="0"/>
                                </a:lnTo>
                                <a:lnTo>
                                  <a:pt x="3023997" y="0"/>
                                </a:lnTo>
                                <a:lnTo>
                                  <a:pt x="3023997" y="6476"/>
                                </a:lnTo>
                              </a:path>
                            </a:pathLst>
                          </a:custGeom>
                          <a:ln w="0">
                            <a:solidFill>
                              <a:srgbClr val="1314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24002pt;margin-top:16.714304pt;width:238.15pt;height:.550pt;mso-position-horizontal-relative:page;mso-position-vertical-relative:paragraph;z-index:-15728128;mso-wrap-distance-left:0;mso-wrap-distance-right:0" id="docshapegroup28" coordorigin="1020,334" coordsize="4763,11">
                <v:rect style="position:absolute;left:1020;top:334;width:4763;height:11" id="docshape29" filled="true" fillcolor="#131413" stroked="false">
                  <v:fill type="solid"/>
                </v:rect>
                <v:rect style="position:absolute;left:1020;top:334;width:4763;height:11" id="docshape30" filled="false" stroked="true" strokeweight="0pt" strokecolor="#131413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199"/>
        <w:ind w:left="28" w:right="0" w:firstLine="0"/>
        <w:jc w:val="left"/>
        <w:rPr>
          <w:sz w:val="17"/>
        </w:rPr>
      </w:pPr>
      <w:r>
        <w:rPr>
          <w:rFonts w:ascii="Arial"/>
          <w:color w:val="131413"/>
          <w:spacing w:val="-2"/>
          <w:w w:val="250"/>
          <w:sz w:val="17"/>
        </w:rPr>
        <w:t>*</w:t>
      </w:r>
      <w:r>
        <w:rPr>
          <w:rFonts w:ascii="Arial"/>
          <w:color w:val="131413"/>
          <w:spacing w:val="-22"/>
          <w:w w:val="250"/>
          <w:sz w:val="17"/>
        </w:rPr>
        <w:t> </w:t>
      </w:r>
      <w:r>
        <w:rPr>
          <w:color w:val="131413"/>
          <w:spacing w:val="-2"/>
          <w:w w:val="110"/>
          <w:sz w:val="17"/>
        </w:rPr>
        <w:t>Martin</w:t>
      </w:r>
      <w:r>
        <w:rPr>
          <w:color w:val="131413"/>
          <w:spacing w:val="-10"/>
          <w:w w:val="110"/>
          <w:sz w:val="17"/>
        </w:rPr>
        <w:t> </w:t>
      </w:r>
      <w:r>
        <w:rPr>
          <w:color w:val="131413"/>
          <w:spacing w:val="-2"/>
          <w:w w:val="110"/>
          <w:sz w:val="17"/>
        </w:rPr>
        <w:t>Paucar</w:t>
      </w:r>
    </w:p>
    <w:p>
      <w:pPr>
        <w:spacing w:before="4"/>
        <w:ind w:left="338" w:right="0" w:firstLine="0"/>
        <w:jc w:val="left"/>
        <w:rPr>
          <w:sz w:val="17"/>
        </w:rPr>
      </w:pPr>
      <w:hyperlink r:id="rId17">
        <w:r>
          <w:rPr>
            <w:color w:val="131413"/>
            <w:spacing w:val="-5"/>
            <w:sz w:val="17"/>
          </w:rPr>
          <w:t>martin.paucar-</w:t>
        </w:r>
        <w:r>
          <w:rPr>
            <w:color w:val="131413"/>
            <w:spacing w:val="-2"/>
            <w:sz w:val="17"/>
          </w:rPr>
          <w:t>arce@karolinska.se</w:t>
        </w:r>
      </w:hyperlink>
    </w:p>
    <w:p>
      <w:pPr>
        <w:pStyle w:val="BodyText"/>
        <w:rPr>
          <w:sz w:val="17"/>
        </w:rPr>
      </w:pPr>
    </w:p>
    <w:p>
      <w:pPr>
        <w:pStyle w:val="BodyText"/>
        <w:spacing w:before="31"/>
        <w:rPr>
          <w:sz w:val="17"/>
        </w:rPr>
      </w:pPr>
    </w:p>
    <w:p>
      <w:pPr>
        <w:tabs>
          <w:tab w:pos="309" w:val="left" w:leader="none"/>
        </w:tabs>
        <w:spacing w:line="244" w:lineRule="auto" w:before="0"/>
        <w:ind w:left="309" w:right="620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1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4"/>
          <w:sz w:val="17"/>
          <w:vertAlign w:val="baseline"/>
        </w:rPr>
        <w:t>Department of Neurology, Karolinska University Hospital,</w:t>
      </w:r>
      <w:r>
        <w:rPr>
          <w:color w:val="131413"/>
          <w:sz w:val="17"/>
          <w:vertAlign w:val="baseline"/>
        </w:rPr>
        <w:t> Stockholm, Sweden</w:t>
      </w:r>
    </w:p>
    <w:p>
      <w:pPr>
        <w:tabs>
          <w:tab w:pos="309" w:val="left" w:leader="none"/>
        </w:tabs>
        <w:spacing w:line="244" w:lineRule="auto" w:before="99"/>
        <w:ind w:left="309" w:right="620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2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4"/>
          <w:sz w:val="17"/>
          <w:vertAlign w:val="baseline"/>
        </w:rPr>
        <w:t>Department of Clinical Neuroscience, Karolinska Institutet,</w:t>
      </w:r>
      <w:r>
        <w:rPr>
          <w:color w:val="131413"/>
          <w:sz w:val="17"/>
          <w:vertAlign w:val="baseline"/>
        </w:rPr>
        <w:t> Stockholm, Sweden</w:t>
      </w:r>
    </w:p>
    <w:p>
      <w:pPr>
        <w:tabs>
          <w:tab w:pos="309" w:val="left" w:leader="none"/>
        </w:tabs>
        <w:spacing w:line="244" w:lineRule="auto" w:before="99"/>
        <w:ind w:left="309" w:right="263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3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2"/>
          <w:sz w:val="17"/>
          <w:vertAlign w:val="baseline"/>
        </w:rPr>
        <w:t>Center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for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Inherited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Metabolic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Disorders,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Karolinska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University </w:t>
      </w:r>
      <w:r>
        <w:rPr>
          <w:color w:val="131413"/>
          <w:sz w:val="17"/>
          <w:vertAlign w:val="baseline"/>
        </w:rPr>
        <w:t>Hospital, Stockholm, Sweden</w:t>
      </w:r>
    </w:p>
    <w:p>
      <w:pPr>
        <w:tabs>
          <w:tab w:pos="309" w:val="left" w:leader="none"/>
        </w:tabs>
        <w:spacing w:line="244" w:lineRule="auto" w:before="100"/>
        <w:ind w:left="309" w:right="184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4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2"/>
          <w:sz w:val="17"/>
          <w:vertAlign w:val="baseline"/>
        </w:rPr>
        <w:t>Department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of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Clinical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Genetics,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Karolinska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University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Hospital, </w:t>
      </w:r>
      <w:r>
        <w:rPr>
          <w:color w:val="131413"/>
          <w:sz w:val="17"/>
          <w:vertAlign w:val="baseline"/>
        </w:rPr>
        <w:t>Stockholm, Sweden</w:t>
      </w:r>
    </w:p>
    <w:p>
      <w:pPr>
        <w:tabs>
          <w:tab w:pos="309" w:val="left" w:leader="none"/>
        </w:tabs>
        <w:spacing w:line="244" w:lineRule="auto" w:before="99"/>
        <w:ind w:left="309" w:right="517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5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2"/>
          <w:sz w:val="17"/>
          <w:vertAlign w:val="baseline"/>
        </w:rPr>
        <w:t>Department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of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Molecular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Medicine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and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Surgery,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Karolinska </w:t>
      </w:r>
      <w:r>
        <w:rPr>
          <w:color w:val="131413"/>
          <w:sz w:val="17"/>
          <w:vertAlign w:val="baseline"/>
        </w:rPr>
        <w:t>Institutet, Stockholm, Sweden</w:t>
      </w:r>
    </w:p>
    <w:p>
      <w:pPr>
        <w:tabs>
          <w:tab w:pos="309" w:val="left" w:leader="none"/>
        </w:tabs>
        <w:spacing w:line="244" w:lineRule="auto" w:before="99"/>
        <w:ind w:left="309" w:right="329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6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2"/>
          <w:sz w:val="17"/>
          <w:vertAlign w:val="baseline"/>
        </w:rPr>
        <w:t>Department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of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Neurodegenerative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Diseases,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Hertie</w:t>
      </w:r>
      <w:r>
        <w:rPr>
          <w:color w:val="131413"/>
          <w:spacing w:val="-9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Institute</w:t>
      </w:r>
      <w:r>
        <w:rPr>
          <w:color w:val="131413"/>
          <w:spacing w:val="-8"/>
          <w:sz w:val="17"/>
          <w:vertAlign w:val="baseline"/>
        </w:rPr>
        <w:t> </w:t>
      </w:r>
      <w:r>
        <w:rPr>
          <w:color w:val="131413"/>
          <w:spacing w:val="-2"/>
          <w:sz w:val="17"/>
          <w:vertAlign w:val="baseline"/>
        </w:rPr>
        <w:t>for </w:t>
      </w:r>
      <w:r>
        <w:rPr>
          <w:color w:val="131413"/>
          <w:sz w:val="17"/>
          <w:vertAlign w:val="baseline"/>
        </w:rPr>
        <w:t>Clinical Brain Research, Tübingen, Germany</w:t>
      </w:r>
    </w:p>
    <w:p>
      <w:pPr>
        <w:tabs>
          <w:tab w:pos="309" w:val="left" w:leader="none"/>
        </w:tabs>
        <w:spacing w:line="244" w:lineRule="auto" w:before="100"/>
        <w:ind w:left="309" w:right="707" w:hanging="282"/>
        <w:jc w:val="left"/>
        <w:rPr>
          <w:sz w:val="17"/>
        </w:rPr>
      </w:pPr>
      <w:r>
        <w:rPr>
          <w:color w:val="131413"/>
          <w:spacing w:val="-10"/>
          <w:sz w:val="17"/>
          <w:vertAlign w:val="superscript"/>
        </w:rPr>
        <w:t>7</w:t>
      </w:r>
      <w:r>
        <w:rPr>
          <w:color w:val="131413"/>
          <w:sz w:val="17"/>
          <w:vertAlign w:val="baseline"/>
        </w:rPr>
        <w:tab/>
      </w:r>
      <w:r>
        <w:rPr>
          <w:color w:val="131413"/>
          <w:spacing w:val="-4"/>
          <w:sz w:val="17"/>
          <w:vertAlign w:val="baseline"/>
        </w:rPr>
        <w:t>German Center for Neurodegenerative Diseases (DZNE),</w:t>
      </w:r>
      <w:r>
        <w:rPr>
          <w:color w:val="131413"/>
          <w:sz w:val="17"/>
          <w:vertAlign w:val="baseline"/>
        </w:rPr>
        <w:t> Tübingen, Germany</w:t>
      </w:r>
    </w:p>
    <w:p>
      <w:pPr>
        <w:pStyle w:val="BodyText"/>
        <w:spacing w:before="89"/>
        <w:ind w:left="28"/>
      </w:pPr>
      <w:r>
        <w:rPr/>
        <w:br w:type="column"/>
      </w:r>
      <w:r>
        <w:rPr>
          <w:color w:val="131413"/>
          <w:spacing w:val="-2"/>
          <w:w w:val="105"/>
        </w:rPr>
        <w:t>Abbreviations</w:t>
      </w:r>
    </w:p>
    <w:p>
      <w:pPr>
        <w:pStyle w:val="BodyText"/>
        <w:tabs>
          <w:tab w:pos="964" w:val="left" w:leader="none"/>
        </w:tabs>
        <w:spacing w:line="259" w:lineRule="auto" w:before="20"/>
        <w:ind w:left="28" w:right="1215"/>
      </w:pPr>
      <w:r>
        <w:rPr>
          <w:color w:val="131413"/>
          <w:spacing w:val="-4"/>
        </w:rPr>
        <w:t>FXTAS</w:t>
      </w:r>
      <w:r>
        <w:rPr>
          <w:color w:val="131413"/>
        </w:rPr>
        <w:tab/>
      </w:r>
      <w:r>
        <w:rPr>
          <w:color w:val="131413"/>
          <w:spacing w:val="-2"/>
        </w:rPr>
        <w:t>Fragile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X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tremor/ataxia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syndrome POLG-A</w:t>
      </w:r>
      <w:r>
        <w:rPr>
          <w:color w:val="131413"/>
        </w:rPr>
        <w:tab/>
        <w:t>POLG-associated ataxia</w:t>
      </w:r>
    </w:p>
    <w:p>
      <w:pPr>
        <w:pStyle w:val="BodyText"/>
        <w:tabs>
          <w:tab w:pos="964" w:val="left" w:leader="none"/>
        </w:tabs>
        <w:spacing w:line="259" w:lineRule="auto" w:before="1"/>
        <w:ind w:left="28" w:right="1660"/>
      </w:pPr>
      <w:r>
        <w:rPr>
          <w:color w:val="131413"/>
          <w:spacing w:val="-4"/>
        </w:rPr>
        <w:t>MCP</w:t>
      </w:r>
      <w:r>
        <w:rPr>
          <w:color w:val="131413"/>
        </w:rPr>
        <w:tab/>
      </w:r>
      <w:r>
        <w:rPr>
          <w:color w:val="131413"/>
          <w:spacing w:val="-4"/>
        </w:rPr>
        <w:t>Middle cerebellar peduncles MSA</w:t>
      </w:r>
      <w:r>
        <w:rPr>
          <w:color w:val="131413"/>
        </w:rPr>
        <w:tab/>
        <w:t>Multiple system atrophy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Heading1"/>
      </w:pPr>
      <w:bookmarkStart w:name="Background" w:id="3"/>
      <w:bookmarkEnd w:id="3"/>
      <w:r>
        <w:rPr/>
      </w:r>
      <w:r>
        <w:rPr>
          <w:color w:val="131413"/>
          <w:spacing w:val="-2"/>
          <w:w w:val="105"/>
        </w:rPr>
        <w:t>Background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59" w:lineRule="auto"/>
        <w:ind w:left="28" w:right="11"/>
        <w:jc w:val="both"/>
      </w:pPr>
      <w:r>
        <w:rPr>
          <w:color w:val="131413"/>
        </w:rPr>
        <w:t>Pathological</w:t>
      </w:r>
      <w:r>
        <w:rPr>
          <w:color w:val="131413"/>
          <w:spacing w:val="-3"/>
        </w:rPr>
        <w:t> </w:t>
      </w:r>
      <w:r>
        <w:rPr>
          <w:color w:val="131413"/>
        </w:rPr>
        <w:t>CGG</w:t>
      </w:r>
      <w:r>
        <w:rPr>
          <w:color w:val="131413"/>
          <w:spacing w:val="-4"/>
        </w:rPr>
        <w:t> </w:t>
      </w:r>
      <w:r>
        <w:rPr>
          <w:color w:val="131413"/>
        </w:rPr>
        <w:t>expansions</w:t>
      </w:r>
      <w:r>
        <w:rPr>
          <w:color w:val="131413"/>
          <w:spacing w:val="-4"/>
        </w:rPr>
        <w:t> </w:t>
      </w:r>
      <w:r>
        <w:rPr>
          <w:color w:val="131413"/>
        </w:rPr>
        <w:t>in</w:t>
      </w:r>
      <w:r>
        <w:rPr>
          <w:color w:val="131413"/>
          <w:spacing w:val="-4"/>
        </w:rPr>
        <w:t> </w:t>
      </w:r>
      <w:r>
        <w:rPr>
          <w:color w:val="131413"/>
        </w:rPr>
        <w:t>exon</w:t>
      </w:r>
      <w:r>
        <w:rPr>
          <w:color w:val="131413"/>
          <w:spacing w:val="-4"/>
        </w:rPr>
        <w:t> </w:t>
      </w:r>
      <w:r>
        <w:rPr>
          <w:color w:val="131413"/>
        </w:rPr>
        <w:t>1</w:t>
      </w:r>
      <w:r>
        <w:rPr>
          <w:color w:val="131413"/>
          <w:spacing w:val="-3"/>
        </w:rPr>
        <w:t> </w:t>
      </w:r>
      <w:r>
        <w:rPr>
          <w:color w:val="131413"/>
        </w:rPr>
        <w:t>of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3"/>
        </w:rPr>
        <w:t> </w:t>
      </w:r>
      <w:r>
        <w:rPr>
          <w:i/>
          <w:color w:val="131413"/>
        </w:rPr>
        <w:t>FMR1</w:t>
      </w:r>
      <w:r>
        <w:rPr>
          <w:i/>
          <w:color w:val="131413"/>
          <w:spacing w:val="-4"/>
        </w:rPr>
        <w:t> </w:t>
      </w:r>
      <w:r>
        <w:rPr>
          <w:color w:val="131413"/>
        </w:rPr>
        <w:t>cause three different phenotypes: fragile X syndrome, fragile X </w:t>
      </w:r>
      <w:r>
        <w:rPr>
          <w:color w:val="131413"/>
          <w:spacing w:val="-4"/>
        </w:rPr>
        <w:t>tremor/ataxia syndrome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(FXTAS),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and </w:t>
      </w:r>
      <w:r>
        <w:rPr>
          <w:i/>
          <w:color w:val="131413"/>
          <w:spacing w:val="-4"/>
        </w:rPr>
        <w:t>FMR1</w:t>
      </w:r>
      <w:r>
        <w:rPr>
          <w:color w:val="131413"/>
          <w:spacing w:val="-4"/>
        </w:rPr>
        <w:t>-related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primary ovarian insufficiency (POI). Mutations in the catalytic subunit </w:t>
      </w:r>
      <w:r>
        <w:rPr>
          <w:color w:val="131413"/>
        </w:rPr>
        <w:t>of mitochondrial DNA polymerase gamma (POLG) are the </w:t>
      </w:r>
      <w:r>
        <w:rPr>
          <w:color w:val="131413"/>
          <w:spacing w:val="10"/>
        </w:rPr>
        <w:t>most</w:t>
      </w:r>
      <w:r>
        <w:rPr>
          <w:color w:val="131413"/>
          <w:spacing w:val="10"/>
        </w:rPr>
        <w:t> </w:t>
      </w:r>
      <w:r>
        <w:rPr>
          <w:color w:val="131413"/>
          <w:spacing w:val="11"/>
        </w:rPr>
        <w:t>common</w:t>
      </w:r>
      <w:r>
        <w:rPr>
          <w:color w:val="131413"/>
          <w:spacing w:val="11"/>
        </w:rPr>
        <w:t> cause</w:t>
      </w:r>
      <w:r>
        <w:rPr>
          <w:color w:val="131413"/>
          <w:spacing w:val="11"/>
        </w:rPr>
        <w:t> </w:t>
      </w:r>
      <w:r>
        <w:rPr>
          <w:color w:val="131413"/>
        </w:rPr>
        <w:t>of </w:t>
      </w:r>
      <w:r>
        <w:rPr>
          <w:color w:val="131413"/>
          <w:spacing w:val="12"/>
        </w:rPr>
        <w:t>mitochondrial</w:t>
      </w:r>
      <w:r>
        <w:rPr>
          <w:color w:val="131413"/>
          <w:spacing w:val="12"/>
        </w:rPr>
        <w:t> disease</w:t>
      </w:r>
      <w:r>
        <w:rPr>
          <w:color w:val="131413"/>
          <w:spacing w:val="12"/>
        </w:rPr>
        <w:t> </w:t>
      </w:r>
      <w:r>
        <w:rPr>
          <w:color w:val="131413"/>
          <w:spacing w:val="14"/>
        </w:rPr>
        <w:t>[</w:t>
      </w:r>
      <w:hyperlink w:history="true" w:anchor="_bookmark1">
        <w:r>
          <w:rPr>
            <w:color w:val="3A2A97"/>
            <w:spacing w:val="14"/>
          </w:rPr>
          <w:t>1</w:t>
        </w:r>
      </w:hyperlink>
      <w:r>
        <w:rPr>
          <w:color w:val="131413"/>
          <w:spacing w:val="14"/>
        </w:rPr>
        <w:t>]. </w:t>
      </w:r>
      <w:r>
        <w:rPr>
          <w:color w:val="131413"/>
        </w:rPr>
        <w:t>Hyperintensities in the middle cerebellar peduncles (MCP) on</w:t>
      </w:r>
      <w:r>
        <w:rPr>
          <w:color w:val="131413"/>
          <w:spacing w:val="-4"/>
        </w:rPr>
        <w:t> </w:t>
      </w:r>
      <w:r>
        <w:rPr>
          <w:color w:val="131413"/>
        </w:rPr>
        <w:t>T2</w:t>
      </w:r>
      <w:r>
        <w:rPr>
          <w:color w:val="131413"/>
          <w:spacing w:val="-3"/>
        </w:rPr>
        <w:t> </w:t>
      </w:r>
      <w:r>
        <w:rPr>
          <w:color w:val="131413"/>
        </w:rPr>
        <w:t>sequences</w:t>
      </w:r>
      <w:r>
        <w:rPr>
          <w:color w:val="131413"/>
          <w:spacing w:val="-4"/>
        </w:rPr>
        <w:t> </w:t>
      </w:r>
      <w:r>
        <w:rPr>
          <w:color w:val="131413"/>
        </w:rPr>
        <w:t>are</w:t>
      </w:r>
      <w:r>
        <w:rPr>
          <w:color w:val="131413"/>
          <w:spacing w:val="-4"/>
        </w:rPr>
        <w:t> </w:t>
      </w:r>
      <w:r>
        <w:rPr>
          <w:color w:val="131413"/>
        </w:rPr>
        <w:t>called</w:t>
      </w:r>
      <w:r>
        <w:rPr>
          <w:color w:val="131413"/>
          <w:spacing w:val="-5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MCP</w:t>
      </w:r>
      <w:r>
        <w:rPr>
          <w:color w:val="131413"/>
          <w:spacing w:val="-4"/>
        </w:rPr>
        <w:t> </w:t>
      </w:r>
      <w:r>
        <w:rPr>
          <w:color w:val="131413"/>
        </w:rPr>
        <w:t>sign.</w:t>
      </w:r>
      <w:r>
        <w:rPr>
          <w:color w:val="131413"/>
          <w:spacing w:val="-4"/>
        </w:rPr>
        <w:t> </w:t>
      </w:r>
      <w:r>
        <w:rPr>
          <w:color w:val="131413"/>
        </w:rPr>
        <w:t>Late-onset</w:t>
      </w:r>
      <w:r>
        <w:rPr>
          <w:color w:val="131413"/>
          <w:spacing w:val="-5"/>
        </w:rPr>
        <w:t> </w:t>
      </w:r>
      <w:r>
        <w:rPr>
          <w:color w:val="131413"/>
        </w:rPr>
        <w:t>ataxia </w:t>
      </w:r>
      <w:r>
        <w:rPr>
          <w:color w:val="131413"/>
          <w:spacing w:val="-2"/>
        </w:rPr>
        <w:t>and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MCP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sign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constitute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major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diagnostic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criteria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def- </w:t>
      </w:r>
      <w:r>
        <w:rPr>
          <w:color w:val="131413"/>
        </w:rPr>
        <w:t>inite FXTAS</w:t>
      </w:r>
      <w:r>
        <w:rPr>
          <w:color w:val="131413"/>
          <w:spacing w:val="-1"/>
        </w:rPr>
        <w:t> </w:t>
      </w:r>
      <w:r>
        <w:rPr>
          <w:color w:val="131413"/>
        </w:rPr>
        <w:t>[</w:t>
      </w:r>
      <w:hyperlink w:history="true" w:anchor="_bookmark2">
        <w:r>
          <w:rPr>
            <w:color w:val="3A2A97"/>
          </w:rPr>
          <w:t>2</w:t>
        </w:r>
      </w:hyperlink>
      <w:r>
        <w:rPr>
          <w:color w:val="131413"/>
        </w:rPr>
        <w:t>].</w:t>
      </w:r>
      <w:r>
        <w:rPr>
          <w:color w:val="131413"/>
          <w:spacing w:val="-1"/>
        </w:rPr>
        <w:t> </w:t>
      </w:r>
      <w:r>
        <w:rPr>
          <w:color w:val="131413"/>
        </w:rPr>
        <w:t>The MCP sign</w:t>
      </w:r>
      <w:r>
        <w:rPr>
          <w:color w:val="131413"/>
          <w:spacing w:val="-1"/>
        </w:rPr>
        <w:t> </w:t>
      </w:r>
      <w:r>
        <w:rPr>
          <w:color w:val="131413"/>
        </w:rPr>
        <w:t>is</w:t>
      </w:r>
      <w:r>
        <w:rPr>
          <w:color w:val="131413"/>
          <w:spacing w:val="-1"/>
        </w:rPr>
        <w:t> </w:t>
      </w:r>
      <w:r>
        <w:rPr>
          <w:color w:val="131413"/>
        </w:rPr>
        <w:t>present in</w:t>
      </w:r>
      <w:r>
        <w:rPr>
          <w:color w:val="131413"/>
          <w:spacing w:val="-1"/>
        </w:rPr>
        <w:t> </w:t>
      </w:r>
      <w:r>
        <w:rPr>
          <w:color w:val="131413"/>
        </w:rPr>
        <w:t>up</w:t>
      </w:r>
      <w:r>
        <w:rPr>
          <w:color w:val="131413"/>
          <w:spacing w:val="-1"/>
        </w:rPr>
        <w:t> </w:t>
      </w:r>
      <w:r>
        <w:rPr>
          <w:color w:val="131413"/>
        </w:rPr>
        <w:t>to</w:t>
      </w:r>
      <w:r>
        <w:rPr>
          <w:color w:val="131413"/>
          <w:spacing w:val="-1"/>
        </w:rPr>
        <w:t> </w:t>
      </w:r>
      <w:r>
        <w:rPr>
          <w:color w:val="131413"/>
        </w:rPr>
        <w:t>60</w:t>
      </w:r>
      <w:r>
        <w:rPr>
          <w:color w:val="131413"/>
          <w:spacing w:val="-1"/>
        </w:rPr>
        <w:t> </w:t>
      </w:r>
      <w:r>
        <w:rPr>
          <w:color w:val="131413"/>
        </w:rPr>
        <w:t>% of FXTAS</w:t>
      </w:r>
      <w:r>
        <w:rPr>
          <w:color w:val="131413"/>
          <w:spacing w:val="-13"/>
        </w:rPr>
        <w:t> </w:t>
      </w:r>
      <w:r>
        <w:rPr>
          <w:color w:val="131413"/>
        </w:rPr>
        <w:t>patients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considered</w:t>
      </w:r>
      <w:r>
        <w:rPr>
          <w:color w:val="131413"/>
          <w:spacing w:val="-12"/>
        </w:rPr>
        <w:t> </w:t>
      </w:r>
      <w:r>
        <w:rPr>
          <w:color w:val="131413"/>
        </w:rPr>
        <w:t>to</w:t>
      </w:r>
      <w:r>
        <w:rPr>
          <w:color w:val="131413"/>
          <w:spacing w:val="-13"/>
        </w:rPr>
        <w:t> </w:t>
      </w:r>
      <w:r>
        <w:rPr>
          <w:color w:val="131413"/>
        </w:rPr>
        <w:t>reflect</w:t>
      </w:r>
      <w:r>
        <w:rPr>
          <w:color w:val="131413"/>
          <w:spacing w:val="-12"/>
        </w:rPr>
        <w:t> </w:t>
      </w:r>
      <w:r>
        <w:rPr>
          <w:color w:val="131413"/>
        </w:rPr>
        <w:t>gliosis</w:t>
      </w:r>
      <w:r>
        <w:rPr>
          <w:color w:val="131413"/>
          <w:spacing w:val="-13"/>
        </w:rPr>
        <w:t> </w:t>
      </w:r>
      <w:r>
        <w:rPr>
          <w:color w:val="131413"/>
        </w:rPr>
        <w:t>[</w:t>
      </w:r>
      <w:hyperlink w:history="true" w:anchor="_bookmark2">
        <w:r>
          <w:rPr>
            <w:color w:val="3A2A97"/>
          </w:rPr>
          <w:t>2</w:t>
        </w:r>
      </w:hyperlink>
      <w:r>
        <w:rPr>
          <w:color w:val="131413"/>
        </w:rPr>
        <w:t>].</w:t>
      </w:r>
      <w:r>
        <w:rPr>
          <w:color w:val="131413"/>
          <w:spacing w:val="-12"/>
        </w:rPr>
        <w:t> </w:t>
      </w:r>
      <w:r>
        <w:rPr>
          <w:color w:val="131413"/>
        </w:rPr>
        <w:t>Similar </w:t>
      </w:r>
      <w:r>
        <w:rPr>
          <w:color w:val="131413"/>
          <w:spacing w:val="-2"/>
        </w:rPr>
        <w:t>abnormalities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occur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other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hereditary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ataxia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disorders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 multiple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system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atrophy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(MSA).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Here,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we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describe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course </w:t>
      </w:r>
      <w:r>
        <w:rPr>
          <w:color w:val="131413"/>
        </w:rPr>
        <w:t>of disease in a man affected by POLG-associated ataxia (POLG-A) presenting as a FXTAS phenocopy syndrome. The overlapping features of POLG-A and FXTAS are </w:t>
      </w:r>
      <w:r>
        <w:rPr>
          <w:color w:val="131413"/>
          <w:spacing w:val="-2"/>
        </w:rPr>
        <w:t>highlighted.</w:t>
      </w:r>
    </w:p>
    <w:p>
      <w:pPr>
        <w:pStyle w:val="BodyText"/>
      </w:pPr>
    </w:p>
    <w:p>
      <w:pPr>
        <w:pStyle w:val="BodyText"/>
        <w:spacing w:before="35"/>
      </w:pPr>
    </w:p>
    <w:p>
      <w:pPr>
        <w:pStyle w:val="Heading1"/>
      </w:pPr>
      <w:bookmarkStart w:name="Case description" w:id="4"/>
      <w:bookmarkEnd w:id="4"/>
      <w:r>
        <w:rPr/>
      </w:r>
      <w:r>
        <w:rPr>
          <w:color w:val="131413"/>
          <w:w w:val="105"/>
        </w:rPr>
        <w:t>Case</w:t>
      </w:r>
      <w:r>
        <w:rPr>
          <w:color w:val="131413"/>
          <w:spacing w:val="-11"/>
          <w:w w:val="105"/>
        </w:rPr>
        <w:t> </w:t>
      </w:r>
      <w:r>
        <w:rPr>
          <w:color w:val="131413"/>
          <w:spacing w:val="-2"/>
          <w:w w:val="105"/>
        </w:rPr>
        <w:t>description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9" w:lineRule="auto"/>
        <w:ind w:left="28" w:right="24"/>
        <w:jc w:val="both"/>
      </w:pPr>
      <w:r>
        <w:rPr>
          <w:color w:val="131413"/>
        </w:rPr>
        <w:t>Informed</w:t>
      </w:r>
      <w:r>
        <w:rPr>
          <w:color w:val="131413"/>
          <w:spacing w:val="-10"/>
        </w:rPr>
        <w:t> </w:t>
      </w:r>
      <w:r>
        <w:rPr>
          <w:color w:val="131413"/>
        </w:rPr>
        <w:t>consent</w:t>
      </w:r>
      <w:r>
        <w:rPr>
          <w:color w:val="131413"/>
          <w:spacing w:val="-9"/>
        </w:rPr>
        <w:t> </w:t>
      </w:r>
      <w:r>
        <w:rPr>
          <w:color w:val="131413"/>
        </w:rPr>
        <w:t>was</w:t>
      </w:r>
      <w:r>
        <w:rPr>
          <w:color w:val="131413"/>
          <w:spacing w:val="-10"/>
        </w:rPr>
        <w:t> </w:t>
      </w:r>
      <w:r>
        <w:rPr>
          <w:color w:val="131413"/>
        </w:rPr>
        <w:t>obtained</w:t>
      </w:r>
      <w:r>
        <w:rPr>
          <w:color w:val="131413"/>
          <w:spacing w:val="-10"/>
        </w:rPr>
        <w:t> </w:t>
      </w:r>
      <w:r>
        <w:rPr>
          <w:color w:val="131413"/>
        </w:rPr>
        <w:t>from</w:t>
      </w:r>
      <w:r>
        <w:rPr>
          <w:color w:val="131413"/>
          <w:spacing w:val="-10"/>
        </w:rPr>
        <w:t> </w:t>
      </w:r>
      <w:r>
        <w:rPr>
          <w:color w:val="131413"/>
        </w:rPr>
        <w:t>the</w:t>
      </w:r>
      <w:r>
        <w:rPr>
          <w:color w:val="131413"/>
          <w:spacing w:val="-9"/>
        </w:rPr>
        <w:t> </w:t>
      </w:r>
      <w:r>
        <w:rPr>
          <w:color w:val="131413"/>
        </w:rPr>
        <w:t>patient.</w:t>
      </w:r>
      <w:r>
        <w:rPr>
          <w:color w:val="131413"/>
          <w:spacing w:val="-11"/>
        </w:rPr>
        <w:t> </w:t>
      </w:r>
      <w:r>
        <w:rPr>
          <w:color w:val="131413"/>
        </w:rPr>
        <w:t>A</w:t>
      </w:r>
      <w:r>
        <w:rPr>
          <w:color w:val="131413"/>
          <w:spacing w:val="-9"/>
        </w:rPr>
        <w:t> </w:t>
      </w:r>
      <w:r>
        <w:rPr>
          <w:color w:val="131413"/>
        </w:rPr>
        <w:t>60-year- old</w:t>
      </w:r>
      <w:r>
        <w:rPr>
          <w:color w:val="131413"/>
          <w:spacing w:val="-6"/>
        </w:rPr>
        <w:t> </w:t>
      </w:r>
      <w:r>
        <w:rPr>
          <w:color w:val="131413"/>
        </w:rPr>
        <w:t>Swedish</w:t>
      </w:r>
      <w:r>
        <w:rPr>
          <w:color w:val="131413"/>
          <w:spacing w:val="-7"/>
        </w:rPr>
        <w:t> </w:t>
      </w:r>
      <w:r>
        <w:rPr>
          <w:color w:val="131413"/>
        </w:rPr>
        <w:t>male</w:t>
      </w:r>
      <w:r>
        <w:rPr>
          <w:color w:val="131413"/>
          <w:spacing w:val="-7"/>
        </w:rPr>
        <w:t> </w:t>
      </w:r>
      <w:r>
        <w:rPr>
          <w:color w:val="131413"/>
        </w:rPr>
        <w:t>born</w:t>
      </w:r>
      <w:r>
        <w:rPr>
          <w:color w:val="131413"/>
          <w:spacing w:val="-7"/>
        </w:rPr>
        <w:t> </w:t>
      </w:r>
      <w:r>
        <w:rPr>
          <w:color w:val="131413"/>
        </w:rPr>
        <w:t>to</w:t>
      </w:r>
      <w:r>
        <w:rPr>
          <w:color w:val="131413"/>
          <w:spacing w:val="-7"/>
        </w:rPr>
        <w:t> </w:t>
      </w:r>
      <w:r>
        <w:rPr>
          <w:color w:val="131413"/>
        </w:rPr>
        <w:t>non-consanguineous</w:t>
      </w:r>
      <w:r>
        <w:rPr>
          <w:color w:val="131413"/>
          <w:spacing w:val="-7"/>
        </w:rPr>
        <w:t> </w:t>
      </w:r>
      <w:r>
        <w:rPr>
          <w:color w:val="131413"/>
        </w:rPr>
        <w:t>parents,</w:t>
      </w:r>
      <w:r>
        <w:rPr>
          <w:color w:val="131413"/>
          <w:spacing w:val="-7"/>
        </w:rPr>
        <w:t> </w:t>
      </w:r>
      <w:r>
        <w:rPr>
          <w:color w:val="131413"/>
        </w:rPr>
        <w:t>was </w:t>
      </w:r>
      <w:r>
        <w:rPr>
          <w:color w:val="131413"/>
          <w:spacing w:val="-4"/>
        </w:rPr>
        <w:t>evaluated at our center due to progressive balance difficulties, </w:t>
      </w:r>
      <w:r>
        <w:rPr>
          <w:color w:val="131413"/>
          <w:spacing w:val="-2"/>
        </w:rPr>
        <w:t>impaired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gait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and coordination, slurred speech, diplopia, and hypoacusis.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Insidious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cognitive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decline</w:t>
      </w:r>
      <w:r>
        <w:rPr>
          <w:color w:val="131413"/>
          <w:spacing w:val="6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7"/>
        </w:rPr>
        <w:t> </w:t>
      </w:r>
      <w:r>
        <w:rPr>
          <w:color w:val="131413"/>
          <w:spacing w:val="-2"/>
        </w:rPr>
        <w:t>also</w:t>
      </w:r>
      <w:r>
        <w:rPr>
          <w:color w:val="131413"/>
          <w:spacing w:val="4"/>
        </w:rPr>
        <w:t> </w:t>
      </w:r>
      <w:r>
        <w:rPr>
          <w:color w:val="131413"/>
          <w:spacing w:val="-2"/>
        </w:rPr>
        <w:t>reported</w:t>
      </w:r>
      <w:r>
        <w:rPr>
          <w:color w:val="131413"/>
          <w:spacing w:val="5"/>
        </w:rPr>
        <w:t> </w:t>
      </w:r>
      <w:r>
        <w:rPr>
          <w:color w:val="131413"/>
          <w:spacing w:val="-5"/>
        </w:rPr>
        <w:t>at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629" w:footer="972" w:top="820" w:bottom="1160" w:left="992" w:right="992"/>
          <w:cols w:num="2" w:equalWidth="0">
            <w:col w:w="4797" w:space="305"/>
            <w:col w:w="4824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pStyle w:val="BodyText"/>
        <w:spacing w:after="0"/>
        <w:rPr>
          <w:sz w:val="12"/>
        </w:rPr>
        <w:sectPr>
          <w:pgSz w:w="11910" w:h="15820"/>
          <w:pgMar w:header="649" w:footer="972" w:top="900" w:bottom="1160" w:left="992" w:right="992"/>
        </w:sectPr>
      </w:pPr>
    </w:p>
    <w:p>
      <w:pPr>
        <w:pStyle w:val="BodyText"/>
        <w:spacing w:line="259" w:lineRule="auto" w:before="88"/>
        <w:ind w:left="28"/>
        <w:jc w:val="both"/>
      </w:pPr>
      <w:bookmarkStart w:name="_bookmark0" w:id="5"/>
      <w:bookmarkEnd w:id="5"/>
      <w:r>
        <w:rPr/>
      </w:r>
      <w:r>
        <w:rPr>
          <w:color w:val="131413"/>
        </w:rPr>
        <w:t>the time of</w:t>
      </w:r>
      <w:r>
        <w:rPr>
          <w:color w:val="131413"/>
          <w:spacing w:val="-1"/>
        </w:rPr>
        <w:t> </w:t>
      </w:r>
      <w:r>
        <w:rPr>
          <w:color w:val="131413"/>
        </w:rPr>
        <w:t>motor onset.</w:t>
      </w:r>
      <w:r>
        <w:rPr>
          <w:color w:val="131413"/>
          <w:spacing w:val="-2"/>
        </w:rPr>
        <w:t> </w:t>
      </w:r>
      <w:r>
        <w:rPr>
          <w:color w:val="131413"/>
        </w:rPr>
        <w:t>The age at</w:t>
      </w:r>
      <w:r>
        <w:rPr>
          <w:color w:val="131413"/>
          <w:spacing w:val="-2"/>
        </w:rPr>
        <w:t> </w:t>
      </w:r>
      <w:r>
        <w:rPr>
          <w:color w:val="131413"/>
        </w:rPr>
        <w:t>onset was</w:t>
      </w:r>
      <w:r>
        <w:rPr>
          <w:color w:val="131413"/>
          <w:spacing w:val="-1"/>
        </w:rPr>
        <w:t> </w:t>
      </w:r>
      <w:r>
        <w:rPr>
          <w:color w:val="131413"/>
        </w:rPr>
        <w:t>48 years.</w:t>
      </w:r>
      <w:r>
        <w:rPr>
          <w:color w:val="131413"/>
          <w:spacing w:val="-1"/>
        </w:rPr>
        <w:t> </w:t>
      </w:r>
      <w:r>
        <w:rPr>
          <w:color w:val="131413"/>
        </w:rPr>
        <w:t>His past</w:t>
      </w:r>
      <w:r>
        <w:rPr>
          <w:color w:val="131413"/>
          <w:spacing w:val="-6"/>
        </w:rPr>
        <w:t> </w:t>
      </w:r>
      <w:r>
        <w:rPr>
          <w:color w:val="131413"/>
        </w:rPr>
        <w:t>medical</w:t>
      </w:r>
      <w:r>
        <w:rPr>
          <w:color w:val="131413"/>
          <w:spacing w:val="-5"/>
        </w:rPr>
        <w:t> </w:t>
      </w:r>
      <w:r>
        <w:rPr>
          <w:color w:val="131413"/>
        </w:rPr>
        <w:t>history</w:t>
      </w:r>
      <w:r>
        <w:rPr>
          <w:color w:val="131413"/>
          <w:spacing w:val="-4"/>
        </w:rPr>
        <w:t> </w:t>
      </w:r>
      <w:r>
        <w:rPr>
          <w:color w:val="131413"/>
        </w:rPr>
        <w:t>consisted</w:t>
      </w:r>
      <w:r>
        <w:rPr>
          <w:color w:val="131413"/>
          <w:spacing w:val="-5"/>
        </w:rPr>
        <w:t> </w:t>
      </w:r>
      <w:r>
        <w:rPr>
          <w:color w:val="131413"/>
        </w:rPr>
        <w:t>of</w:t>
      </w:r>
      <w:r>
        <w:rPr>
          <w:color w:val="131413"/>
          <w:spacing w:val="-5"/>
        </w:rPr>
        <w:t> </w:t>
      </w:r>
      <w:r>
        <w:rPr>
          <w:color w:val="131413"/>
        </w:rPr>
        <w:t>esophoria.</w:t>
      </w:r>
      <w:r>
        <w:rPr>
          <w:color w:val="131413"/>
          <w:spacing w:val="-5"/>
        </w:rPr>
        <w:t> </w:t>
      </w:r>
      <w:r>
        <w:rPr>
          <w:color w:val="131413"/>
        </w:rPr>
        <w:t>Examination</w:t>
      </w:r>
      <w:r>
        <w:rPr>
          <w:color w:val="131413"/>
          <w:spacing w:val="-5"/>
        </w:rPr>
        <w:t> </w:t>
      </w:r>
      <w:r>
        <w:rPr>
          <w:color w:val="131413"/>
        </w:rPr>
        <w:t>at </w:t>
      </w:r>
      <w:r>
        <w:rPr>
          <w:color w:val="131413"/>
          <w:spacing w:val="-4"/>
        </w:rPr>
        <w:t>age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55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with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the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Scale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the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Assessment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and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Rating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Ataxia </w:t>
      </w:r>
      <w:r>
        <w:rPr>
          <w:color w:val="131413"/>
        </w:rPr>
        <w:t>(SARA) yielded 10 points; 5 years later, it was 15. Upon exam, signs of both cerebellar and sensory ataxia (positive Romberg</w:t>
      </w:r>
      <w:r>
        <w:rPr>
          <w:rFonts w:ascii="Arial" w:hAnsi="Arial"/>
          <w:color w:val="131413"/>
        </w:rPr>
        <w:t>’</w:t>
      </w:r>
      <w:r>
        <w:rPr>
          <w:color w:val="131413"/>
        </w:rPr>
        <w:t>s sign) as well as chorea, myoclonus, areflexia, and</w:t>
      </w:r>
      <w:r>
        <w:rPr>
          <w:color w:val="131413"/>
          <w:spacing w:val="-9"/>
        </w:rPr>
        <w:t> </w:t>
      </w:r>
      <w:r>
        <w:rPr>
          <w:color w:val="131413"/>
        </w:rPr>
        <w:t>complete</w:t>
      </w:r>
      <w:r>
        <w:rPr>
          <w:color w:val="131413"/>
          <w:spacing w:val="-9"/>
        </w:rPr>
        <w:t> </w:t>
      </w:r>
      <w:r>
        <w:rPr>
          <w:color w:val="131413"/>
        </w:rPr>
        <w:t>loss</w:t>
      </w:r>
      <w:r>
        <w:rPr>
          <w:color w:val="131413"/>
          <w:spacing w:val="-9"/>
        </w:rPr>
        <w:t> </w:t>
      </w:r>
      <w:r>
        <w:rPr>
          <w:color w:val="131413"/>
        </w:rPr>
        <w:t>of</w:t>
      </w:r>
      <w:r>
        <w:rPr>
          <w:color w:val="131413"/>
          <w:spacing w:val="-10"/>
        </w:rPr>
        <w:t> </w:t>
      </w:r>
      <w:r>
        <w:rPr>
          <w:color w:val="131413"/>
        </w:rPr>
        <w:t>vibration</w:t>
      </w:r>
      <w:r>
        <w:rPr>
          <w:color w:val="131413"/>
          <w:spacing w:val="-8"/>
        </w:rPr>
        <w:t> </w:t>
      </w:r>
      <w:r>
        <w:rPr>
          <w:color w:val="131413"/>
        </w:rPr>
        <w:t>sense</w:t>
      </w:r>
      <w:r>
        <w:rPr>
          <w:color w:val="131413"/>
          <w:spacing w:val="-9"/>
        </w:rPr>
        <w:t> </w:t>
      </w:r>
      <w:r>
        <w:rPr>
          <w:color w:val="131413"/>
        </w:rPr>
        <w:t>were</w:t>
      </w:r>
      <w:r>
        <w:rPr>
          <w:color w:val="131413"/>
          <w:spacing w:val="-9"/>
        </w:rPr>
        <w:t> </w:t>
      </w:r>
      <w:r>
        <w:rPr>
          <w:color w:val="131413"/>
        </w:rPr>
        <w:t>found.</w:t>
      </w:r>
      <w:r>
        <w:rPr>
          <w:color w:val="131413"/>
          <w:spacing w:val="-10"/>
        </w:rPr>
        <w:t> </w:t>
      </w:r>
      <w:r>
        <w:rPr>
          <w:color w:val="131413"/>
        </w:rPr>
        <w:t>Over</w:t>
      </w:r>
      <w:r>
        <w:rPr>
          <w:color w:val="131413"/>
          <w:spacing w:val="-9"/>
        </w:rPr>
        <w:t> </w:t>
      </w:r>
      <w:r>
        <w:rPr>
          <w:color w:val="131413"/>
        </w:rPr>
        <w:t>time, </w:t>
      </w:r>
      <w:r>
        <w:rPr>
          <w:color w:val="131413"/>
          <w:spacing w:val="-2"/>
        </w:rPr>
        <w:t>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has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developed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bradykinesia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marked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postural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instabili- </w:t>
      </w:r>
      <w:r>
        <w:rPr>
          <w:color w:val="131413"/>
        </w:rPr>
        <w:t>ty;</w:t>
      </w:r>
      <w:r>
        <w:rPr>
          <w:color w:val="131413"/>
          <w:spacing w:val="-11"/>
        </w:rPr>
        <w:t> </w:t>
      </w:r>
      <w:r>
        <w:rPr>
          <w:color w:val="131413"/>
        </w:rPr>
        <w:t>he</w:t>
      </w:r>
      <w:r>
        <w:rPr>
          <w:color w:val="131413"/>
          <w:spacing w:val="-11"/>
        </w:rPr>
        <w:t> </w:t>
      </w:r>
      <w:r>
        <w:rPr>
          <w:color w:val="131413"/>
        </w:rPr>
        <w:t>requires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use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walking</w:t>
      </w:r>
      <w:r>
        <w:rPr>
          <w:color w:val="131413"/>
          <w:spacing w:val="-11"/>
        </w:rPr>
        <w:t> </w:t>
      </w:r>
      <w:r>
        <w:rPr>
          <w:color w:val="131413"/>
        </w:rPr>
        <w:t>sticks</w:t>
      </w:r>
      <w:r>
        <w:rPr>
          <w:color w:val="131413"/>
          <w:spacing w:val="-11"/>
        </w:rPr>
        <w:t> </w:t>
      </w:r>
      <w:r>
        <w:rPr>
          <w:color w:val="131413"/>
        </w:rPr>
        <w:t>for</w:t>
      </w:r>
      <w:r>
        <w:rPr>
          <w:color w:val="131413"/>
          <w:spacing w:val="-11"/>
        </w:rPr>
        <w:t> </w:t>
      </w:r>
      <w:r>
        <w:rPr>
          <w:color w:val="131413"/>
        </w:rPr>
        <w:t>most</w:t>
      </w:r>
      <w:r>
        <w:rPr>
          <w:color w:val="131413"/>
          <w:spacing w:val="-12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time. His latest inventory of non-ataxia symptoms (INAS) count was 5 and his Unified Parkinson</w:t>
      </w:r>
      <w:r>
        <w:rPr>
          <w:rFonts w:ascii="Arial" w:hAnsi="Arial"/>
          <w:color w:val="131413"/>
        </w:rPr>
        <w:t>’</w:t>
      </w:r>
      <w:r>
        <w:rPr>
          <w:color w:val="131413"/>
        </w:rPr>
        <w:t>s disease rating scale (UPDRS) part</w:t>
      </w:r>
      <w:r>
        <w:rPr>
          <w:color w:val="131413"/>
          <w:spacing w:val="-1"/>
        </w:rPr>
        <w:t> </w:t>
      </w:r>
      <w:r>
        <w:rPr>
          <w:color w:val="131413"/>
        </w:rPr>
        <w:t>III score was 19</w:t>
      </w:r>
      <w:r>
        <w:rPr>
          <w:color w:val="131413"/>
          <w:spacing w:val="-1"/>
        </w:rPr>
        <w:t> </w:t>
      </w:r>
      <w:r>
        <w:rPr>
          <w:color w:val="131413"/>
        </w:rPr>
        <w:t>points. Eye</w:t>
      </w:r>
      <w:r>
        <w:rPr>
          <w:color w:val="131413"/>
          <w:spacing w:val="-1"/>
        </w:rPr>
        <w:t> </w:t>
      </w:r>
      <w:r>
        <w:rPr>
          <w:color w:val="131413"/>
        </w:rPr>
        <w:t>examination re- </w:t>
      </w:r>
      <w:r>
        <w:rPr>
          <w:color w:val="131413"/>
          <w:spacing w:val="10"/>
        </w:rPr>
        <w:t>vealed</w:t>
      </w:r>
      <w:r>
        <w:rPr>
          <w:color w:val="131413"/>
          <w:spacing w:val="10"/>
        </w:rPr>
        <w:t> broken</w:t>
      </w:r>
      <w:r>
        <w:rPr>
          <w:color w:val="131413"/>
          <w:spacing w:val="10"/>
        </w:rPr>
        <w:t> </w:t>
      </w:r>
      <w:r>
        <w:rPr>
          <w:color w:val="131413"/>
        </w:rPr>
        <w:t>up </w:t>
      </w:r>
      <w:r>
        <w:rPr>
          <w:color w:val="131413"/>
          <w:spacing w:val="10"/>
        </w:rPr>
        <w:t>smooth</w:t>
      </w:r>
      <w:r>
        <w:rPr>
          <w:color w:val="131413"/>
          <w:spacing w:val="10"/>
        </w:rPr>
        <w:t> pursuit,</w:t>
      </w:r>
      <w:r>
        <w:rPr>
          <w:color w:val="131413"/>
          <w:spacing w:val="10"/>
        </w:rPr>
        <w:t> </w:t>
      </w:r>
      <w:r>
        <w:rPr>
          <w:color w:val="131413"/>
          <w:spacing w:val="11"/>
        </w:rPr>
        <w:t>nystagmus,</w:t>
      </w:r>
      <w:r>
        <w:rPr>
          <w:color w:val="131413"/>
          <w:spacing w:val="11"/>
        </w:rPr>
        <w:t> </w:t>
      </w:r>
      <w:r>
        <w:rPr>
          <w:color w:val="131413"/>
          <w:spacing w:val="12"/>
        </w:rPr>
        <w:t>mild </w:t>
      </w:r>
      <w:r>
        <w:rPr>
          <w:color w:val="131413"/>
        </w:rPr>
        <w:t>dysconjugation of lateral eye movements, hypometric sac- cades and partial restriction of vertical gaze. Psychometric </w:t>
      </w:r>
      <w:r>
        <w:rPr>
          <w:color w:val="131413"/>
          <w:spacing w:val="-2"/>
        </w:rPr>
        <w:t>evaluation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revealed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deficits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information processing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speed, </w:t>
      </w:r>
      <w:r>
        <w:rPr>
          <w:color w:val="131413"/>
        </w:rPr>
        <w:t>working memory, attention, and visuospatial skills. A mild sensorineuronal</w:t>
      </w:r>
      <w:r>
        <w:rPr>
          <w:color w:val="131413"/>
          <w:spacing w:val="-4"/>
        </w:rPr>
        <w:t> </w:t>
      </w:r>
      <w:r>
        <w:rPr>
          <w:color w:val="131413"/>
        </w:rPr>
        <w:t>hearing</w:t>
      </w:r>
      <w:r>
        <w:rPr>
          <w:color w:val="131413"/>
          <w:spacing w:val="-4"/>
        </w:rPr>
        <w:t> </w:t>
      </w:r>
      <w:r>
        <w:rPr>
          <w:color w:val="131413"/>
        </w:rPr>
        <w:t>loss</w:t>
      </w:r>
      <w:r>
        <w:rPr>
          <w:color w:val="131413"/>
          <w:spacing w:val="-6"/>
        </w:rPr>
        <w:t> </w:t>
      </w:r>
      <w:r>
        <w:rPr>
          <w:color w:val="131413"/>
        </w:rPr>
        <w:t>was</w:t>
      </w:r>
      <w:r>
        <w:rPr>
          <w:color w:val="131413"/>
          <w:spacing w:val="-3"/>
        </w:rPr>
        <w:t> </w:t>
      </w:r>
      <w:r>
        <w:rPr>
          <w:color w:val="131413"/>
        </w:rPr>
        <w:t>found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4"/>
        </w:rPr>
        <w:t> </w:t>
      </w:r>
      <w:r>
        <w:rPr>
          <w:color w:val="131413"/>
        </w:rPr>
        <w:t>the</w:t>
      </w:r>
      <w:r>
        <w:rPr>
          <w:color w:val="131413"/>
          <w:spacing w:val="-5"/>
        </w:rPr>
        <w:t> </w:t>
      </w:r>
      <w:r>
        <w:rPr>
          <w:color w:val="131413"/>
        </w:rPr>
        <w:t>subject</w:t>
      </w:r>
      <w:r>
        <w:rPr>
          <w:color w:val="131413"/>
          <w:spacing w:val="-4"/>
        </w:rPr>
        <w:t> </w:t>
      </w:r>
      <w:r>
        <w:rPr>
          <w:color w:val="131413"/>
        </w:rPr>
        <w:t>was </w:t>
      </w:r>
      <w:r>
        <w:rPr>
          <w:color w:val="131413"/>
          <w:spacing w:val="-4"/>
        </w:rPr>
        <w:t>recommended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hearing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devices.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Brain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MRI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at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age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57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displayed </w:t>
      </w:r>
      <w:r>
        <w:rPr>
          <w:color w:val="131413"/>
        </w:rPr>
        <w:t>the MCP sign, a mega cisterna magna but no evidence of cerebellar atrophy (Fig. </w:t>
      </w:r>
      <w:hyperlink w:history="true" w:anchor="_bookmark0">
        <w:r>
          <w:rPr>
            <w:color w:val="3A2A97"/>
          </w:rPr>
          <w:t>1</w:t>
        </w:r>
      </w:hyperlink>
      <w:r>
        <w:rPr>
          <w:color w:val="131413"/>
        </w:rPr>
        <w:t>). FXTAS was suspected; how- ever,</w:t>
      </w:r>
      <w:r>
        <w:rPr>
          <w:color w:val="131413"/>
          <w:spacing w:val="40"/>
        </w:rPr>
        <w:t> </w:t>
      </w:r>
      <w:r>
        <w:rPr>
          <w:color w:val="131413"/>
        </w:rPr>
        <w:t>a</w:t>
      </w:r>
      <w:r>
        <w:rPr>
          <w:color w:val="131413"/>
          <w:spacing w:val="40"/>
        </w:rPr>
        <w:t> </w:t>
      </w:r>
      <w:r>
        <w:rPr>
          <w:color w:val="131413"/>
        </w:rPr>
        <w:t>normal</w:t>
      </w:r>
      <w:r>
        <w:rPr>
          <w:color w:val="131413"/>
          <w:spacing w:val="40"/>
        </w:rPr>
        <w:t> </w:t>
      </w:r>
      <w:r>
        <w:rPr>
          <w:color w:val="131413"/>
        </w:rPr>
        <w:t>CGG</w:t>
      </w:r>
      <w:r>
        <w:rPr>
          <w:color w:val="131413"/>
          <w:spacing w:val="40"/>
        </w:rPr>
        <w:t> </w:t>
      </w:r>
      <w:r>
        <w:rPr>
          <w:color w:val="131413"/>
        </w:rPr>
        <w:t>expansion</w:t>
      </w:r>
      <w:r>
        <w:rPr>
          <w:color w:val="131413"/>
          <w:spacing w:val="40"/>
        </w:rPr>
        <w:t> </w:t>
      </w:r>
      <w:r>
        <w:rPr>
          <w:color w:val="131413"/>
        </w:rPr>
        <w:t>size,</w:t>
      </w:r>
      <w:r>
        <w:rPr>
          <w:color w:val="131413"/>
          <w:spacing w:val="40"/>
        </w:rPr>
        <w:t> </w:t>
      </w:r>
      <w:r>
        <w:rPr>
          <w:color w:val="131413"/>
        </w:rPr>
        <w:t>21</w:t>
      </w:r>
      <w:r>
        <w:rPr>
          <w:color w:val="131413"/>
          <w:spacing w:val="40"/>
        </w:rPr>
        <w:t> </w:t>
      </w:r>
      <w:r>
        <w:rPr>
          <w:color w:val="131413"/>
        </w:rPr>
        <w:t>repeats,</w:t>
      </w:r>
      <w:r>
        <w:rPr>
          <w:color w:val="131413"/>
          <w:spacing w:val="40"/>
        </w:rPr>
        <w:t> </w:t>
      </w:r>
      <w:r>
        <w:rPr>
          <w:color w:val="131413"/>
        </w:rPr>
        <w:t>was found in the </w:t>
      </w:r>
      <w:r>
        <w:rPr>
          <w:i/>
          <w:color w:val="131413"/>
        </w:rPr>
        <w:t>FMR1 </w:t>
      </w:r>
      <w:r>
        <w:rPr>
          <w:color w:val="131413"/>
        </w:rPr>
        <w:t>gene. Trinucleotide expansions caus- ing</w:t>
      </w:r>
      <w:r>
        <w:rPr>
          <w:color w:val="131413"/>
          <w:spacing w:val="40"/>
        </w:rPr>
        <w:t> </w:t>
      </w:r>
      <w:r>
        <w:rPr>
          <w:color w:val="131413"/>
        </w:rPr>
        <w:t>Friedreich</w:t>
      </w:r>
      <w:r>
        <w:rPr>
          <w:color w:val="131413"/>
          <w:spacing w:val="40"/>
        </w:rPr>
        <w:t> </w:t>
      </w:r>
      <w:r>
        <w:rPr>
          <w:color w:val="131413"/>
        </w:rPr>
        <w:t>ataxia,</w:t>
      </w:r>
      <w:r>
        <w:rPr>
          <w:color w:val="131413"/>
          <w:spacing w:val="40"/>
        </w:rPr>
        <w:t> </w:t>
      </w:r>
      <w:r>
        <w:rPr>
          <w:color w:val="131413"/>
        </w:rPr>
        <w:t>DRPLA,</w:t>
      </w:r>
      <w:r>
        <w:rPr>
          <w:color w:val="131413"/>
          <w:spacing w:val="40"/>
        </w:rPr>
        <w:t> </w:t>
      </w:r>
      <w:r>
        <w:rPr>
          <w:color w:val="131413"/>
        </w:rPr>
        <w:t>SCA1,</w:t>
      </w:r>
      <w:r>
        <w:rPr>
          <w:color w:val="131413"/>
          <w:spacing w:val="40"/>
        </w:rPr>
        <w:t> </w:t>
      </w:r>
      <w:r>
        <w:rPr>
          <w:color w:val="131413"/>
        </w:rPr>
        <w:t>2,</w:t>
      </w:r>
      <w:r>
        <w:rPr>
          <w:color w:val="131413"/>
          <w:spacing w:val="40"/>
        </w:rPr>
        <w:t> </w:t>
      </w:r>
      <w:r>
        <w:rPr>
          <w:color w:val="131413"/>
        </w:rPr>
        <w:t>3,</w:t>
      </w:r>
      <w:r>
        <w:rPr>
          <w:color w:val="131413"/>
          <w:spacing w:val="40"/>
        </w:rPr>
        <w:t> </w:t>
      </w:r>
      <w:r>
        <w:rPr>
          <w:color w:val="131413"/>
        </w:rPr>
        <w:t>6,</w:t>
      </w:r>
      <w:r>
        <w:rPr>
          <w:color w:val="131413"/>
          <w:spacing w:val="40"/>
        </w:rPr>
        <w:t> </w:t>
      </w:r>
      <w:r>
        <w:rPr>
          <w:color w:val="131413"/>
        </w:rPr>
        <w:t>and</w:t>
      </w:r>
      <w:r>
        <w:rPr>
          <w:color w:val="131413"/>
          <w:spacing w:val="40"/>
        </w:rPr>
        <w:t> </w:t>
      </w:r>
      <w:r>
        <w:rPr>
          <w:color w:val="131413"/>
        </w:rPr>
        <w:t>7 were also ruled out. A sensory axonal polyneuropathy was found on electroneurography (ENeG). A muscle biopsy re- </w:t>
      </w:r>
      <w:r>
        <w:rPr>
          <w:color w:val="131413"/>
          <w:spacing w:val="-4"/>
        </w:rPr>
        <w:t>vealed</w:t>
      </w:r>
      <w:r>
        <w:rPr>
          <w:color w:val="131413"/>
          <w:spacing w:val="-11"/>
        </w:rPr>
        <w:t> </w:t>
      </w:r>
      <w:r>
        <w:rPr>
          <w:color w:val="131413"/>
          <w:spacing w:val="-4"/>
        </w:rPr>
        <w:t>variation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4"/>
        </w:rPr>
        <w:t>fiber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size</w:t>
      </w:r>
      <w:r>
        <w:rPr>
          <w:color w:val="131413"/>
          <w:spacing w:val="-10"/>
        </w:rPr>
        <w:t> </w:t>
      </w:r>
      <w:r>
        <w:rPr>
          <w:color w:val="131413"/>
          <w:spacing w:val="-4"/>
        </w:rPr>
        <w:t>and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lack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4"/>
        </w:rPr>
        <w:t>COX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activity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10"/>
        </w:rPr>
        <w:t> </w:t>
      </w:r>
      <w:r>
        <w:rPr>
          <w:color w:val="131413"/>
          <w:spacing w:val="-4"/>
        </w:rPr>
        <w:t>some</w:t>
      </w:r>
    </w:p>
    <w:p>
      <w:pPr>
        <w:pStyle w:val="BodyText"/>
        <w:spacing w:line="259" w:lineRule="auto" w:before="87"/>
        <w:ind w:left="28" w:right="14"/>
        <w:jc w:val="both"/>
      </w:pPr>
      <w:r>
        <w:rPr/>
        <w:br w:type="column"/>
      </w:r>
      <w:r>
        <w:rPr>
          <w:color w:val="131413"/>
          <w:spacing w:val="-2"/>
        </w:rPr>
        <w:t>muscle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fibers.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addition,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reduced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activity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found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com- </w:t>
      </w:r>
      <w:r>
        <w:rPr>
          <w:color w:val="131413"/>
        </w:rPr>
        <w:t>plex</w:t>
      </w:r>
      <w:r>
        <w:rPr>
          <w:color w:val="131413"/>
          <w:spacing w:val="-8"/>
        </w:rPr>
        <w:t> </w:t>
      </w:r>
      <w:r>
        <w:rPr>
          <w:color w:val="131413"/>
        </w:rPr>
        <w:t>I</w:t>
      </w:r>
      <w:r>
        <w:rPr>
          <w:color w:val="131413"/>
          <w:spacing w:val="-6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respiratory</w:t>
      </w:r>
      <w:r>
        <w:rPr>
          <w:color w:val="131413"/>
          <w:spacing w:val="-7"/>
        </w:rPr>
        <w:t> </w:t>
      </w:r>
      <w:r>
        <w:rPr>
          <w:color w:val="131413"/>
        </w:rPr>
        <w:t>chain</w:t>
      </w:r>
      <w:r>
        <w:rPr>
          <w:color w:val="131413"/>
          <w:spacing w:val="-7"/>
        </w:rPr>
        <w:t> </w:t>
      </w:r>
      <w:r>
        <w:rPr>
          <w:color w:val="131413"/>
        </w:rPr>
        <w:t>raising</w:t>
      </w:r>
      <w:r>
        <w:rPr>
          <w:color w:val="131413"/>
          <w:spacing w:val="-7"/>
        </w:rPr>
        <w:t> </w:t>
      </w:r>
      <w:r>
        <w:rPr>
          <w:color w:val="131413"/>
        </w:rPr>
        <w:t>then</w:t>
      </w:r>
      <w:r>
        <w:rPr>
          <w:color w:val="131413"/>
          <w:spacing w:val="-7"/>
        </w:rPr>
        <w:t> </w:t>
      </w:r>
      <w:r>
        <w:rPr>
          <w:color w:val="131413"/>
        </w:rPr>
        <w:t>the</w:t>
      </w:r>
      <w:r>
        <w:rPr>
          <w:color w:val="131413"/>
          <w:spacing w:val="-7"/>
        </w:rPr>
        <w:t> </w:t>
      </w:r>
      <w:r>
        <w:rPr>
          <w:color w:val="131413"/>
        </w:rPr>
        <w:t>suspicion</w:t>
      </w:r>
      <w:r>
        <w:rPr>
          <w:color w:val="131413"/>
          <w:spacing w:val="-7"/>
        </w:rPr>
        <w:t> </w:t>
      </w:r>
      <w:r>
        <w:rPr>
          <w:color w:val="131413"/>
        </w:rPr>
        <w:t>of</w:t>
      </w:r>
      <w:r>
        <w:rPr>
          <w:color w:val="131413"/>
          <w:spacing w:val="-7"/>
        </w:rPr>
        <w:t> </w:t>
      </w:r>
      <w:r>
        <w:rPr>
          <w:color w:val="131413"/>
        </w:rPr>
        <w:t>a </w:t>
      </w:r>
      <w:r>
        <w:rPr>
          <w:color w:val="131413"/>
          <w:spacing w:val="12"/>
        </w:rPr>
        <w:t>mitochondrial</w:t>
      </w:r>
      <w:r>
        <w:rPr>
          <w:color w:val="131413"/>
          <w:spacing w:val="12"/>
        </w:rPr>
        <w:t> </w:t>
      </w:r>
      <w:r>
        <w:rPr>
          <w:color w:val="131413"/>
          <w:spacing w:val="10"/>
        </w:rPr>
        <w:t>disorder.</w:t>
      </w:r>
      <w:r>
        <w:rPr>
          <w:color w:val="131413"/>
          <w:spacing w:val="10"/>
        </w:rPr>
        <w:t> </w:t>
      </w:r>
      <w:r>
        <w:rPr>
          <w:color w:val="131413"/>
        </w:rPr>
        <w:t>The </w:t>
      </w:r>
      <w:r>
        <w:rPr>
          <w:color w:val="131413"/>
          <w:spacing w:val="11"/>
        </w:rPr>
        <w:t>homozygous</w:t>
      </w:r>
      <w:r>
        <w:rPr>
          <w:color w:val="131413"/>
          <w:spacing w:val="11"/>
        </w:rPr>
        <w:t> </w:t>
      </w:r>
      <w:r>
        <w:rPr>
          <w:color w:val="131413"/>
          <w:spacing w:val="13"/>
        </w:rPr>
        <w:t>mutation </w:t>
      </w:r>
      <w:r>
        <w:rPr>
          <w:color w:val="131413"/>
        </w:rPr>
        <w:t>c.2243G</w:t>
      </w:r>
      <w:r>
        <w:rPr>
          <w:color w:val="131413"/>
          <w:spacing w:val="-13"/>
        </w:rPr>
        <w:t> </w:t>
      </w:r>
      <w:r>
        <w:rPr>
          <w:color w:val="131413"/>
        </w:rPr>
        <w:t>&gt;</w:t>
      </w:r>
      <w:r>
        <w:rPr>
          <w:color w:val="131413"/>
          <w:spacing w:val="-12"/>
        </w:rPr>
        <w:t> </w:t>
      </w:r>
      <w:r>
        <w:rPr>
          <w:color w:val="131413"/>
        </w:rPr>
        <w:t>C</w:t>
      </w:r>
      <w:r>
        <w:rPr>
          <w:color w:val="131413"/>
          <w:spacing w:val="-10"/>
        </w:rPr>
        <w:t> </w:t>
      </w:r>
      <w:r>
        <w:rPr>
          <w:color w:val="131413"/>
        </w:rPr>
        <w:t>(p.W748S) in the </w:t>
      </w:r>
      <w:r>
        <w:rPr>
          <w:i/>
          <w:color w:val="131413"/>
        </w:rPr>
        <w:t>POLG </w:t>
      </w:r>
      <w:r>
        <w:rPr>
          <w:color w:val="131413"/>
        </w:rPr>
        <w:t>gene was identified, MLPA analysis of this gene was normal.</w:t>
      </w:r>
    </w:p>
    <w:p>
      <w:pPr>
        <w:pStyle w:val="BodyText"/>
        <w:spacing w:line="259" w:lineRule="auto" w:before="3"/>
        <w:ind w:left="28" w:right="25" w:firstLine="226"/>
        <w:jc w:val="both"/>
      </w:pPr>
      <w:r>
        <w:rPr>
          <w:color w:val="131413"/>
          <w:spacing w:val="-2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younger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sibling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was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affected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by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ataxia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syndrome,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her </w:t>
      </w:r>
      <w:r>
        <w:rPr>
          <w:color w:val="131413"/>
        </w:rPr>
        <w:t>age</w:t>
      </w:r>
      <w:r>
        <w:rPr>
          <w:color w:val="131413"/>
          <w:spacing w:val="-4"/>
        </w:rPr>
        <w:t> </w:t>
      </w:r>
      <w:r>
        <w:rPr>
          <w:color w:val="131413"/>
        </w:rPr>
        <w:t>at</w:t>
      </w:r>
      <w:r>
        <w:rPr>
          <w:color w:val="131413"/>
          <w:spacing w:val="-6"/>
        </w:rPr>
        <w:t> </w:t>
      </w:r>
      <w:r>
        <w:rPr>
          <w:color w:val="131413"/>
        </w:rPr>
        <w:t>onset</w:t>
      </w:r>
      <w:r>
        <w:rPr>
          <w:color w:val="131413"/>
          <w:spacing w:val="-4"/>
        </w:rPr>
        <w:t> </w:t>
      </w:r>
      <w:r>
        <w:rPr>
          <w:color w:val="131413"/>
        </w:rPr>
        <w:t>was</w:t>
      </w:r>
      <w:r>
        <w:rPr>
          <w:color w:val="131413"/>
          <w:spacing w:val="-4"/>
        </w:rPr>
        <w:t> </w:t>
      </w:r>
      <w:r>
        <w:rPr>
          <w:color w:val="131413"/>
        </w:rPr>
        <w:t>19</w:t>
      </w:r>
      <w:r>
        <w:rPr>
          <w:color w:val="131413"/>
          <w:spacing w:val="-5"/>
        </w:rPr>
        <w:t> </w:t>
      </w:r>
      <w:r>
        <w:rPr>
          <w:color w:val="131413"/>
        </w:rPr>
        <w:t>years</w:t>
      </w:r>
      <w:r>
        <w:rPr>
          <w:color w:val="131413"/>
          <w:spacing w:val="-4"/>
        </w:rPr>
        <w:t> </w:t>
      </w:r>
      <w:r>
        <w:rPr>
          <w:color w:val="131413"/>
        </w:rPr>
        <w:t>and</w:t>
      </w:r>
      <w:r>
        <w:rPr>
          <w:color w:val="131413"/>
          <w:spacing w:val="-3"/>
        </w:rPr>
        <w:t> </w:t>
      </w:r>
      <w:r>
        <w:rPr>
          <w:color w:val="131413"/>
        </w:rPr>
        <w:t>the</w:t>
      </w:r>
      <w:r>
        <w:rPr>
          <w:color w:val="131413"/>
          <w:spacing w:val="-4"/>
        </w:rPr>
        <w:t> </w:t>
      </w:r>
      <w:r>
        <w:rPr>
          <w:color w:val="131413"/>
        </w:rPr>
        <w:t>total</w:t>
      </w:r>
      <w:r>
        <w:rPr>
          <w:color w:val="131413"/>
          <w:spacing w:val="-4"/>
        </w:rPr>
        <w:t> </w:t>
      </w:r>
      <w:r>
        <w:rPr>
          <w:color w:val="131413"/>
        </w:rPr>
        <w:t>disease</w:t>
      </w:r>
      <w:r>
        <w:rPr>
          <w:color w:val="131413"/>
          <w:spacing w:val="-3"/>
        </w:rPr>
        <w:t> </w:t>
      </w:r>
      <w:r>
        <w:rPr>
          <w:color w:val="131413"/>
        </w:rPr>
        <w:t>duration</w:t>
      </w:r>
      <w:r>
        <w:rPr>
          <w:color w:val="131413"/>
          <w:spacing w:val="-5"/>
        </w:rPr>
        <w:t> </w:t>
      </w:r>
      <w:r>
        <w:rPr>
          <w:color w:val="131413"/>
        </w:rPr>
        <w:t>was 30</w:t>
      </w:r>
      <w:r>
        <w:rPr>
          <w:color w:val="131413"/>
          <w:spacing w:val="-12"/>
        </w:rPr>
        <w:t> </w:t>
      </w:r>
      <w:r>
        <w:rPr>
          <w:color w:val="131413"/>
        </w:rPr>
        <w:t>years.</w:t>
      </w:r>
      <w:r>
        <w:rPr>
          <w:color w:val="131413"/>
          <w:spacing w:val="-11"/>
        </w:rPr>
        <w:t> </w:t>
      </w:r>
      <w:r>
        <w:rPr>
          <w:color w:val="131413"/>
        </w:rPr>
        <w:t>In</w:t>
      </w:r>
      <w:r>
        <w:rPr>
          <w:color w:val="131413"/>
          <w:spacing w:val="-11"/>
        </w:rPr>
        <w:t> </w:t>
      </w:r>
      <w:r>
        <w:rPr>
          <w:color w:val="131413"/>
        </w:rPr>
        <w:t>contrast</w:t>
      </w:r>
      <w:r>
        <w:rPr>
          <w:color w:val="131413"/>
          <w:spacing w:val="-11"/>
        </w:rPr>
        <w:t> </w:t>
      </w:r>
      <w:r>
        <w:rPr>
          <w:color w:val="131413"/>
        </w:rPr>
        <w:t>to</w:t>
      </w:r>
      <w:r>
        <w:rPr>
          <w:color w:val="131413"/>
          <w:spacing w:val="-11"/>
        </w:rPr>
        <w:t> </w:t>
      </w:r>
      <w:r>
        <w:rPr>
          <w:color w:val="131413"/>
        </w:rPr>
        <w:t>our</w:t>
      </w:r>
      <w:r>
        <w:rPr>
          <w:color w:val="131413"/>
          <w:spacing w:val="-10"/>
        </w:rPr>
        <w:t> </w:t>
      </w:r>
      <w:r>
        <w:rPr>
          <w:color w:val="131413"/>
        </w:rPr>
        <w:t>patient,</w:t>
      </w:r>
      <w:r>
        <w:rPr>
          <w:color w:val="131413"/>
          <w:spacing w:val="-11"/>
        </w:rPr>
        <w:t> </w:t>
      </w:r>
      <w:r>
        <w:rPr>
          <w:color w:val="131413"/>
        </w:rPr>
        <w:t>she</w:t>
      </w:r>
      <w:r>
        <w:rPr>
          <w:color w:val="131413"/>
          <w:spacing w:val="-10"/>
        </w:rPr>
        <w:t> </w:t>
      </w:r>
      <w:r>
        <w:rPr>
          <w:color w:val="131413"/>
        </w:rPr>
        <w:t>had</w:t>
      </w:r>
      <w:r>
        <w:rPr>
          <w:color w:val="131413"/>
          <w:spacing w:val="-10"/>
        </w:rPr>
        <w:t> </w:t>
      </w:r>
      <w:r>
        <w:rPr>
          <w:color w:val="131413"/>
        </w:rPr>
        <w:t>epilepsy,</w:t>
      </w:r>
      <w:r>
        <w:rPr>
          <w:color w:val="131413"/>
          <w:spacing w:val="-10"/>
        </w:rPr>
        <w:t> </w:t>
      </w:r>
      <w:r>
        <w:rPr>
          <w:color w:val="131413"/>
        </w:rPr>
        <w:t>her</w:t>
      </w:r>
      <w:r>
        <w:rPr>
          <w:color w:val="131413"/>
          <w:spacing w:val="-10"/>
        </w:rPr>
        <w:t> </w:t>
      </w:r>
      <w:r>
        <w:rPr>
          <w:color w:val="131413"/>
        </w:rPr>
        <w:t>im- aging</w:t>
      </w:r>
      <w:r>
        <w:rPr>
          <w:color w:val="131413"/>
          <w:spacing w:val="-8"/>
        </w:rPr>
        <w:t> </w:t>
      </w:r>
      <w:r>
        <w:rPr>
          <w:color w:val="131413"/>
        </w:rPr>
        <w:t>studies</w:t>
      </w:r>
      <w:r>
        <w:rPr>
          <w:color w:val="131413"/>
          <w:spacing w:val="-7"/>
        </w:rPr>
        <w:t> </w:t>
      </w:r>
      <w:r>
        <w:rPr>
          <w:color w:val="131413"/>
        </w:rPr>
        <w:t>were</w:t>
      </w:r>
      <w:r>
        <w:rPr>
          <w:color w:val="131413"/>
          <w:spacing w:val="-8"/>
        </w:rPr>
        <w:t> </w:t>
      </w:r>
      <w:r>
        <w:rPr>
          <w:color w:val="131413"/>
        </w:rPr>
        <w:t>not</w:t>
      </w:r>
      <w:r>
        <w:rPr>
          <w:color w:val="131413"/>
          <w:spacing w:val="-8"/>
        </w:rPr>
        <w:t> </w:t>
      </w:r>
      <w:r>
        <w:rPr>
          <w:color w:val="131413"/>
        </w:rPr>
        <w:t>possible</w:t>
      </w:r>
      <w:r>
        <w:rPr>
          <w:color w:val="131413"/>
          <w:spacing w:val="-8"/>
        </w:rPr>
        <w:t> </w:t>
      </w:r>
      <w:r>
        <w:rPr>
          <w:color w:val="131413"/>
        </w:rPr>
        <w:t>to</w:t>
      </w:r>
      <w:r>
        <w:rPr>
          <w:color w:val="131413"/>
          <w:spacing w:val="-9"/>
        </w:rPr>
        <w:t> </w:t>
      </w:r>
      <w:r>
        <w:rPr>
          <w:color w:val="131413"/>
        </w:rPr>
        <w:t>retrieve</w:t>
      </w:r>
      <w:r>
        <w:rPr>
          <w:color w:val="131413"/>
          <w:spacing w:val="-8"/>
        </w:rPr>
        <w:t> </w:t>
      </w:r>
      <w:r>
        <w:rPr>
          <w:color w:val="131413"/>
        </w:rPr>
        <w:t>for</w:t>
      </w:r>
      <w:r>
        <w:rPr>
          <w:color w:val="131413"/>
          <w:spacing w:val="-7"/>
        </w:rPr>
        <w:t> </w:t>
      </w:r>
      <w:r>
        <w:rPr>
          <w:color w:val="131413"/>
        </w:rPr>
        <w:t>review.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8"/>
        </w:rPr>
        <w:t> </w:t>
      </w:r>
      <w:r>
        <w:rPr>
          <w:color w:val="131413"/>
        </w:rPr>
        <w:t>the </w:t>
      </w:r>
      <w:r>
        <w:rPr>
          <w:color w:val="131413"/>
          <w:spacing w:val="-2"/>
        </w:rPr>
        <w:t>course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her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disease,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she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suffered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from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polyneuropathy,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nys- </w:t>
      </w:r>
      <w:r>
        <w:rPr>
          <w:color w:val="131413"/>
        </w:rPr>
        <w:t>tagmus,</w:t>
      </w:r>
      <w:r>
        <w:rPr>
          <w:color w:val="131413"/>
          <w:spacing w:val="-13"/>
        </w:rPr>
        <w:t> </w:t>
      </w:r>
      <w:r>
        <w:rPr>
          <w:color w:val="131413"/>
        </w:rPr>
        <w:t>vertical</w:t>
      </w:r>
      <w:r>
        <w:rPr>
          <w:color w:val="131413"/>
          <w:spacing w:val="-12"/>
        </w:rPr>
        <w:t> </w:t>
      </w:r>
      <w:r>
        <w:rPr>
          <w:color w:val="131413"/>
        </w:rPr>
        <w:t>ophthalmoparesis,</w:t>
      </w:r>
      <w:r>
        <w:rPr>
          <w:color w:val="131413"/>
          <w:spacing w:val="-13"/>
        </w:rPr>
        <w:t> </w:t>
      </w:r>
      <w:r>
        <w:rPr>
          <w:color w:val="131413"/>
        </w:rPr>
        <w:t>involuntary</w:t>
      </w:r>
      <w:r>
        <w:rPr>
          <w:color w:val="131413"/>
          <w:spacing w:val="-12"/>
        </w:rPr>
        <w:t> </w:t>
      </w:r>
      <w:r>
        <w:rPr>
          <w:color w:val="131413"/>
        </w:rPr>
        <w:t>movements, and</w:t>
      </w:r>
      <w:r>
        <w:rPr>
          <w:color w:val="131413"/>
          <w:spacing w:val="-10"/>
        </w:rPr>
        <w:t> </w:t>
      </w:r>
      <w:r>
        <w:rPr>
          <w:color w:val="131413"/>
        </w:rPr>
        <w:t>cognitive</w:t>
      </w:r>
      <w:r>
        <w:rPr>
          <w:color w:val="131413"/>
          <w:spacing w:val="-10"/>
        </w:rPr>
        <w:t> </w:t>
      </w:r>
      <w:r>
        <w:rPr>
          <w:color w:val="131413"/>
        </w:rPr>
        <w:t>decline.</w:t>
      </w:r>
      <w:r>
        <w:rPr>
          <w:color w:val="131413"/>
          <w:spacing w:val="-12"/>
        </w:rPr>
        <w:t> </w:t>
      </w:r>
      <w:r>
        <w:rPr>
          <w:color w:val="131413"/>
        </w:rPr>
        <w:t>The</w:t>
      </w:r>
      <w:r>
        <w:rPr>
          <w:color w:val="131413"/>
          <w:spacing w:val="-11"/>
        </w:rPr>
        <w:t> </w:t>
      </w:r>
      <w:r>
        <w:rPr>
          <w:color w:val="131413"/>
        </w:rPr>
        <w:t>exact</w:t>
      </w:r>
      <w:r>
        <w:rPr>
          <w:color w:val="131413"/>
          <w:spacing w:val="-11"/>
        </w:rPr>
        <w:t> </w:t>
      </w:r>
      <w:r>
        <w:rPr>
          <w:color w:val="131413"/>
        </w:rPr>
        <w:t>character</w:t>
      </w:r>
      <w:r>
        <w:rPr>
          <w:color w:val="131413"/>
          <w:spacing w:val="-10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her</w:t>
      </w:r>
      <w:r>
        <w:rPr>
          <w:color w:val="131413"/>
          <w:spacing w:val="-10"/>
        </w:rPr>
        <w:t> </w:t>
      </w:r>
      <w:r>
        <w:rPr>
          <w:color w:val="131413"/>
        </w:rPr>
        <w:t>hyperkine- </w:t>
      </w:r>
      <w:r>
        <w:rPr>
          <w:color w:val="131413"/>
          <w:spacing w:val="-4"/>
        </w:rPr>
        <w:t>sias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was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not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stated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available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chart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notes.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She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became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wheel- </w:t>
      </w:r>
      <w:r>
        <w:rPr>
          <w:color w:val="131413"/>
        </w:rPr>
        <w:t>chair bound and died of pneumonia at age 49.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Heading1"/>
      </w:pPr>
      <w:bookmarkStart w:name="Discussion" w:id="6"/>
      <w:bookmarkEnd w:id="6"/>
      <w:r>
        <w:rPr/>
      </w:r>
      <w:r>
        <w:rPr>
          <w:color w:val="131413"/>
          <w:spacing w:val="-2"/>
        </w:rPr>
        <w:t>Discussion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9" w:lineRule="auto" w:before="1"/>
        <w:ind w:left="28" w:right="20"/>
        <w:jc w:val="both"/>
      </w:pPr>
      <w:r>
        <w:rPr>
          <w:color w:val="131413"/>
        </w:rPr>
        <w:t>This</w:t>
      </w:r>
      <w:r>
        <w:rPr>
          <w:color w:val="131413"/>
          <w:spacing w:val="-13"/>
        </w:rPr>
        <w:t> </w:t>
      </w:r>
      <w:r>
        <w:rPr>
          <w:color w:val="131413"/>
        </w:rPr>
        <w:t>patient</w:t>
      </w:r>
      <w:r>
        <w:rPr>
          <w:color w:val="131413"/>
          <w:spacing w:val="-12"/>
        </w:rPr>
        <w:t> </w:t>
      </w:r>
      <w:r>
        <w:rPr>
          <w:color w:val="131413"/>
        </w:rPr>
        <w:t>we</w:t>
      </w:r>
      <w:r>
        <w:rPr>
          <w:color w:val="131413"/>
          <w:spacing w:val="-13"/>
        </w:rPr>
        <w:t> </w:t>
      </w:r>
      <w:r>
        <w:rPr>
          <w:color w:val="131413"/>
        </w:rPr>
        <w:t>describe</w:t>
      </w:r>
      <w:r>
        <w:rPr>
          <w:color w:val="131413"/>
          <w:spacing w:val="-12"/>
        </w:rPr>
        <w:t> </w:t>
      </w:r>
      <w:r>
        <w:rPr>
          <w:color w:val="131413"/>
        </w:rPr>
        <w:t>met</w:t>
      </w:r>
      <w:r>
        <w:rPr>
          <w:color w:val="131413"/>
          <w:spacing w:val="-13"/>
        </w:rPr>
        <w:t> </w:t>
      </w:r>
      <w:r>
        <w:rPr>
          <w:color w:val="131413"/>
        </w:rPr>
        <w:t>the</w:t>
      </w:r>
      <w:r>
        <w:rPr>
          <w:color w:val="131413"/>
          <w:spacing w:val="-12"/>
        </w:rPr>
        <w:t> </w:t>
      </w:r>
      <w:r>
        <w:rPr>
          <w:color w:val="131413"/>
        </w:rPr>
        <w:t>major</w:t>
      </w:r>
      <w:r>
        <w:rPr>
          <w:color w:val="131413"/>
          <w:spacing w:val="-13"/>
        </w:rPr>
        <w:t> </w:t>
      </w:r>
      <w:r>
        <w:rPr>
          <w:color w:val="131413"/>
        </w:rPr>
        <w:t>clinical</w:t>
      </w:r>
      <w:r>
        <w:rPr>
          <w:color w:val="131413"/>
          <w:spacing w:val="-12"/>
        </w:rPr>
        <w:t> </w:t>
      </w:r>
      <w:r>
        <w:rPr>
          <w:color w:val="131413"/>
        </w:rPr>
        <w:t>and</w:t>
      </w:r>
      <w:r>
        <w:rPr>
          <w:color w:val="131413"/>
          <w:spacing w:val="-13"/>
        </w:rPr>
        <w:t> </w:t>
      </w:r>
      <w:r>
        <w:rPr>
          <w:color w:val="131413"/>
        </w:rPr>
        <w:t>radiolog- </w:t>
      </w:r>
      <w:r>
        <w:rPr>
          <w:color w:val="131413"/>
          <w:spacing w:val="-2"/>
        </w:rPr>
        <w:t>ical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diagnostic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criteria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definite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FXTAS.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However,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he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was </w:t>
      </w:r>
      <w:r>
        <w:rPr>
          <w:color w:val="131413"/>
        </w:rPr>
        <w:t>found to be affected by POLG-A. Varying degrees of </w:t>
      </w:r>
      <w:r>
        <w:rPr>
          <w:color w:val="131413"/>
          <w:spacing w:val="-4"/>
        </w:rPr>
        <w:t>cerebelllar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hyperintensities</w:t>
      </w:r>
      <w:r>
        <w:rPr>
          <w:color w:val="131413"/>
          <w:spacing w:val="-9"/>
        </w:rPr>
        <w:t> </w:t>
      </w:r>
      <w:r>
        <w:rPr>
          <w:color w:val="131413"/>
          <w:spacing w:val="-4"/>
        </w:rPr>
        <w:t>occur in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38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%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POLG-A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patients </w:t>
      </w:r>
      <w:r>
        <w:rPr>
          <w:color w:val="131413"/>
        </w:rPr>
        <w:t>[</w:t>
      </w:r>
      <w:hyperlink w:history="true" w:anchor="_bookmark3">
        <w:r>
          <w:rPr>
            <w:color w:val="3A2A97"/>
          </w:rPr>
          <w:t>3</w:t>
        </w:r>
      </w:hyperlink>
      <w:r>
        <w:rPr>
          <w:color w:val="131413"/>
        </w:rPr>
        <w:t>]. As in our case, absence of cerebellar atrophy has been reported</w:t>
      </w:r>
      <w:r>
        <w:rPr>
          <w:color w:val="131413"/>
          <w:spacing w:val="-12"/>
        </w:rPr>
        <w:t> </w:t>
      </w:r>
      <w:r>
        <w:rPr>
          <w:color w:val="131413"/>
        </w:rPr>
        <w:t>in</w:t>
      </w:r>
      <w:r>
        <w:rPr>
          <w:color w:val="131413"/>
          <w:spacing w:val="-12"/>
        </w:rPr>
        <w:t> </w:t>
      </w:r>
      <w:r>
        <w:rPr>
          <w:color w:val="131413"/>
        </w:rPr>
        <w:t>up</w:t>
      </w:r>
      <w:r>
        <w:rPr>
          <w:color w:val="131413"/>
          <w:spacing w:val="-12"/>
        </w:rPr>
        <w:t> </w:t>
      </w:r>
      <w:r>
        <w:rPr>
          <w:color w:val="131413"/>
        </w:rPr>
        <w:t>to</w:t>
      </w:r>
      <w:r>
        <w:rPr>
          <w:color w:val="131413"/>
          <w:spacing w:val="-12"/>
        </w:rPr>
        <w:t> </w:t>
      </w:r>
      <w:r>
        <w:rPr>
          <w:color w:val="131413"/>
        </w:rPr>
        <w:t>31</w:t>
      </w:r>
      <w:r>
        <w:rPr>
          <w:color w:val="131413"/>
          <w:spacing w:val="-12"/>
        </w:rPr>
        <w:t> </w:t>
      </w:r>
      <w:r>
        <w:rPr>
          <w:color w:val="131413"/>
        </w:rPr>
        <w:t>%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POLG-A</w:t>
      </w:r>
      <w:r>
        <w:rPr>
          <w:color w:val="131413"/>
          <w:spacing w:val="-10"/>
        </w:rPr>
        <w:t> </w:t>
      </w:r>
      <w:r>
        <w:rPr>
          <w:color w:val="131413"/>
        </w:rPr>
        <w:t>subjects</w:t>
      </w:r>
      <w:r>
        <w:rPr>
          <w:color w:val="131413"/>
          <w:spacing w:val="-13"/>
        </w:rPr>
        <w:t> </w:t>
      </w:r>
      <w:r>
        <w:rPr>
          <w:color w:val="131413"/>
        </w:rPr>
        <w:t>[</w:t>
      </w:r>
      <w:hyperlink w:history="true" w:anchor="_bookmark3">
        <w:r>
          <w:rPr>
            <w:color w:val="3A2A97"/>
          </w:rPr>
          <w:t>3</w:t>
        </w:r>
      </w:hyperlink>
      <w:r>
        <w:rPr>
          <w:color w:val="131413"/>
        </w:rPr>
        <w:t>].</w:t>
      </w:r>
      <w:r>
        <w:rPr>
          <w:color w:val="131413"/>
          <w:spacing w:val="-12"/>
        </w:rPr>
        <w:t> </w:t>
      </w:r>
      <w:r>
        <w:rPr>
          <w:color w:val="131413"/>
        </w:rPr>
        <w:t>Ataxia,</w:t>
      </w:r>
      <w:r>
        <w:rPr>
          <w:color w:val="131413"/>
          <w:spacing w:val="-11"/>
        </w:rPr>
        <w:t> </w:t>
      </w:r>
      <w:r>
        <w:rPr>
          <w:color w:val="131413"/>
        </w:rPr>
        <w:t>cog- </w:t>
      </w:r>
      <w:r>
        <w:rPr>
          <w:color w:val="131413"/>
          <w:spacing w:val="-4"/>
        </w:rPr>
        <w:t>nitive decline and varying degrees of polyneuropathy occur in </w:t>
      </w:r>
      <w:r>
        <w:rPr>
          <w:color w:val="131413"/>
        </w:rPr>
        <w:t>both</w:t>
      </w:r>
      <w:r>
        <w:rPr>
          <w:color w:val="131413"/>
          <w:spacing w:val="-10"/>
        </w:rPr>
        <w:t> </w:t>
      </w:r>
      <w:r>
        <w:rPr>
          <w:color w:val="131413"/>
        </w:rPr>
        <w:t>POLG-A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10"/>
        </w:rPr>
        <w:t> </w:t>
      </w:r>
      <w:r>
        <w:rPr>
          <w:color w:val="131413"/>
        </w:rPr>
        <w:t>FXTAS.</w:t>
      </w:r>
      <w:r>
        <w:rPr>
          <w:color w:val="131413"/>
          <w:spacing w:val="-10"/>
        </w:rPr>
        <w:t> </w:t>
      </w:r>
      <w:r>
        <w:rPr>
          <w:color w:val="131413"/>
        </w:rPr>
        <w:t>Sensory</w:t>
      </w:r>
      <w:r>
        <w:rPr>
          <w:color w:val="131413"/>
          <w:spacing w:val="-10"/>
        </w:rPr>
        <w:t> </w:t>
      </w:r>
      <w:r>
        <w:rPr>
          <w:color w:val="131413"/>
        </w:rPr>
        <w:t>axonal</w:t>
      </w:r>
      <w:r>
        <w:rPr>
          <w:color w:val="131413"/>
          <w:spacing w:val="-11"/>
        </w:rPr>
        <w:t> </w:t>
      </w:r>
      <w:r>
        <w:rPr>
          <w:color w:val="131413"/>
        </w:rPr>
        <w:t>polyneuropathy is</w:t>
      </w:r>
      <w:r>
        <w:rPr>
          <w:color w:val="131413"/>
          <w:spacing w:val="27"/>
        </w:rPr>
        <w:t> </w:t>
      </w:r>
      <w:r>
        <w:rPr>
          <w:color w:val="131413"/>
        </w:rPr>
        <w:t>very</w:t>
      </w:r>
      <w:r>
        <w:rPr>
          <w:color w:val="131413"/>
          <w:spacing w:val="27"/>
        </w:rPr>
        <w:t> </w:t>
      </w:r>
      <w:r>
        <w:rPr>
          <w:color w:val="131413"/>
        </w:rPr>
        <w:t>common</w:t>
      </w:r>
      <w:r>
        <w:rPr>
          <w:color w:val="131413"/>
          <w:spacing w:val="27"/>
        </w:rPr>
        <w:t> </w:t>
      </w:r>
      <w:r>
        <w:rPr>
          <w:color w:val="131413"/>
        </w:rPr>
        <w:t>in</w:t>
      </w:r>
      <w:r>
        <w:rPr>
          <w:color w:val="131413"/>
          <w:spacing w:val="27"/>
        </w:rPr>
        <w:t> </w:t>
      </w:r>
      <w:r>
        <w:rPr>
          <w:color w:val="131413"/>
        </w:rPr>
        <w:t>subjects</w:t>
      </w:r>
      <w:r>
        <w:rPr>
          <w:color w:val="131413"/>
          <w:spacing w:val="26"/>
        </w:rPr>
        <w:t> </w:t>
      </w:r>
      <w:r>
        <w:rPr>
          <w:color w:val="131413"/>
        </w:rPr>
        <w:t>with</w:t>
      </w:r>
      <w:r>
        <w:rPr>
          <w:color w:val="131413"/>
          <w:spacing w:val="27"/>
        </w:rPr>
        <w:t> </w:t>
      </w:r>
      <w:r>
        <w:rPr>
          <w:color w:val="131413"/>
        </w:rPr>
        <w:t>POLG</w:t>
      </w:r>
      <w:r>
        <w:rPr>
          <w:color w:val="131413"/>
          <w:spacing w:val="27"/>
        </w:rPr>
        <w:t> </w:t>
      </w:r>
      <w:r>
        <w:rPr>
          <w:color w:val="131413"/>
        </w:rPr>
        <w:t>mutations</w:t>
      </w:r>
      <w:r>
        <w:rPr>
          <w:color w:val="131413"/>
          <w:spacing w:val="27"/>
        </w:rPr>
        <w:t> </w:t>
      </w:r>
      <w:r>
        <w:rPr>
          <w:color w:val="131413"/>
        </w:rPr>
        <w:t>[</w:t>
      </w:r>
      <w:hyperlink w:history="true" w:anchor="_bookmark1">
        <w:r>
          <w:rPr>
            <w:color w:val="3A2A97"/>
          </w:rPr>
          <w:t>1</w:t>
        </w:r>
      </w:hyperlink>
      <w:r>
        <w:rPr>
          <w:color w:val="131413"/>
        </w:rPr>
        <w:t>,</w:t>
      </w:r>
      <w:r>
        <w:rPr>
          <w:color w:val="131413"/>
          <w:spacing w:val="26"/>
        </w:rPr>
        <w:t> </w:t>
      </w:r>
      <w:hyperlink w:history="true" w:anchor="_bookmark3">
        <w:r>
          <w:rPr>
            <w:color w:val="3A2A97"/>
          </w:rPr>
          <w:t>3</w:t>
        </w:r>
      </w:hyperlink>
      <w:r>
        <w:rPr>
          <w:color w:val="131413"/>
        </w:rPr>
        <w:t>]</w:t>
      </w:r>
    </w:p>
    <w:p>
      <w:pPr>
        <w:pStyle w:val="BodyText"/>
        <w:spacing w:after="0" w:line="259" w:lineRule="auto"/>
        <w:jc w:val="both"/>
        <w:sectPr>
          <w:type w:val="continuous"/>
          <w:pgSz w:w="11910" w:h="15820"/>
          <w:pgMar w:header="649" w:footer="972" w:top="820" w:bottom="1160" w:left="992" w:right="992"/>
          <w:cols w:num="2" w:equalWidth="0">
            <w:col w:w="4803" w:space="299"/>
            <w:col w:w="4824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spacing w:before="30"/>
        <w:rPr>
          <w:sz w:val="17"/>
        </w:rPr>
      </w:pPr>
    </w:p>
    <w:p>
      <w:pPr>
        <w:spacing w:line="244" w:lineRule="auto" w:before="1"/>
        <w:ind w:left="28" w:right="7688" w:hanging="1"/>
        <w:jc w:val="left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2946234</wp:posOffset>
            </wp:positionH>
            <wp:positionV relativeFrom="paragraph">
              <wp:posOffset>567</wp:posOffset>
            </wp:positionV>
            <wp:extent cx="3967569" cy="3763441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569" cy="3763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31413"/>
          <w:sz w:val="17"/>
        </w:rPr>
        <w:t>Fig. 1</w:t>
      </w:r>
      <w:r>
        <w:rPr>
          <w:color w:val="131413"/>
          <w:spacing w:val="40"/>
          <w:sz w:val="17"/>
        </w:rPr>
        <w:t> </w:t>
      </w:r>
      <w:r>
        <w:rPr>
          <w:i/>
          <w:color w:val="131413"/>
          <w:sz w:val="17"/>
        </w:rPr>
        <w:t>Upper </w:t>
      </w:r>
      <w:r>
        <w:rPr>
          <w:color w:val="131413"/>
          <w:sz w:val="17"/>
        </w:rPr>
        <w:t>and </w:t>
      </w:r>
      <w:r>
        <w:rPr>
          <w:i/>
          <w:color w:val="131413"/>
          <w:sz w:val="17"/>
        </w:rPr>
        <w:t>lower left </w:t>
      </w:r>
      <w:r>
        <w:rPr>
          <w:i/>
          <w:color w:val="131413"/>
          <w:spacing w:val="-2"/>
          <w:sz w:val="17"/>
        </w:rPr>
        <w:t>panel</w:t>
      </w:r>
      <w:r>
        <w:rPr>
          <w:color w:val="131413"/>
          <w:spacing w:val="-2"/>
          <w:sz w:val="17"/>
        </w:rPr>
        <w:t>: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coronary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axial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FLAIR </w:t>
      </w:r>
      <w:r>
        <w:rPr>
          <w:color w:val="131413"/>
          <w:sz w:val="17"/>
        </w:rPr>
        <w:t>image sequences displaying </w:t>
      </w:r>
      <w:r>
        <w:rPr>
          <w:color w:val="131413"/>
          <w:spacing w:val="-4"/>
          <w:sz w:val="17"/>
        </w:rPr>
        <w:t>symmetric MCP hyperintensities.</w:t>
      </w:r>
      <w:r>
        <w:rPr>
          <w:color w:val="131413"/>
          <w:sz w:val="17"/>
        </w:rPr>
        <w:t> </w:t>
      </w:r>
      <w:r>
        <w:rPr>
          <w:i/>
          <w:color w:val="131413"/>
          <w:sz w:val="17"/>
        </w:rPr>
        <w:t>Upper </w:t>
      </w:r>
      <w:r>
        <w:rPr>
          <w:color w:val="131413"/>
          <w:sz w:val="17"/>
        </w:rPr>
        <w:t>and </w:t>
      </w:r>
      <w:r>
        <w:rPr>
          <w:i/>
          <w:color w:val="131413"/>
          <w:sz w:val="17"/>
        </w:rPr>
        <w:t>lower right panels</w:t>
      </w:r>
      <w:r>
        <w:rPr>
          <w:color w:val="131413"/>
          <w:sz w:val="17"/>
        </w:rPr>
        <w:t>: T2-weighted sagittal and axial sequences displaying a mega cisterna magna but normal size cerebellum. </w:t>
      </w:r>
      <w:r>
        <w:rPr>
          <w:i/>
          <w:color w:val="131413"/>
          <w:sz w:val="17"/>
        </w:rPr>
        <w:t>MCP </w:t>
      </w:r>
      <w:r>
        <w:rPr>
          <w:color w:val="131413"/>
          <w:sz w:val="17"/>
        </w:rPr>
        <w:t>middle cerebellar peduncles</w:t>
      </w:r>
    </w:p>
    <w:p>
      <w:pPr>
        <w:spacing w:after="0" w:line="244" w:lineRule="auto"/>
        <w:jc w:val="left"/>
        <w:rPr>
          <w:sz w:val="17"/>
        </w:rPr>
        <w:sectPr>
          <w:type w:val="continuous"/>
          <w:pgSz w:w="11910" w:h="15820"/>
          <w:pgMar w:header="649" w:footer="972" w:top="820" w:bottom="1160" w:left="992" w:right="992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11910" w:h="15820"/>
          <w:pgMar w:header="629" w:footer="972" w:top="900" w:bottom="1160" w:left="992" w:right="992"/>
        </w:sectPr>
      </w:pPr>
    </w:p>
    <w:p>
      <w:pPr>
        <w:pStyle w:val="BodyText"/>
        <w:spacing w:line="259" w:lineRule="auto" w:before="112"/>
        <w:ind w:left="27" w:right="3" w:firstLine="1"/>
        <w:jc w:val="both"/>
      </w:pPr>
      <w:r>
        <w:rPr>
          <w:color w:val="131413"/>
          <w:spacing w:val="-4"/>
        </w:rPr>
        <w:t>whereas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large-fiber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sensory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polyneuropathy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occurs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FXTAS </w:t>
      </w:r>
      <w:r>
        <w:rPr>
          <w:color w:val="131413"/>
        </w:rPr>
        <w:t>[</w:t>
      </w:r>
      <w:hyperlink w:history="true" w:anchor="_bookmark4">
        <w:r>
          <w:rPr>
            <w:color w:val="3A2A97"/>
          </w:rPr>
          <w:t>4</w:t>
        </w:r>
      </w:hyperlink>
      <w:r>
        <w:rPr>
          <w:color w:val="131413"/>
        </w:rPr>
        <w:t>].</w:t>
      </w:r>
      <w:r>
        <w:rPr>
          <w:color w:val="131413"/>
          <w:spacing w:val="-9"/>
        </w:rPr>
        <w:t> </w:t>
      </w:r>
      <w:r>
        <w:rPr>
          <w:color w:val="131413"/>
        </w:rPr>
        <w:t>Evidence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9"/>
        </w:rPr>
        <w:t> </w:t>
      </w:r>
      <w:r>
        <w:rPr>
          <w:color w:val="131413"/>
        </w:rPr>
        <w:t>sensory</w:t>
      </w:r>
      <w:r>
        <w:rPr>
          <w:color w:val="131413"/>
          <w:spacing w:val="-8"/>
        </w:rPr>
        <w:t> </w:t>
      </w:r>
      <w:r>
        <w:rPr>
          <w:color w:val="131413"/>
        </w:rPr>
        <w:t>neuronopathy</w:t>
      </w:r>
      <w:r>
        <w:rPr>
          <w:color w:val="131413"/>
          <w:spacing w:val="-9"/>
        </w:rPr>
        <w:t> </w:t>
      </w:r>
      <w:r>
        <w:rPr>
          <w:color w:val="131413"/>
        </w:rPr>
        <w:t>also</w:t>
      </w:r>
      <w:r>
        <w:rPr>
          <w:color w:val="131413"/>
          <w:spacing w:val="-9"/>
        </w:rPr>
        <w:t> </w:t>
      </w:r>
      <w:r>
        <w:rPr>
          <w:color w:val="131413"/>
        </w:rPr>
        <w:t>exist</w:t>
      </w:r>
      <w:r>
        <w:rPr>
          <w:color w:val="131413"/>
          <w:spacing w:val="-7"/>
        </w:rPr>
        <w:t> </w:t>
      </w: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FXTAS [</w:t>
      </w:r>
      <w:hyperlink w:history="true" w:anchor="_bookmark5">
        <w:r>
          <w:rPr>
            <w:color w:val="3A2A97"/>
          </w:rPr>
          <w:t>5</w:t>
        </w:r>
      </w:hyperlink>
      <w:r>
        <w:rPr>
          <w:color w:val="131413"/>
        </w:rPr>
        <w:t>].</w:t>
      </w:r>
      <w:r>
        <w:rPr>
          <w:color w:val="131413"/>
          <w:spacing w:val="-11"/>
        </w:rPr>
        <w:t> </w:t>
      </w:r>
      <w:r>
        <w:rPr>
          <w:color w:val="131413"/>
        </w:rPr>
        <w:t>An</w:t>
      </w:r>
      <w:r>
        <w:rPr>
          <w:color w:val="131413"/>
          <w:spacing w:val="-11"/>
        </w:rPr>
        <w:t> </w:t>
      </w:r>
      <w:r>
        <w:rPr>
          <w:color w:val="131413"/>
        </w:rPr>
        <w:t>unusual</w:t>
      </w:r>
      <w:r>
        <w:rPr>
          <w:color w:val="131413"/>
          <w:spacing w:val="-10"/>
        </w:rPr>
        <w:t> </w:t>
      </w:r>
      <w:r>
        <w:rPr>
          <w:color w:val="131413"/>
        </w:rPr>
        <w:t>feature</w:t>
      </w:r>
      <w:r>
        <w:rPr>
          <w:color w:val="131413"/>
          <w:spacing w:val="-10"/>
        </w:rPr>
        <w:t> </w:t>
      </w:r>
      <w:r>
        <w:rPr>
          <w:color w:val="131413"/>
        </w:rPr>
        <w:t>in</w:t>
      </w:r>
      <w:r>
        <w:rPr>
          <w:color w:val="131413"/>
          <w:spacing w:val="-10"/>
        </w:rPr>
        <w:t> </w:t>
      </w:r>
      <w:r>
        <w:rPr>
          <w:color w:val="131413"/>
        </w:rPr>
        <w:t>our</w:t>
      </w:r>
      <w:r>
        <w:rPr>
          <w:color w:val="131413"/>
          <w:spacing w:val="-10"/>
        </w:rPr>
        <w:t> </w:t>
      </w:r>
      <w:r>
        <w:rPr>
          <w:color w:val="131413"/>
        </w:rPr>
        <w:t>case</w:t>
      </w:r>
      <w:r>
        <w:rPr>
          <w:color w:val="131413"/>
          <w:spacing w:val="-12"/>
        </w:rPr>
        <w:t> </w:t>
      </w:r>
      <w:r>
        <w:rPr>
          <w:color w:val="131413"/>
        </w:rPr>
        <w:t>is</w:t>
      </w:r>
      <w:r>
        <w:rPr>
          <w:color w:val="131413"/>
          <w:spacing w:val="-11"/>
        </w:rPr>
        <w:t> </w:t>
      </w:r>
      <w:r>
        <w:rPr>
          <w:color w:val="131413"/>
        </w:rPr>
        <w:t>the</w:t>
      </w:r>
      <w:r>
        <w:rPr>
          <w:color w:val="131413"/>
          <w:spacing w:val="-10"/>
        </w:rPr>
        <w:t> </w:t>
      </w:r>
      <w:r>
        <w:rPr>
          <w:color w:val="131413"/>
        </w:rPr>
        <w:t>presence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parkin- sonism,</w:t>
      </w:r>
      <w:r>
        <w:rPr>
          <w:color w:val="131413"/>
          <w:spacing w:val="-13"/>
        </w:rPr>
        <w:t> </w:t>
      </w:r>
      <w:r>
        <w:rPr>
          <w:color w:val="131413"/>
        </w:rPr>
        <w:t>which</w:t>
      </w:r>
      <w:r>
        <w:rPr>
          <w:color w:val="131413"/>
          <w:spacing w:val="-12"/>
        </w:rPr>
        <w:t> </w:t>
      </w:r>
      <w:r>
        <w:rPr>
          <w:color w:val="131413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rather</w:t>
      </w:r>
      <w:r>
        <w:rPr>
          <w:color w:val="131413"/>
          <w:spacing w:val="-12"/>
        </w:rPr>
        <w:t> </w:t>
      </w:r>
      <w:r>
        <w:rPr>
          <w:color w:val="131413"/>
        </w:rPr>
        <w:t>rare</w:t>
      </w:r>
      <w:r>
        <w:rPr>
          <w:color w:val="131413"/>
          <w:spacing w:val="-13"/>
        </w:rPr>
        <w:t> </w:t>
      </w:r>
      <w:r>
        <w:rPr>
          <w:color w:val="131413"/>
        </w:rPr>
        <w:t>among</w:t>
      </w:r>
      <w:r>
        <w:rPr>
          <w:color w:val="131413"/>
          <w:spacing w:val="-12"/>
        </w:rPr>
        <w:t> </w:t>
      </w:r>
      <w:r>
        <w:rPr>
          <w:color w:val="131413"/>
        </w:rPr>
        <w:t>subjects</w:t>
      </w:r>
      <w:r>
        <w:rPr>
          <w:color w:val="131413"/>
          <w:spacing w:val="-13"/>
        </w:rPr>
        <w:t> </w:t>
      </w:r>
      <w:r>
        <w:rPr>
          <w:color w:val="131413"/>
        </w:rPr>
        <w:t>with</w:t>
      </w:r>
      <w:r>
        <w:rPr>
          <w:color w:val="131413"/>
          <w:spacing w:val="-12"/>
        </w:rPr>
        <w:t> </w:t>
      </w:r>
      <w:r>
        <w:rPr>
          <w:color w:val="131413"/>
        </w:rPr>
        <w:t>POLG</w:t>
      </w:r>
      <w:r>
        <w:rPr>
          <w:color w:val="131413"/>
          <w:spacing w:val="-13"/>
        </w:rPr>
        <w:t> </w:t>
      </w:r>
      <w:r>
        <w:rPr>
          <w:color w:val="131413"/>
        </w:rPr>
        <w:t>mu- </w:t>
      </w:r>
      <w:r>
        <w:rPr>
          <w:color w:val="131413"/>
          <w:spacing w:val="-2"/>
        </w:rPr>
        <w:t>tations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in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absence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progressive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external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opthalmoplegia </w:t>
      </w:r>
      <w:r>
        <w:rPr>
          <w:color w:val="131413"/>
        </w:rPr>
        <w:t>(PEO) [</w:t>
      </w:r>
      <w:hyperlink w:history="true" w:anchor="_bookmark6">
        <w:r>
          <w:rPr>
            <w:color w:val="3A2A97"/>
          </w:rPr>
          <w:t>6</w:t>
        </w:r>
      </w:hyperlink>
      <w:r>
        <w:rPr>
          <w:color w:val="131413"/>
        </w:rPr>
        <w:t>] but is more common in FXTAS with prevalence ranging</w:t>
      </w:r>
      <w:r>
        <w:rPr>
          <w:color w:val="131413"/>
          <w:spacing w:val="-8"/>
        </w:rPr>
        <w:t> </w:t>
      </w:r>
      <w:r>
        <w:rPr>
          <w:color w:val="131413"/>
        </w:rPr>
        <w:t>between</w:t>
      </w:r>
      <w:r>
        <w:rPr>
          <w:color w:val="131413"/>
          <w:spacing w:val="-8"/>
        </w:rPr>
        <w:t> </w:t>
      </w:r>
      <w:r>
        <w:rPr>
          <w:color w:val="131413"/>
        </w:rPr>
        <w:t>24</w:t>
      </w:r>
      <w:r>
        <w:rPr>
          <w:color w:val="131413"/>
          <w:spacing w:val="-8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67</w:t>
      </w:r>
      <w:r>
        <w:rPr>
          <w:color w:val="131413"/>
          <w:spacing w:val="-9"/>
        </w:rPr>
        <w:t> </w:t>
      </w:r>
      <w:r>
        <w:rPr>
          <w:color w:val="131413"/>
        </w:rPr>
        <w:t>%</w:t>
      </w:r>
      <w:r>
        <w:rPr>
          <w:color w:val="131413"/>
          <w:spacing w:val="-6"/>
        </w:rPr>
        <w:t> </w:t>
      </w:r>
      <w:r>
        <w:rPr>
          <w:color w:val="131413"/>
        </w:rPr>
        <w:t>[</w:t>
      </w:r>
      <w:hyperlink w:history="true" w:anchor="_bookmark5">
        <w:r>
          <w:rPr>
            <w:color w:val="3A2A97"/>
          </w:rPr>
          <w:t>5</w:t>
        </w:r>
      </w:hyperlink>
      <w:r>
        <w:rPr>
          <w:color w:val="131413"/>
        </w:rPr>
        <w:t>,</w:t>
      </w:r>
      <w:r>
        <w:rPr>
          <w:color w:val="131413"/>
          <w:spacing w:val="-8"/>
        </w:rPr>
        <w:t> </w:t>
      </w:r>
      <w:hyperlink w:history="true" w:anchor="_bookmark7">
        <w:r>
          <w:rPr>
            <w:color w:val="3A2A97"/>
          </w:rPr>
          <w:t>7</w:t>
        </w:r>
      </w:hyperlink>
      <w:r>
        <w:rPr>
          <w:color w:val="131413"/>
        </w:rPr>
        <w:t>,</w:t>
      </w:r>
      <w:r>
        <w:rPr>
          <w:color w:val="131413"/>
          <w:spacing w:val="-7"/>
        </w:rPr>
        <w:t> </w:t>
      </w:r>
      <w:hyperlink w:history="true" w:anchor="_bookmark8">
        <w:r>
          <w:rPr>
            <w:color w:val="3A2A97"/>
          </w:rPr>
          <w:t>8</w:t>
        </w:r>
      </w:hyperlink>
      <w:r>
        <w:rPr>
          <w:color w:val="131413"/>
        </w:rPr>
        <w:t>].</w:t>
      </w:r>
      <w:r>
        <w:rPr>
          <w:color w:val="131413"/>
          <w:spacing w:val="-9"/>
        </w:rPr>
        <w:t> </w:t>
      </w:r>
      <w:r>
        <w:rPr>
          <w:color w:val="131413"/>
        </w:rPr>
        <w:t>Hearing</w:t>
      </w:r>
      <w:r>
        <w:rPr>
          <w:color w:val="131413"/>
          <w:spacing w:val="-8"/>
        </w:rPr>
        <w:t> </w:t>
      </w:r>
      <w:r>
        <w:rPr>
          <w:color w:val="131413"/>
        </w:rPr>
        <w:t>loss</w:t>
      </w:r>
      <w:r>
        <w:rPr>
          <w:color w:val="131413"/>
          <w:spacing w:val="-8"/>
        </w:rPr>
        <w:t> </w:t>
      </w:r>
      <w:r>
        <w:rPr>
          <w:color w:val="131413"/>
        </w:rPr>
        <w:t>is</w:t>
      </w:r>
      <w:r>
        <w:rPr>
          <w:color w:val="131413"/>
          <w:spacing w:val="-8"/>
        </w:rPr>
        <w:t> </w:t>
      </w:r>
      <w:r>
        <w:rPr>
          <w:color w:val="131413"/>
        </w:rPr>
        <w:t>com- mon in mitochondrial disorders and in FXTAS; it has been </w:t>
      </w:r>
      <w:r>
        <w:rPr>
          <w:color w:val="131413"/>
          <w:spacing w:val="-6"/>
        </w:rPr>
        <w:t>reported in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50 %</w:t>
      </w:r>
      <w:r>
        <w:rPr>
          <w:color w:val="131413"/>
          <w:spacing w:val="-2"/>
        </w:rPr>
        <w:t> </w:t>
      </w:r>
      <w:r>
        <w:rPr>
          <w:color w:val="131413"/>
          <w:spacing w:val="-6"/>
        </w:rPr>
        <w:t>of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FXTAS</w:t>
      </w:r>
      <w:r>
        <w:rPr>
          <w:color w:val="131413"/>
          <w:spacing w:val="-4"/>
        </w:rPr>
        <w:t> </w:t>
      </w:r>
      <w:r>
        <w:rPr>
          <w:color w:val="131413"/>
          <w:spacing w:val="-6"/>
        </w:rPr>
        <w:t>patients [</w:t>
      </w:r>
      <w:hyperlink w:history="true" w:anchor="_bookmark8">
        <w:r>
          <w:rPr>
            <w:color w:val="3A2A97"/>
            <w:spacing w:val="-6"/>
          </w:rPr>
          <w:t>8</w:t>
        </w:r>
      </w:hyperlink>
      <w:r>
        <w:rPr>
          <w:color w:val="131413"/>
          <w:spacing w:val="-6"/>
        </w:rPr>
        <w:t>]</w:t>
      </w:r>
      <w:r>
        <w:rPr>
          <w:color w:val="131413"/>
          <w:spacing w:val="-4"/>
        </w:rPr>
        <w:t> </w:t>
      </w:r>
      <w:r>
        <w:rPr>
          <w:color w:val="131413"/>
          <w:spacing w:val="-6"/>
        </w:rPr>
        <w:t>and</w:t>
      </w:r>
      <w:r>
        <w:rPr>
          <w:color w:val="131413"/>
          <w:spacing w:val="-3"/>
        </w:rPr>
        <w:t> </w:t>
      </w:r>
      <w:r>
        <w:rPr>
          <w:color w:val="131413"/>
          <w:spacing w:val="-6"/>
        </w:rPr>
        <w:t>in 31</w:t>
      </w:r>
      <w:r>
        <w:rPr>
          <w:color w:val="131413"/>
          <w:spacing w:val="-7"/>
        </w:rPr>
        <w:t> </w:t>
      </w:r>
      <w:r>
        <w:rPr>
          <w:color w:val="131413"/>
          <w:spacing w:val="-6"/>
        </w:rPr>
        <w:t>%</w:t>
      </w:r>
      <w:r>
        <w:rPr>
          <w:color w:val="131413"/>
          <w:spacing w:val="-1"/>
        </w:rPr>
        <w:t> </w:t>
      </w:r>
      <w:r>
        <w:rPr>
          <w:color w:val="131413"/>
          <w:spacing w:val="-6"/>
        </w:rPr>
        <w:t>of POLG- </w:t>
      </w:r>
      <w:r>
        <w:rPr>
          <w:color w:val="131413"/>
          <w:spacing w:val="-2"/>
        </w:rPr>
        <w:t>A patients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[</w:t>
      </w:r>
      <w:hyperlink w:history="true" w:anchor="_bookmark3">
        <w:r>
          <w:rPr>
            <w:color w:val="3A2A97"/>
            <w:spacing w:val="-2"/>
          </w:rPr>
          <w:t>3</w:t>
        </w:r>
      </w:hyperlink>
      <w:r>
        <w:rPr>
          <w:color w:val="131413"/>
          <w:spacing w:val="-2"/>
        </w:rPr>
        <w:t>].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Interestingly, premature ovarian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failure,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com- </w:t>
      </w:r>
      <w:r>
        <w:rPr>
          <w:color w:val="131413"/>
        </w:rPr>
        <w:t>monly seen in </w:t>
      </w:r>
      <w:r>
        <w:rPr>
          <w:i/>
          <w:color w:val="131413"/>
        </w:rPr>
        <w:t>FMR1 </w:t>
      </w:r>
      <w:r>
        <w:rPr>
          <w:color w:val="131413"/>
        </w:rPr>
        <w:t>premutation carriers, has</w:t>
      </w:r>
      <w:r>
        <w:rPr>
          <w:color w:val="131413"/>
          <w:spacing w:val="40"/>
        </w:rPr>
        <w:t> </w:t>
      </w:r>
      <w:r>
        <w:rPr>
          <w:color w:val="131413"/>
        </w:rPr>
        <w:t>also</w:t>
      </w:r>
      <w:r>
        <w:rPr>
          <w:color w:val="131413"/>
          <w:spacing w:val="40"/>
        </w:rPr>
        <w:t> </w:t>
      </w:r>
      <w:r>
        <w:rPr>
          <w:color w:val="131413"/>
        </w:rPr>
        <w:t>been described in POLG-associated ataxia [</w:t>
      </w:r>
      <w:hyperlink w:history="true" w:anchor="_bookmark9">
        <w:r>
          <w:rPr>
            <w:color w:val="3A2A97"/>
          </w:rPr>
          <w:t>9</w:t>
        </w:r>
      </w:hyperlink>
      <w:r>
        <w:rPr>
          <w:color w:val="131413"/>
        </w:rPr>
        <w:t>, </w:t>
      </w:r>
      <w:hyperlink w:history="true" w:anchor="_bookmark10">
        <w:r>
          <w:rPr>
            <w:color w:val="3A2A97"/>
          </w:rPr>
          <w:t>10</w:t>
        </w:r>
      </w:hyperlink>
      <w:r>
        <w:rPr>
          <w:color w:val="131413"/>
        </w:rPr>
        <w:t>]. Thus, the overlap between POLG mutations and </w:t>
      </w:r>
      <w:r>
        <w:rPr>
          <w:i/>
          <w:color w:val="131413"/>
        </w:rPr>
        <w:t>FMR1</w:t>
      </w:r>
      <w:r>
        <w:rPr>
          <w:color w:val="131413"/>
        </w:rPr>
        <w:t>-associated syndromes</w:t>
      </w:r>
      <w:r>
        <w:rPr>
          <w:color w:val="131413"/>
          <w:spacing w:val="40"/>
        </w:rPr>
        <w:t> </w:t>
      </w:r>
      <w:r>
        <w:rPr>
          <w:color w:val="131413"/>
        </w:rPr>
        <w:t>is</w:t>
      </w:r>
      <w:r>
        <w:rPr>
          <w:color w:val="131413"/>
          <w:spacing w:val="40"/>
        </w:rPr>
        <w:t> </w:t>
      </w:r>
      <w:r>
        <w:rPr>
          <w:color w:val="131413"/>
        </w:rPr>
        <w:t>striking.</w:t>
      </w:r>
      <w:r>
        <w:rPr>
          <w:color w:val="131413"/>
          <w:spacing w:val="40"/>
        </w:rPr>
        <w:t> </w:t>
      </w:r>
      <w:r>
        <w:rPr>
          <w:color w:val="131413"/>
        </w:rPr>
        <w:t>There</w:t>
      </w:r>
      <w:r>
        <w:rPr>
          <w:color w:val="131413"/>
          <w:spacing w:val="40"/>
        </w:rPr>
        <w:t> </w:t>
      </w:r>
      <w:r>
        <w:rPr>
          <w:color w:val="131413"/>
        </w:rPr>
        <w:t>are</w:t>
      </w:r>
      <w:r>
        <w:rPr>
          <w:color w:val="131413"/>
          <w:spacing w:val="40"/>
        </w:rPr>
        <w:t> </w:t>
      </w:r>
      <w:r>
        <w:rPr>
          <w:color w:val="131413"/>
        </w:rPr>
        <w:t>however</w:t>
      </w:r>
      <w:r>
        <w:rPr>
          <w:color w:val="131413"/>
          <w:spacing w:val="40"/>
        </w:rPr>
        <w:t> </w:t>
      </w:r>
      <w:r>
        <w:rPr>
          <w:color w:val="131413"/>
        </w:rPr>
        <w:t>differences, for instance the manifestations of POLG mutations are protean</w:t>
      </w:r>
      <w:r>
        <w:rPr>
          <w:color w:val="131413"/>
          <w:spacing w:val="40"/>
        </w:rPr>
        <w:t> </w:t>
      </w:r>
      <w:r>
        <w:rPr>
          <w:color w:val="131413"/>
        </w:rPr>
        <w:t>and include features unseen in FXTAS (epilepsy, myopathy,</w:t>
      </w:r>
      <w:r>
        <w:rPr>
          <w:color w:val="131413"/>
          <w:spacing w:val="-11"/>
        </w:rPr>
        <w:t> </w:t>
      </w:r>
      <w:r>
        <w:rPr>
          <w:color w:val="131413"/>
        </w:rPr>
        <w:t>liver</w:t>
      </w:r>
      <w:r>
        <w:rPr>
          <w:color w:val="131413"/>
          <w:spacing w:val="-11"/>
        </w:rPr>
        <w:t> </w:t>
      </w:r>
      <w:r>
        <w:rPr>
          <w:color w:val="131413"/>
        </w:rPr>
        <w:t>failure,</w:t>
      </w:r>
      <w:r>
        <w:rPr>
          <w:color w:val="131413"/>
          <w:spacing w:val="-12"/>
        </w:rPr>
        <w:t> </w:t>
      </w:r>
      <w:r>
        <w:rPr>
          <w:color w:val="131413"/>
        </w:rPr>
        <w:t>PEO,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11"/>
        </w:rPr>
        <w:t> </w:t>
      </w:r>
      <w:r>
        <w:rPr>
          <w:color w:val="131413"/>
        </w:rPr>
        <w:t>/or</w:t>
      </w:r>
      <w:r>
        <w:rPr>
          <w:color w:val="131413"/>
          <w:spacing w:val="-11"/>
        </w:rPr>
        <w:t> </w:t>
      </w:r>
      <w:r>
        <w:rPr>
          <w:color w:val="131413"/>
        </w:rPr>
        <w:t>encephalopathy),</w:t>
      </w:r>
      <w:r>
        <w:rPr>
          <w:color w:val="131413"/>
          <w:spacing w:val="-12"/>
        </w:rPr>
        <w:t> </w:t>
      </w:r>
      <w:r>
        <w:rPr>
          <w:color w:val="131413"/>
        </w:rPr>
        <w:t>with onsets</w:t>
      </w:r>
      <w:r>
        <w:rPr>
          <w:color w:val="131413"/>
          <w:spacing w:val="-1"/>
        </w:rPr>
        <w:t> </w:t>
      </w:r>
      <w:r>
        <w:rPr>
          <w:color w:val="131413"/>
        </w:rPr>
        <w:t>ranging from early infancy to</w:t>
      </w:r>
      <w:r>
        <w:rPr>
          <w:color w:val="131413"/>
          <w:spacing w:val="-1"/>
        </w:rPr>
        <w:t> </w:t>
      </w:r>
      <w:r>
        <w:rPr>
          <w:color w:val="131413"/>
        </w:rPr>
        <w:t>late</w:t>
      </w:r>
      <w:r>
        <w:rPr>
          <w:color w:val="131413"/>
          <w:spacing w:val="-1"/>
        </w:rPr>
        <w:t> </w:t>
      </w:r>
      <w:r>
        <w:rPr>
          <w:color w:val="131413"/>
        </w:rPr>
        <w:t>adulthood and the </w:t>
      </w:r>
      <w:r>
        <w:rPr>
          <w:color w:val="131413"/>
          <w:spacing w:val="-2"/>
        </w:rPr>
        <w:t>presence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hyperkinetic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features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like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chorea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and/or</w:t>
      </w:r>
      <w:r>
        <w:rPr>
          <w:color w:val="131413"/>
          <w:spacing w:val="-3"/>
        </w:rPr>
        <w:t> </w:t>
      </w:r>
      <w:r>
        <w:rPr>
          <w:color w:val="131413"/>
          <w:spacing w:val="-2"/>
        </w:rPr>
        <w:t>myoclo- </w:t>
      </w:r>
      <w:r>
        <w:rPr>
          <w:color w:val="131413"/>
        </w:rPr>
        <w:t>nus</w:t>
      </w:r>
      <w:r>
        <w:rPr>
          <w:color w:val="131413"/>
          <w:spacing w:val="-1"/>
        </w:rPr>
        <w:t> </w:t>
      </w:r>
      <w:r>
        <w:rPr>
          <w:color w:val="131413"/>
        </w:rPr>
        <w:t>[</w:t>
      </w:r>
      <w:hyperlink w:history="true" w:anchor="_bookmark1">
        <w:r>
          <w:rPr>
            <w:color w:val="3A2A97"/>
          </w:rPr>
          <w:t>1</w:t>
        </w:r>
      </w:hyperlink>
      <w:r>
        <w:rPr>
          <w:color w:val="131413"/>
        </w:rPr>
        <w:t>,</w:t>
      </w:r>
      <w:r>
        <w:rPr>
          <w:color w:val="131413"/>
          <w:spacing w:val="-1"/>
        </w:rPr>
        <w:t> </w:t>
      </w:r>
      <w:hyperlink w:history="true" w:anchor="_bookmark3">
        <w:r>
          <w:rPr>
            <w:color w:val="3A2A97"/>
          </w:rPr>
          <w:t>3</w:t>
        </w:r>
      </w:hyperlink>
      <w:r>
        <w:rPr>
          <w:color w:val="131413"/>
        </w:rPr>
        <w:t>].</w:t>
      </w:r>
      <w:r>
        <w:rPr>
          <w:color w:val="131413"/>
          <w:spacing w:val="-1"/>
        </w:rPr>
        <w:t> </w:t>
      </w:r>
      <w:r>
        <w:rPr>
          <w:color w:val="131413"/>
        </w:rPr>
        <w:t>Dystonia</w:t>
      </w:r>
      <w:r>
        <w:rPr>
          <w:color w:val="131413"/>
          <w:spacing w:val="-1"/>
        </w:rPr>
        <w:t> </w:t>
      </w:r>
      <w:r>
        <w:rPr>
          <w:color w:val="131413"/>
        </w:rPr>
        <w:t>occurs</w:t>
      </w:r>
      <w:r>
        <w:rPr>
          <w:color w:val="131413"/>
          <w:spacing w:val="-1"/>
        </w:rPr>
        <w:t> </w:t>
      </w:r>
      <w:r>
        <w:rPr>
          <w:color w:val="131413"/>
        </w:rPr>
        <w:t>also</w:t>
      </w:r>
      <w:r>
        <w:rPr>
          <w:color w:val="131413"/>
          <w:spacing w:val="-2"/>
        </w:rPr>
        <w:t> </w:t>
      </w:r>
      <w:r>
        <w:rPr>
          <w:color w:val="131413"/>
        </w:rPr>
        <w:t>in</w:t>
      </w:r>
      <w:r>
        <w:rPr>
          <w:color w:val="131413"/>
          <w:spacing w:val="-1"/>
        </w:rPr>
        <w:t> </w:t>
      </w:r>
      <w:r>
        <w:rPr>
          <w:color w:val="131413"/>
        </w:rPr>
        <w:t>POLG mutations</w:t>
      </w:r>
      <w:r>
        <w:rPr>
          <w:color w:val="131413"/>
          <w:spacing w:val="-2"/>
        </w:rPr>
        <w:t> </w:t>
      </w:r>
      <w:r>
        <w:rPr>
          <w:color w:val="131413"/>
        </w:rPr>
        <w:t>[</w:t>
      </w:r>
      <w:hyperlink w:history="true" w:anchor="_bookmark3">
        <w:r>
          <w:rPr>
            <w:color w:val="3A2A97"/>
          </w:rPr>
          <w:t>3</w:t>
        </w:r>
      </w:hyperlink>
      <w:r>
        <w:rPr>
          <w:color w:val="131413"/>
        </w:rPr>
        <w:t>] but seems to be very rare in FXTAS [</w:t>
      </w:r>
      <w:hyperlink w:history="true" w:anchor="_bookmark8">
        <w:r>
          <w:rPr>
            <w:color w:val="3A2A97"/>
          </w:rPr>
          <w:t>8</w:t>
        </w:r>
      </w:hyperlink>
      <w:r>
        <w:rPr>
          <w:color w:val="131413"/>
        </w:rPr>
        <w:t>].</w:t>
      </w:r>
    </w:p>
    <w:p>
      <w:pPr>
        <w:pStyle w:val="BodyText"/>
        <w:spacing w:line="259" w:lineRule="auto" w:before="14"/>
        <w:ind w:left="27" w:firstLine="226"/>
        <w:jc w:val="both"/>
      </w:pPr>
      <w:r>
        <w:rPr>
          <w:color w:val="131413"/>
          <w:spacing w:val="-4"/>
        </w:rPr>
        <w:t>There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are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no</w:t>
      </w:r>
      <w:r>
        <w:rPr>
          <w:color w:val="131413"/>
          <w:spacing w:val="-8"/>
        </w:rPr>
        <w:t> </w:t>
      </w:r>
      <w:r>
        <w:rPr>
          <w:color w:val="131413"/>
          <w:spacing w:val="-4"/>
        </w:rPr>
        <w:t>specific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radiological</w:t>
      </w:r>
      <w:r>
        <w:rPr>
          <w:color w:val="131413"/>
          <w:spacing w:val="-7"/>
        </w:rPr>
        <w:t> </w:t>
      </w:r>
      <w:r>
        <w:rPr>
          <w:color w:val="131413"/>
          <w:spacing w:val="-4"/>
        </w:rPr>
        <w:t>abnormalities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POLG- </w:t>
      </w:r>
      <w:r>
        <w:rPr>
          <w:color w:val="131413"/>
        </w:rPr>
        <w:t>associated ataxia; however, white matter abnormalities (WMA) in the cerebellum are common [</w:t>
      </w:r>
      <w:hyperlink w:history="true" w:anchor="_bookmark3">
        <w:r>
          <w:rPr>
            <w:color w:val="3A2A97"/>
          </w:rPr>
          <w:t>3</w:t>
        </w:r>
      </w:hyperlink>
      <w:r>
        <w:rPr>
          <w:color w:val="131413"/>
        </w:rPr>
        <w:t>]. In the present </w:t>
      </w:r>
      <w:r>
        <w:rPr>
          <w:color w:val="131413"/>
          <w:spacing w:val="-2"/>
        </w:rPr>
        <w:t>case,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abnormal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muscle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biopsy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contributed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to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raise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sus- picion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mitochondrial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disorder.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However,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muscle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biopsies </w:t>
      </w:r>
      <w:r>
        <w:rPr>
          <w:color w:val="131413"/>
        </w:rPr>
        <w:t>in subjects with POLG mutations are normal in most cases [</w:t>
      </w:r>
      <w:hyperlink w:history="true" w:anchor="_bookmark11">
        <w:r>
          <w:rPr>
            <w:color w:val="3A2A97"/>
          </w:rPr>
          <w:t>11</w:t>
        </w:r>
      </w:hyperlink>
      <w:r>
        <w:rPr>
          <w:color w:val="131413"/>
        </w:rPr>
        <w:t>].</w:t>
      </w:r>
      <w:r>
        <w:rPr>
          <w:color w:val="131413"/>
          <w:spacing w:val="-9"/>
        </w:rPr>
        <w:t> </w:t>
      </w:r>
      <w:r>
        <w:rPr>
          <w:color w:val="131413"/>
        </w:rPr>
        <w:t>There</w:t>
      </w:r>
      <w:r>
        <w:rPr>
          <w:color w:val="131413"/>
          <w:spacing w:val="-7"/>
        </w:rPr>
        <w:t> </w:t>
      </w:r>
      <w:r>
        <w:rPr>
          <w:color w:val="131413"/>
        </w:rPr>
        <w:t>are</w:t>
      </w:r>
      <w:r>
        <w:rPr>
          <w:color w:val="131413"/>
          <w:spacing w:val="-7"/>
        </w:rPr>
        <w:t> </w:t>
      </w:r>
      <w:r>
        <w:rPr>
          <w:color w:val="131413"/>
        </w:rPr>
        <w:t>no</w:t>
      </w:r>
      <w:r>
        <w:rPr>
          <w:color w:val="131413"/>
          <w:spacing w:val="-9"/>
        </w:rPr>
        <w:t> </w:t>
      </w:r>
      <w:r>
        <w:rPr>
          <w:color w:val="131413"/>
        </w:rPr>
        <w:t>specific</w:t>
      </w:r>
      <w:r>
        <w:rPr>
          <w:color w:val="131413"/>
          <w:spacing w:val="-8"/>
        </w:rPr>
        <w:t> </w:t>
      </w:r>
      <w:r>
        <w:rPr>
          <w:color w:val="131413"/>
        </w:rPr>
        <w:t>biochemical</w:t>
      </w:r>
      <w:r>
        <w:rPr>
          <w:color w:val="131413"/>
          <w:spacing w:val="-7"/>
        </w:rPr>
        <w:t> </w:t>
      </w:r>
      <w:r>
        <w:rPr>
          <w:color w:val="131413"/>
        </w:rPr>
        <w:t>analyses</w:t>
      </w:r>
      <w:r>
        <w:rPr>
          <w:color w:val="131413"/>
          <w:spacing w:val="-9"/>
        </w:rPr>
        <w:t> </w:t>
      </w:r>
      <w:r>
        <w:rPr>
          <w:color w:val="131413"/>
        </w:rPr>
        <w:t>for</w:t>
      </w:r>
      <w:r>
        <w:rPr>
          <w:color w:val="131413"/>
          <w:spacing w:val="-8"/>
        </w:rPr>
        <w:t> </w:t>
      </w:r>
      <w:r>
        <w:rPr>
          <w:color w:val="131413"/>
        </w:rPr>
        <w:t>POLG- ataxia</w:t>
      </w:r>
      <w:r>
        <w:rPr>
          <w:color w:val="131413"/>
          <w:spacing w:val="-11"/>
        </w:rPr>
        <w:t> </w:t>
      </w:r>
      <w:r>
        <w:rPr>
          <w:color w:val="131413"/>
        </w:rPr>
        <w:t>and</w:t>
      </w:r>
      <w:r>
        <w:rPr>
          <w:color w:val="131413"/>
          <w:spacing w:val="-9"/>
        </w:rPr>
        <w:t> </w:t>
      </w:r>
      <w:r>
        <w:rPr>
          <w:color w:val="131413"/>
        </w:rPr>
        <w:t>analysis</w:t>
      </w:r>
      <w:r>
        <w:rPr>
          <w:color w:val="131413"/>
          <w:spacing w:val="-11"/>
        </w:rPr>
        <w:t> </w:t>
      </w:r>
      <w:r>
        <w:rPr>
          <w:color w:val="131413"/>
        </w:rPr>
        <w:t>of</w:t>
      </w:r>
      <w:r>
        <w:rPr>
          <w:color w:val="131413"/>
          <w:spacing w:val="-11"/>
        </w:rPr>
        <w:t> </w:t>
      </w:r>
      <w:r>
        <w:rPr>
          <w:color w:val="131413"/>
        </w:rPr>
        <w:t>respiratory</w:t>
      </w:r>
      <w:r>
        <w:rPr>
          <w:color w:val="131413"/>
          <w:spacing w:val="-9"/>
        </w:rPr>
        <w:t> </w:t>
      </w:r>
      <w:r>
        <w:rPr>
          <w:color w:val="131413"/>
        </w:rPr>
        <w:t>chain</w:t>
      </w:r>
      <w:r>
        <w:rPr>
          <w:color w:val="131413"/>
          <w:spacing w:val="-9"/>
        </w:rPr>
        <w:t> </w:t>
      </w:r>
      <w:r>
        <w:rPr>
          <w:color w:val="131413"/>
        </w:rPr>
        <w:t>enzymes</w:t>
      </w:r>
      <w:r>
        <w:rPr>
          <w:color w:val="131413"/>
          <w:spacing w:val="-9"/>
        </w:rPr>
        <w:t> </w:t>
      </w:r>
      <w:r>
        <w:rPr>
          <w:color w:val="131413"/>
        </w:rPr>
        <w:t>can</w:t>
      </w:r>
      <w:r>
        <w:rPr>
          <w:color w:val="131413"/>
          <w:spacing w:val="-9"/>
        </w:rPr>
        <w:t> </w:t>
      </w:r>
      <w:r>
        <w:rPr>
          <w:color w:val="131413"/>
        </w:rPr>
        <w:t>also</w:t>
      </w:r>
      <w:r>
        <w:rPr>
          <w:color w:val="131413"/>
          <w:spacing w:val="-10"/>
        </w:rPr>
        <w:t> </w:t>
      </w:r>
      <w:r>
        <w:rPr>
          <w:color w:val="131413"/>
        </w:rPr>
        <w:t>be normal</w:t>
      </w:r>
      <w:r>
        <w:rPr>
          <w:color w:val="131413"/>
          <w:spacing w:val="-8"/>
        </w:rPr>
        <w:t> </w:t>
      </w:r>
      <w:r>
        <w:rPr>
          <w:color w:val="131413"/>
        </w:rPr>
        <w:t>[</w:t>
      </w:r>
      <w:hyperlink w:history="true" w:anchor="_bookmark11">
        <w:r>
          <w:rPr>
            <w:color w:val="3A2A97"/>
          </w:rPr>
          <w:t>11</w:t>
        </w:r>
      </w:hyperlink>
      <w:r>
        <w:rPr>
          <w:color w:val="131413"/>
        </w:rPr>
        <w:t>,</w:t>
      </w:r>
      <w:r>
        <w:rPr>
          <w:color w:val="131413"/>
          <w:spacing w:val="-8"/>
        </w:rPr>
        <w:t> </w:t>
      </w:r>
      <w:hyperlink w:history="true" w:anchor="_bookmark12">
        <w:r>
          <w:rPr>
            <w:color w:val="3A2A97"/>
          </w:rPr>
          <w:t>12</w:t>
        </w:r>
      </w:hyperlink>
      <w:r>
        <w:rPr>
          <w:color w:val="131413"/>
        </w:rPr>
        <w:t>].</w:t>
      </w:r>
      <w:r>
        <w:rPr>
          <w:color w:val="131413"/>
          <w:spacing w:val="-9"/>
        </w:rPr>
        <w:t> </w:t>
      </w:r>
      <w:r>
        <w:rPr>
          <w:color w:val="131413"/>
        </w:rPr>
        <w:t>In</w:t>
      </w:r>
      <w:r>
        <w:rPr>
          <w:color w:val="131413"/>
          <w:spacing w:val="-9"/>
        </w:rPr>
        <w:t> </w:t>
      </w:r>
      <w:r>
        <w:rPr>
          <w:color w:val="131413"/>
        </w:rPr>
        <w:t>summary,</w:t>
      </w:r>
      <w:r>
        <w:rPr>
          <w:color w:val="131413"/>
          <w:spacing w:val="-8"/>
        </w:rPr>
        <w:t> </w:t>
      </w:r>
      <w:r>
        <w:rPr>
          <w:color w:val="131413"/>
        </w:rPr>
        <w:t>the</w:t>
      </w:r>
      <w:r>
        <w:rPr>
          <w:color w:val="131413"/>
          <w:spacing w:val="-8"/>
        </w:rPr>
        <w:t> </w:t>
      </w:r>
      <w:r>
        <w:rPr>
          <w:color w:val="131413"/>
        </w:rPr>
        <w:t>diagnosis</w:t>
      </w:r>
      <w:r>
        <w:rPr>
          <w:color w:val="131413"/>
          <w:spacing w:val="-8"/>
        </w:rPr>
        <w:t> </w:t>
      </w:r>
      <w:r>
        <w:rPr>
          <w:color w:val="131413"/>
        </w:rPr>
        <w:t>of</w:t>
      </w:r>
      <w:r>
        <w:rPr>
          <w:color w:val="131413"/>
          <w:spacing w:val="-8"/>
        </w:rPr>
        <w:t> </w:t>
      </w:r>
      <w:r>
        <w:rPr>
          <w:color w:val="131413"/>
        </w:rPr>
        <w:t>POLG-ataxia requires a high index of suspicion.</w:t>
      </w:r>
    </w:p>
    <w:p>
      <w:pPr>
        <w:pStyle w:val="BodyText"/>
        <w:spacing w:line="259" w:lineRule="auto" w:before="6"/>
        <w:ind w:left="26" w:right="5" w:firstLine="227"/>
        <w:jc w:val="both"/>
      </w:pPr>
      <w:r>
        <w:rPr>
          <w:color w:val="131413"/>
          <w:spacing w:val="-2"/>
        </w:rPr>
        <w:t>The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pattern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inheritance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of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POLG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mutations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is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complex; in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most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cases,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it</w:t>
      </w:r>
      <w:r>
        <w:rPr>
          <w:color w:val="131413"/>
          <w:spacing w:val="-9"/>
        </w:rPr>
        <w:t> </w:t>
      </w:r>
      <w:r>
        <w:rPr>
          <w:color w:val="131413"/>
          <w:spacing w:val="-2"/>
        </w:rPr>
        <w:t>is</w:t>
      </w:r>
      <w:r>
        <w:rPr>
          <w:color w:val="131413"/>
          <w:spacing w:val="-8"/>
        </w:rPr>
        <w:t> </w:t>
      </w:r>
      <w:r>
        <w:rPr>
          <w:color w:val="131413"/>
          <w:spacing w:val="-2"/>
        </w:rPr>
        <w:t>autosomal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recessive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less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often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autoso- mal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dominant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[</w:t>
      </w:r>
      <w:hyperlink w:history="true" w:anchor="_bookmark1">
        <w:r>
          <w:rPr>
            <w:color w:val="3A2A97"/>
            <w:spacing w:val="-2"/>
          </w:rPr>
          <w:t>1</w:t>
        </w:r>
      </w:hyperlink>
      <w:r>
        <w:rPr>
          <w:color w:val="131413"/>
          <w:spacing w:val="-2"/>
        </w:rPr>
        <w:t>,</w:t>
      </w:r>
      <w:r>
        <w:rPr>
          <w:color w:val="131413"/>
          <w:spacing w:val="-11"/>
        </w:rPr>
        <w:t> </w:t>
      </w:r>
      <w:hyperlink w:history="true" w:anchor="_bookmark9">
        <w:r>
          <w:rPr>
            <w:color w:val="3A2A97"/>
            <w:spacing w:val="-2"/>
          </w:rPr>
          <w:t>9</w:t>
        </w:r>
      </w:hyperlink>
      <w:r>
        <w:rPr>
          <w:color w:val="131413"/>
          <w:spacing w:val="-2"/>
        </w:rPr>
        <w:t>].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W748S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is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one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most</w:t>
      </w:r>
      <w:r>
        <w:rPr>
          <w:color w:val="131413"/>
          <w:spacing w:val="-11"/>
        </w:rPr>
        <w:t> </w:t>
      </w:r>
      <w:r>
        <w:rPr>
          <w:color w:val="131413"/>
          <w:spacing w:val="-2"/>
        </w:rPr>
        <w:t>common</w:t>
      </w:r>
      <w:r>
        <w:rPr>
          <w:color w:val="131413"/>
          <w:spacing w:val="-10"/>
        </w:rPr>
        <w:t> </w:t>
      </w:r>
      <w:r>
        <w:rPr>
          <w:color w:val="131413"/>
          <w:spacing w:val="-2"/>
        </w:rPr>
        <w:t>autoso- </w:t>
      </w:r>
      <w:r>
        <w:rPr>
          <w:color w:val="131413"/>
        </w:rPr>
        <w:t>mal</w:t>
      </w:r>
      <w:r>
        <w:rPr>
          <w:color w:val="131413"/>
          <w:spacing w:val="-13"/>
        </w:rPr>
        <w:t> </w:t>
      </w:r>
      <w:r>
        <w:rPr>
          <w:color w:val="131413"/>
        </w:rPr>
        <w:t>recessive</w:t>
      </w:r>
      <w:r>
        <w:rPr>
          <w:color w:val="131413"/>
          <w:spacing w:val="-12"/>
        </w:rPr>
        <w:t> </w:t>
      </w:r>
      <w:r>
        <w:rPr>
          <w:color w:val="131413"/>
        </w:rPr>
        <w:t>POLG</w:t>
      </w:r>
      <w:r>
        <w:rPr>
          <w:color w:val="131413"/>
          <w:spacing w:val="-13"/>
        </w:rPr>
        <w:t> </w:t>
      </w:r>
      <w:r>
        <w:rPr>
          <w:color w:val="131413"/>
        </w:rPr>
        <w:t>mutations</w:t>
      </w:r>
      <w:r>
        <w:rPr>
          <w:color w:val="131413"/>
          <w:spacing w:val="-12"/>
        </w:rPr>
        <w:t> </w:t>
      </w:r>
      <w:r>
        <w:rPr>
          <w:color w:val="131413"/>
        </w:rPr>
        <w:t>[</w:t>
      </w:r>
      <w:hyperlink w:history="true" w:anchor="_bookmark1">
        <w:r>
          <w:rPr>
            <w:color w:val="3A2A97"/>
          </w:rPr>
          <w:t>1</w:t>
        </w:r>
      </w:hyperlink>
      <w:r>
        <w:rPr>
          <w:color w:val="131413"/>
        </w:rPr>
        <w:t>].</w:t>
      </w:r>
      <w:r>
        <w:rPr>
          <w:color w:val="131413"/>
          <w:spacing w:val="-13"/>
        </w:rPr>
        <w:t> </w:t>
      </w:r>
      <w:r>
        <w:rPr>
          <w:color w:val="131413"/>
        </w:rPr>
        <w:t>Of</w:t>
      </w:r>
      <w:r>
        <w:rPr>
          <w:color w:val="131413"/>
          <w:spacing w:val="-12"/>
        </w:rPr>
        <w:t> </w:t>
      </w:r>
      <w:r>
        <w:rPr>
          <w:color w:val="131413"/>
        </w:rPr>
        <w:t>note,</w:t>
      </w:r>
      <w:r>
        <w:rPr>
          <w:color w:val="131413"/>
          <w:spacing w:val="-13"/>
        </w:rPr>
        <w:t> </w:t>
      </w:r>
      <w:r>
        <w:rPr>
          <w:color w:val="131413"/>
        </w:rPr>
        <w:t>there</w:t>
      </w:r>
      <w:r>
        <w:rPr>
          <w:color w:val="131413"/>
          <w:spacing w:val="-12"/>
        </w:rPr>
        <w:t> </w:t>
      </w:r>
      <w:r>
        <w:rPr>
          <w:color w:val="131413"/>
        </w:rPr>
        <w:t>is</w:t>
      </w:r>
      <w:r>
        <w:rPr>
          <w:color w:val="131413"/>
          <w:spacing w:val="-13"/>
        </w:rPr>
        <w:t> </w:t>
      </w:r>
      <w:r>
        <w:rPr>
          <w:color w:val="131413"/>
        </w:rPr>
        <w:t>increas- ing evidence of mitochondrial dysfunction in</w:t>
      </w:r>
      <w:r>
        <w:rPr>
          <w:color w:val="131413"/>
          <w:spacing w:val="-1"/>
        </w:rPr>
        <w:t> </w:t>
      </w:r>
      <w:r>
        <w:rPr>
          <w:color w:val="131413"/>
        </w:rPr>
        <w:t>FXTAS [</w:t>
      </w:r>
      <w:hyperlink w:history="true" w:anchor="_bookmark13">
        <w:r>
          <w:rPr>
            <w:color w:val="3A2A97"/>
          </w:rPr>
          <w:t>13</w:t>
        </w:r>
      </w:hyperlink>
      <w:r>
        <w:rPr>
          <w:color w:val="131413"/>
        </w:rPr>
        <w:t>].</w:t>
      </w:r>
    </w:p>
    <w:p>
      <w:pPr>
        <w:pStyle w:val="BodyText"/>
        <w:spacing w:line="259" w:lineRule="auto" w:before="3"/>
        <w:ind w:left="26" w:right="2" w:firstLine="226"/>
        <w:jc w:val="both"/>
      </w:pPr>
      <w:r>
        <w:rPr>
          <w:color w:val="131413"/>
        </w:rPr>
        <w:t>E. Apartis et al. proposed a revision of the diagnostic </w:t>
      </w:r>
      <w:r>
        <w:rPr>
          <w:color w:val="131413"/>
          <w:spacing w:val="-2"/>
        </w:rPr>
        <w:t>criteria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for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FXTAS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[</w:t>
      </w:r>
      <w:hyperlink w:history="true" w:anchor="_bookmark5">
        <w:r>
          <w:rPr>
            <w:color w:val="3A2A97"/>
            <w:spacing w:val="-2"/>
          </w:rPr>
          <w:t>5</w:t>
        </w:r>
      </w:hyperlink>
      <w:r>
        <w:rPr>
          <w:color w:val="131413"/>
          <w:spacing w:val="-2"/>
        </w:rPr>
        <w:t>]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based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on</w:t>
      </w:r>
      <w:r>
        <w:rPr>
          <w:color w:val="131413"/>
          <w:spacing w:val="-7"/>
        </w:rPr>
        <w:t> </w:t>
      </w:r>
      <w:r>
        <w:rPr>
          <w:color w:val="131413"/>
          <w:spacing w:val="-2"/>
        </w:rPr>
        <w:t>the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fact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that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hyperintensities </w:t>
      </w:r>
      <w:r>
        <w:rPr>
          <w:color w:val="131413"/>
        </w:rPr>
        <w:t>of the corpus</w:t>
      </w:r>
      <w:r>
        <w:rPr>
          <w:color w:val="131413"/>
          <w:spacing w:val="40"/>
        </w:rPr>
        <w:t> </w:t>
      </w:r>
      <w:r>
        <w:rPr>
          <w:color w:val="131413"/>
        </w:rPr>
        <w:t>callosum</w:t>
      </w:r>
      <w:r>
        <w:rPr>
          <w:color w:val="131413"/>
          <w:spacing w:val="40"/>
        </w:rPr>
        <w:t> </w:t>
      </w:r>
      <w:r>
        <w:rPr>
          <w:color w:val="131413"/>
        </w:rPr>
        <w:t>were</w:t>
      </w:r>
      <w:r>
        <w:rPr>
          <w:color w:val="131413"/>
          <w:spacing w:val="40"/>
        </w:rPr>
        <w:t> </w:t>
      </w:r>
      <w:r>
        <w:rPr>
          <w:color w:val="131413"/>
        </w:rPr>
        <w:t>more</w:t>
      </w:r>
      <w:r>
        <w:rPr>
          <w:color w:val="131413"/>
          <w:spacing w:val="40"/>
        </w:rPr>
        <w:t> </w:t>
      </w:r>
      <w:r>
        <w:rPr>
          <w:color w:val="131413"/>
        </w:rPr>
        <w:t>common</w:t>
      </w:r>
      <w:r>
        <w:rPr>
          <w:color w:val="131413"/>
          <w:spacing w:val="40"/>
        </w:rPr>
        <w:t> </w:t>
      </w:r>
      <w:r>
        <w:rPr>
          <w:color w:val="131413"/>
        </w:rPr>
        <w:t>than</w:t>
      </w:r>
      <w:r>
        <w:rPr>
          <w:color w:val="131413"/>
          <w:spacing w:val="40"/>
        </w:rPr>
        <w:t> </w:t>
      </w:r>
      <w:r>
        <w:rPr>
          <w:color w:val="131413"/>
        </w:rPr>
        <w:t>the MCP sign (68 %, respectively, 64 %) and for the fairly common presence of polyneuropathy (81 %). Other con- ditions with MCP hyperintensities include MSA [</w:t>
      </w:r>
      <w:hyperlink w:history="true" w:anchor="_bookmark14">
        <w:r>
          <w:rPr>
            <w:color w:val="3A2A97"/>
          </w:rPr>
          <w:t>14</w:t>
        </w:r>
      </w:hyperlink>
      <w:r>
        <w:rPr>
          <w:color w:val="131413"/>
        </w:rPr>
        <w:t>],</w:t>
      </w:r>
      <w:r>
        <w:rPr>
          <w:color w:val="131413"/>
          <w:spacing w:val="40"/>
        </w:rPr>
        <w:t> </w:t>
      </w:r>
      <w:r>
        <w:rPr>
          <w:color w:val="131413"/>
        </w:rPr>
        <w:t>adult-onset leukoencephalopathies [</w:t>
      </w:r>
      <w:hyperlink w:history="true" w:anchor="_bookmark15">
        <w:r>
          <w:rPr>
            <w:color w:val="3A2A97"/>
          </w:rPr>
          <w:t>15</w:t>
        </w:r>
      </w:hyperlink>
      <w:r>
        <w:rPr>
          <w:color w:val="131413"/>
        </w:rPr>
        <w:t>], cerebrotendinous </w:t>
      </w:r>
      <w:r>
        <w:rPr>
          <w:color w:val="131413"/>
          <w:spacing w:val="-2"/>
        </w:rPr>
        <w:t>xanthomatosis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(CTX),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and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mitochondrial</w:t>
      </w:r>
      <w:r>
        <w:rPr>
          <w:color w:val="131413"/>
          <w:spacing w:val="-4"/>
        </w:rPr>
        <w:t> </w:t>
      </w:r>
      <w:r>
        <w:rPr>
          <w:color w:val="131413"/>
          <w:spacing w:val="-2"/>
        </w:rPr>
        <w:t>disorders</w:t>
      </w:r>
      <w:r>
        <w:rPr>
          <w:color w:val="131413"/>
          <w:spacing w:val="-5"/>
        </w:rPr>
        <w:t> </w:t>
      </w:r>
      <w:r>
        <w:rPr>
          <w:color w:val="131413"/>
          <w:spacing w:val="-2"/>
        </w:rPr>
        <w:t>like</w:t>
      </w:r>
      <w:r>
        <w:rPr>
          <w:color w:val="131413"/>
          <w:spacing w:val="-6"/>
        </w:rPr>
        <w:t> </w:t>
      </w:r>
      <w:r>
        <w:rPr>
          <w:color w:val="131413"/>
          <w:spacing w:val="-2"/>
        </w:rPr>
        <w:t>PEO </w:t>
      </w:r>
      <w:r>
        <w:rPr>
          <w:color w:val="131413"/>
        </w:rPr>
        <w:t>and infantile onset spinocerebellar ataxia (IOSCA) [</w:t>
      </w:r>
      <w:hyperlink w:history="true" w:anchor="_bookmark16">
        <w:r>
          <w:rPr>
            <w:color w:val="3A2A97"/>
          </w:rPr>
          <w:t>16</w:t>
        </w:r>
      </w:hyperlink>
      <w:r>
        <w:rPr>
          <w:color w:val="131413"/>
        </w:rPr>
        <w:t>]. Taking</w:t>
      </w:r>
      <w:r>
        <w:rPr>
          <w:color w:val="131413"/>
          <w:spacing w:val="-8"/>
        </w:rPr>
        <w:t> </w:t>
      </w:r>
      <w:r>
        <w:rPr>
          <w:color w:val="131413"/>
        </w:rPr>
        <w:t>both</w:t>
      </w:r>
      <w:r>
        <w:rPr>
          <w:color w:val="131413"/>
          <w:spacing w:val="-10"/>
        </w:rPr>
        <w:t> </w:t>
      </w:r>
      <w:r>
        <w:rPr>
          <w:color w:val="131413"/>
        </w:rPr>
        <w:t>radiological</w:t>
      </w:r>
      <w:r>
        <w:rPr>
          <w:color w:val="131413"/>
          <w:spacing w:val="-10"/>
        </w:rPr>
        <w:t> </w:t>
      </w:r>
      <w:r>
        <w:rPr>
          <w:color w:val="131413"/>
        </w:rPr>
        <w:t>and</w:t>
      </w:r>
      <w:r>
        <w:rPr>
          <w:color w:val="131413"/>
          <w:spacing w:val="-8"/>
        </w:rPr>
        <w:t> </w:t>
      </w:r>
      <w:r>
        <w:rPr>
          <w:color w:val="131413"/>
        </w:rPr>
        <w:t>clinical</w:t>
      </w:r>
      <w:r>
        <w:rPr>
          <w:color w:val="131413"/>
          <w:spacing w:val="-10"/>
        </w:rPr>
        <w:t> </w:t>
      </w:r>
      <w:r>
        <w:rPr>
          <w:color w:val="131413"/>
        </w:rPr>
        <w:t>features</w:t>
      </w:r>
      <w:r>
        <w:rPr>
          <w:color w:val="131413"/>
          <w:spacing w:val="-10"/>
        </w:rPr>
        <w:t> </w:t>
      </w:r>
      <w:r>
        <w:rPr>
          <w:color w:val="131413"/>
        </w:rPr>
        <w:t>into</w:t>
      </w:r>
      <w:r>
        <w:rPr>
          <w:color w:val="131413"/>
          <w:spacing w:val="-10"/>
        </w:rPr>
        <w:t> </w:t>
      </w:r>
      <w:r>
        <w:rPr>
          <w:color w:val="131413"/>
        </w:rPr>
        <w:t>consider- ation, late-onset POLG-A is the disease that resembles </w:t>
      </w:r>
      <w:r>
        <w:rPr>
          <w:color w:val="131413"/>
          <w:spacing w:val="-4"/>
        </w:rPr>
        <w:t>FXTAS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in</w:t>
      </w:r>
      <w:r>
        <w:rPr>
          <w:color w:val="131413"/>
          <w:spacing w:val="-6"/>
        </w:rPr>
        <w:t> </w:t>
      </w:r>
      <w:r>
        <w:rPr>
          <w:color w:val="131413"/>
          <w:spacing w:val="-4"/>
        </w:rPr>
        <w:t>many features, yet</w:t>
      </w:r>
      <w:r>
        <w:rPr>
          <w:color w:val="131413"/>
          <w:spacing w:val="-5"/>
        </w:rPr>
        <w:t> </w:t>
      </w:r>
      <w:r>
        <w:rPr>
          <w:color w:val="131413"/>
          <w:spacing w:val="-4"/>
        </w:rPr>
        <w:t>external ophthalmoplegia might </w:t>
      </w:r>
      <w:r>
        <w:rPr>
          <w:color w:val="131413"/>
        </w:rPr>
        <w:t>be a characteristic feature that</w:t>
      </w:r>
      <w:r>
        <w:rPr>
          <w:rFonts w:ascii="Arial" w:hAnsi="Arial"/>
          <w:color w:val="131413"/>
        </w:rPr>
        <w:t>—</w:t>
      </w:r>
      <w:r>
        <w:rPr>
          <w:color w:val="131413"/>
        </w:rPr>
        <w:t>if present</w:t>
      </w:r>
      <w:r>
        <w:rPr>
          <w:rFonts w:ascii="Arial" w:hAnsi="Arial"/>
          <w:color w:val="131413"/>
        </w:rPr>
        <w:t>—</w:t>
      </w:r>
      <w:r>
        <w:rPr>
          <w:color w:val="131413"/>
        </w:rPr>
        <w:t>clearly distin- guishes POLG-A from FXTAS [</w:t>
      </w:r>
      <w:hyperlink w:history="true" w:anchor="_bookmark17">
        <w:r>
          <w:rPr>
            <w:color w:val="3A2A97"/>
          </w:rPr>
          <w:t>17</w:t>
        </w:r>
      </w:hyperlink>
      <w:r>
        <w:rPr>
          <w:color w:val="131413"/>
        </w:rPr>
        <w:t>].</w:t>
      </w:r>
    </w:p>
    <w:p>
      <w:pPr>
        <w:pStyle w:val="BodyText"/>
        <w:spacing w:before="106"/>
      </w:pPr>
    </w:p>
    <w:p>
      <w:pPr>
        <w:spacing w:line="244" w:lineRule="auto" w:before="0"/>
        <w:ind w:left="28" w:right="0" w:firstLine="0"/>
        <w:jc w:val="both"/>
        <w:rPr>
          <w:sz w:val="17"/>
        </w:rPr>
      </w:pPr>
      <w:r>
        <w:rPr>
          <w:color w:val="131413"/>
          <w:sz w:val="17"/>
        </w:rPr>
        <w:t>Acknowledgments</w:t>
      </w:r>
      <w:r>
        <w:rPr>
          <w:color w:val="131413"/>
          <w:spacing w:val="40"/>
          <w:sz w:val="17"/>
        </w:rPr>
        <w:t> </w:t>
      </w:r>
      <w:r>
        <w:rPr>
          <w:color w:val="131413"/>
          <w:sz w:val="17"/>
        </w:rPr>
        <w:t>We express our true gratitude to the patient for consenting</w:t>
      </w:r>
      <w:r>
        <w:rPr>
          <w:color w:val="131413"/>
          <w:spacing w:val="57"/>
          <w:sz w:val="17"/>
        </w:rPr>
        <w:t> </w:t>
      </w:r>
      <w:r>
        <w:rPr>
          <w:color w:val="131413"/>
          <w:sz w:val="17"/>
        </w:rPr>
        <w:t>to</w:t>
      </w:r>
      <w:r>
        <w:rPr>
          <w:color w:val="131413"/>
          <w:spacing w:val="58"/>
          <w:sz w:val="17"/>
        </w:rPr>
        <w:t> </w:t>
      </w:r>
      <w:r>
        <w:rPr>
          <w:color w:val="131413"/>
          <w:sz w:val="17"/>
        </w:rPr>
        <w:t>this</w:t>
      </w:r>
      <w:r>
        <w:rPr>
          <w:color w:val="131413"/>
          <w:spacing w:val="57"/>
          <w:sz w:val="17"/>
        </w:rPr>
        <w:t> </w:t>
      </w:r>
      <w:r>
        <w:rPr>
          <w:color w:val="131413"/>
          <w:sz w:val="17"/>
        </w:rPr>
        <w:t>report.</w:t>
      </w:r>
      <w:r>
        <w:rPr>
          <w:color w:val="131413"/>
          <w:spacing w:val="58"/>
          <w:sz w:val="17"/>
        </w:rPr>
        <w:t> </w:t>
      </w:r>
      <w:r>
        <w:rPr>
          <w:color w:val="131413"/>
          <w:sz w:val="17"/>
        </w:rPr>
        <w:t>Martin</w:t>
      </w:r>
      <w:r>
        <w:rPr>
          <w:color w:val="131413"/>
          <w:spacing w:val="58"/>
          <w:sz w:val="17"/>
        </w:rPr>
        <w:t> </w:t>
      </w:r>
      <w:r>
        <w:rPr>
          <w:color w:val="131413"/>
          <w:sz w:val="17"/>
        </w:rPr>
        <w:t>Paucar</w:t>
      </w:r>
      <w:r>
        <w:rPr>
          <w:color w:val="131413"/>
          <w:spacing w:val="59"/>
          <w:sz w:val="17"/>
        </w:rPr>
        <w:t> </w:t>
      </w:r>
      <w:r>
        <w:rPr>
          <w:color w:val="131413"/>
          <w:sz w:val="17"/>
        </w:rPr>
        <w:t>was</w:t>
      </w:r>
      <w:r>
        <w:rPr>
          <w:color w:val="131413"/>
          <w:spacing w:val="57"/>
          <w:sz w:val="17"/>
        </w:rPr>
        <w:t> </w:t>
      </w:r>
      <w:r>
        <w:rPr>
          <w:color w:val="131413"/>
          <w:sz w:val="17"/>
        </w:rPr>
        <w:t>supported</w:t>
      </w:r>
      <w:r>
        <w:rPr>
          <w:color w:val="131413"/>
          <w:spacing w:val="58"/>
          <w:sz w:val="17"/>
        </w:rPr>
        <w:t> </w:t>
      </w:r>
      <w:r>
        <w:rPr>
          <w:color w:val="131413"/>
          <w:sz w:val="17"/>
        </w:rPr>
        <w:t>by</w:t>
      </w:r>
      <w:r>
        <w:rPr>
          <w:color w:val="131413"/>
          <w:spacing w:val="59"/>
          <w:sz w:val="17"/>
        </w:rPr>
        <w:t> </w:t>
      </w:r>
      <w:r>
        <w:rPr>
          <w:color w:val="131413"/>
          <w:spacing w:val="-5"/>
          <w:sz w:val="17"/>
        </w:rPr>
        <w:t>the</w:t>
      </w:r>
    </w:p>
    <w:p>
      <w:pPr>
        <w:spacing w:line="244" w:lineRule="auto" w:before="90"/>
        <w:ind w:left="26" w:right="24" w:firstLine="0"/>
        <w:jc w:val="both"/>
        <w:rPr>
          <w:sz w:val="17"/>
        </w:rPr>
      </w:pPr>
      <w:r>
        <w:rPr/>
        <w:br w:type="column"/>
      </w:r>
      <w:r>
        <w:rPr>
          <w:color w:val="131413"/>
          <w:spacing w:val="-2"/>
          <w:sz w:val="17"/>
        </w:rPr>
        <w:t>Stockholm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County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Council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(combined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clinical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residency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PhD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train- </w:t>
      </w:r>
      <w:r>
        <w:rPr>
          <w:color w:val="131413"/>
          <w:sz w:val="17"/>
        </w:rPr>
        <w:t>ing program).</w:t>
      </w:r>
    </w:p>
    <w:p>
      <w:pPr>
        <w:spacing w:line="244" w:lineRule="auto" w:before="0"/>
        <w:ind w:left="26" w:right="25" w:firstLine="0"/>
        <w:jc w:val="both"/>
        <w:rPr>
          <w:sz w:val="17"/>
        </w:rPr>
      </w:pPr>
      <w:r>
        <w:rPr>
          <w:color w:val="131413"/>
          <w:sz w:val="17"/>
        </w:rPr>
        <w:t>Authors</w:t>
      </w:r>
      <w:r>
        <w:rPr>
          <w:rFonts w:ascii="Arial" w:hAnsi="Arial"/>
          <w:color w:val="131413"/>
          <w:sz w:val="17"/>
        </w:rPr>
        <w:t>’</w:t>
      </w:r>
      <w:r>
        <w:rPr>
          <w:rFonts w:ascii="Arial" w:hAnsi="Arial"/>
          <w:color w:val="131413"/>
          <w:spacing w:val="-5"/>
          <w:sz w:val="17"/>
        </w:rPr>
        <w:t> </w:t>
      </w:r>
      <w:r>
        <w:rPr>
          <w:color w:val="131413"/>
          <w:sz w:val="17"/>
        </w:rPr>
        <w:t>Contributions</w:t>
      </w:r>
      <w:r>
        <w:rPr>
          <w:color w:val="131413"/>
          <w:spacing w:val="80"/>
          <w:sz w:val="17"/>
        </w:rPr>
        <w:t> </w:t>
      </w:r>
      <w:r>
        <w:rPr>
          <w:color w:val="131413"/>
          <w:sz w:val="17"/>
        </w:rPr>
        <w:t>Dr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M.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Paucar,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Dr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M. Engvall, Dr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L.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Gordon and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E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Tham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are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responsible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for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study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concept,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data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collection,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and writing of the manuscript; Dr M. Paucar wrote the first draft; Dr M. </w:t>
      </w:r>
      <w:r>
        <w:rPr>
          <w:color w:val="131413"/>
          <w:spacing w:val="-4"/>
          <w:sz w:val="17"/>
        </w:rPr>
        <w:t>Synofzik and Prof. P. Svenningsson are responsible for the study concept</w:t>
      </w:r>
      <w:r>
        <w:rPr>
          <w:color w:val="131413"/>
          <w:sz w:val="17"/>
        </w:rPr>
        <w:t> and editing of the manuscript.</w:t>
      </w:r>
    </w:p>
    <w:p>
      <w:pPr>
        <w:spacing w:before="91"/>
        <w:ind w:left="26" w:right="0" w:firstLine="0"/>
        <w:jc w:val="both"/>
        <w:rPr>
          <w:sz w:val="17"/>
        </w:rPr>
      </w:pPr>
      <w:r>
        <w:rPr>
          <w:color w:val="131413"/>
          <w:spacing w:val="-2"/>
          <w:w w:val="105"/>
          <w:sz w:val="17"/>
        </w:rPr>
        <w:t>Compliance</w:t>
      </w:r>
      <w:r>
        <w:rPr>
          <w:color w:val="131413"/>
          <w:spacing w:val="-3"/>
          <w:w w:val="105"/>
          <w:sz w:val="17"/>
        </w:rPr>
        <w:t> </w:t>
      </w:r>
      <w:r>
        <w:rPr>
          <w:color w:val="131413"/>
          <w:spacing w:val="-2"/>
          <w:w w:val="105"/>
          <w:sz w:val="17"/>
        </w:rPr>
        <w:t>with</w:t>
      </w:r>
      <w:r>
        <w:rPr>
          <w:color w:val="131413"/>
          <w:spacing w:val="-4"/>
          <w:w w:val="105"/>
          <w:sz w:val="17"/>
        </w:rPr>
        <w:t> </w:t>
      </w:r>
      <w:r>
        <w:rPr>
          <w:color w:val="131413"/>
          <w:spacing w:val="-2"/>
          <w:w w:val="105"/>
          <w:sz w:val="17"/>
        </w:rPr>
        <w:t>Ethical</w:t>
      </w:r>
      <w:r>
        <w:rPr>
          <w:color w:val="131413"/>
          <w:spacing w:val="-4"/>
          <w:w w:val="105"/>
          <w:sz w:val="17"/>
        </w:rPr>
        <w:t> </w:t>
      </w:r>
      <w:r>
        <w:rPr>
          <w:color w:val="131413"/>
          <w:spacing w:val="-2"/>
          <w:w w:val="105"/>
          <w:sz w:val="17"/>
        </w:rPr>
        <w:t>Standards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26" w:right="0" w:firstLine="0"/>
        <w:jc w:val="both"/>
        <w:rPr>
          <w:sz w:val="17"/>
        </w:rPr>
      </w:pPr>
      <w:r>
        <w:rPr>
          <w:color w:val="131413"/>
          <w:sz w:val="17"/>
        </w:rPr>
        <w:t>Consent</w:t>
      </w:r>
      <w:r>
        <w:rPr>
          <w:color w:val="131413"/>
          <w:spacing w:val="68"/>
          <w:w w:val="150"/>
          <w:sz w:val="17"/>
        </w:rPr>
        <w:t> </w:t>
      </w:r>
      <w:r>
        <w:rPr>
          <w:color w:val="131413"/>
          <w:sz w:val="17"/>
        </w:rPr>
        <w:t>Oral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written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consent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was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obtained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for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this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report.</w:t>
      </w:r>
    </w:p>
    <w:p>
      <w:pPr>
        <w:pStyle w:val="BodyText"/>
        <w:spacing w:before="28"/>
        <w:rPr>
          <w:sz w:val="17"/>
        </w:rPr>
      </w:pPr>
    </w:p>
    <w:p>
      <w:pPr>
        <w:spacing w:line="244" w:lineRule="auto" w:before="0"/>
        <w:ind w:left="26" w:right="24" w:firstLine="0"/>
        <w:jc w:val="both"/>
        <w:rPr>
          <w:sz w:val="17"/>
        </w:rPr>
      </w:pPr>
      <w:r>
        <w:rPr>
          <w:color w:val="131413"/>
          <w:sz w:val="17"/>
        </w:rPr>
        <w:t>Conflict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Interest</w:t>
      </w:r>
      <w:r>
        <w:rPr>
          <w:color w:val="131413"/>
          <w:spacing w:val="80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authors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declare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that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they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have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no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conflicts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of </w:t>
      </w:r>
      <w:r>
        <w:rPr>
          <w:color w:val="131413"/>
          <w:spacing w:val="-2"/>
          <w:sz w:val="17"/>
        </w:rPr>
        <w:t>interest.</w:t>
      </w:r>
    </w:p>
    <w:p>
      <w:pPr>
        <w:pStyle w:val="BodyText"/>
        <w:spacing w:before="24"/>
        <w:rPr>
          <w:sz w:val="17"/>
        </w:rPr>
      </w:pPr>
    </w:p>
    <w:p>
      <w:pPr>
        <w:spacing w:before="0"/>
        <w:ind w:left="26" w:right="0" w:firstLine="0"/>
        <w:jc w:val="both"/>
        <w:rPr>
          <w:sz w:val="17"/>
        </w:rPr>
      </w:pPr>
      <w:r>
        <w:rPr>
          <w:color w:val="131413"/>
          <w:sz w:val="17"/>
        </w:rPr>
        <w:t>Study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Funding</w:t>
      </w:r>
      <w:r>
        <w:rPr>
          <w:color w:val="131413"/>
          <w:spacing w:val="36"/>
          <w:sz w:val="17"/>
        </w:rPr>
        <w:t>  </w:t>
      </w:r>
      <w:r>
        <w:rPr>
          <w:color w:val="131413"/>
          <w:sz w:val="17"/>
        </w:rPr>
        <w:t>Stockholm County</w:t>
      </w:r>
      <w:r>
        <w:rPr>
          <w:color w:val="131413"/>
          <w:spacing w:val="-2"/>
          <w:sz w:val="17"/>
        </w:rPr>
        <w:t> Council</w:t>
      </w:r>
    </w:p>
    <w:p>
      <w:pPr>
        <w:pStyle w:val="BodyText"/>
        <w:rPr>
          <w:sz w:val="17"/>
        </w:rPr>
      </w:pPr>
    </w:p>
    <w:p>
      <w:pPr>
        <w:pStyle w:val="BodyText"/>
        <w:rPr>
          <w:sz w:val="17"/>
        </w:rPr>
      </w:pPr>
    </w:p>
    <w:p>
      <w:pPr>
        <w:pStyle w:val="BodyText"/>
        <w:spacing w:before="137"/>
        <w:rPr>
          <w:sz w:val="17"/>
        </w:rPr>
      </w:pPr>
    </w:p>
    <w:p>
      <w:pPr>
        <w:pStyle w:val="Heading1"/>
        <w:ind w:left="26"/>
      </w:pPr>
      <w:bookmarkStart w:name="References" w:id="7"/>
      <w:bookmarkEnd w:id="7"/>
      <w:r>
        <w:rPr/>
      </w:r>
      <w:r>
        <w:rPr>
          <w:color w:val="131413"/>
          <w:spacing w:val="-2"/>
          <w:w w:val="105"/>
        </w:rPr>
        <w:t>References</w:t>
      </w:r>
    </w:p>
    <w:p>
      <w:pPr>
        <w:pStyle w:val="BodyText"/>
        <w:spacing w:before="40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411" w:val="left" w:leader="none"/>
        </w:tabs>
        <w:spacing w:line="244" w:lineRule="auto" w:before="0" w:after="0"/>
        <w:ind w:left="411" w:right="26" w:hanging="299"/>
        <w:jc w:val="both"/>
        <w:rPr>
          <w:sz w:val="17"/>
        </w:rPr>
      </w:pPr>
      <w:bookmarkStart w:name="_bookmark1" w:id="8"/>
      <w:bookmarkEnd w:id="8"/>
      <w:r>
        <w:rPr/>
      </w:r>
      <w:r>
        <w:rPr>
          <w:color w:val="131413"/>
          <w:sz w:val="17"/>
        </w:rPr>
        <w:t>Saneto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RP,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Naviaux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RK.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Polymerase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gamma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disease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through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the </w:t>
      </w:r>
      <w:bookmarkStart w:name="_bookmark2" w:id="9"/>
      <w:bookmarkEnd w:id="9"/>
      <w:r>
        <w:rPr>
          <w:color w:val="131413"/>
          <w:sz w:val="17"/>
        </w:rPr>
        <w:t>a</w:t>
      </w:r>
      <w:r>
        <w:rPr>
          <w:color w:val="131413"/>
          <w:sz w:val="17"/>
        </w:rPr>
        <w:t>ges. Dev Disabil Res Rev. 2010;16(2):163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74.</w:t>
      </w:r>
    </w:p>
    <w:p>
      <w:pPr>
        <w:pStyle w:val="ListParagraph"/>
        <w:numPr>
          <w:ilvl w:val="0"/>
          <w:numId w:val="1"/>
        </w:numPr>
        <w:tabs>
          <w:tab w:pos="411" w:val="left" w:leader="none"/>
        </w:tabs>
        <w:spacing w:line="244" w:lineRule="auto" w:before="20" w:after="0"/>
        <w:ind w:left="411" w:right="23" w:hanging="299"/>
        <w:jc w:val="both"/>
        <w:rPr>
          <w:sz w:val="17"/>
        </w:rPr>
      </w:pPr>
      <w:r>
        <w:rPr>
          <w:color w:val="131413"/>
          <w:spacing w:val="-2"/>
          <w:sz w:val="17"/>
        </w:rPr>
        <w:t>Adams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JS,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Adams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PE,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Nguyen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D,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Brunberg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JA,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Tassone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F,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Zhang </w:t>
      </w:r>
      <w:r>
        <w:rPr>
          <w:color w:val="131413"/>
          <w:sz w:val="17"/>
        </w:rPr>
        <w:t>W, et al. Volumetric brain changes in females with fragile X- </w:t>
      </w:r>
      <w:bookmarkStart w:name="_bookmark3" w:id="10"/>
      <w:bookmarkEnd w:id="10"/>
      <w:r>
        <w:rPr>
          <w:color w:val="131413"/>
          <w:sz w:val="17"/>
        </w:rPr>
        <w:t>associate</w:t>
      </w:r>
      <w:r>
        <w:rPr>
          <w:color w:val="131413"/>
          <w:sz w:val="17"/>
        </w:rPr>
        <w:t>d tremor/ataxia syndrome (FXTAS). Neurology. </w:t>
      </w:r>
      <w:r>
        <w:rPr>
          <w:color w:val="131413"/>
          <w:spacing w:val="-2"/>
          <w:sz w:val="17"/>
        </w:rPr>
        <w:t>2007;69(9):851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9.</w:t>
      </w:r>
    </w:p>
    <w:p>
      <w:pPr>
        <w:pStyle w:val="ListParagraph"/>
        <w:numPr>
          <w:ilvl w:val="0"/>
          <w:numId w:val="1"/>
        </w:numPr>
        <w:tabs>
          <w:tab w:pos="411" w:val="left" w:leader="none"/>
        </w:tabs>
        <w:spacing w:line="244" w:lineRule="auto" w:before="21" w:after="0"/>
        <w:ind w:left="411" w:right="25" w:hanging="299"/>
        <w:jc w:val="both"/>
        <w:rPr>
          <w:sz w:val="17"/>
        </w:rPr>
      </w:pPr>
      <w:r>
        <w:rPr>
          <w:color w:val="131413"/>
          <w:spacing w:val="-4"/>
          <w:sz w:val="17"/>
        </w:rPr>
        <w:t>Synofzik M, Srulijes K, Godau J, Berg D, Schöls L. Characterizing</w:t>
      </w:r>
      <w:r>
        <w:rPr>
          <w:color w:val="131413"/>
          <w:spacing w:val="-2"/>
          <w:sz w:val="17"/>
        </w:rPr>
        <w:t> </w:t>
      </w:r>
      <w:bookmarkStart w:name="_bookmark4" w:id="11"/>
      <w:bookmarkEnd w:id="11"/>
      <w:r>
        <w:rPr>
          <w:color w:val="131413"/>
          <w:spacing w:val="-2"/>
          <w:sz w:val="17"/>
        </w:rPr>
        <w:t>P</w:t>
      </w:r>
      <w:r>
        <w:rPr>
          <w:color w:val="131413"/>
          <w:spacing w:val="-2"/>
          <w:sz w:val="17"/>
        </w:rPr>
        <w:t>OLG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ataxia: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clinics,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electrophysiology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imaging.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Cerebellum. 2012;11(4):1002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11.</w:t>
      </w:r>
    </w:p>
    <w:p>
      <w:pPr>
        <w:pStyle w:val="ListParagraph"/>
        <w:numPr>
          <w:ilvl w:val="0"/>
          <w:numId w:val="1"/>
        </w:numPr>
        <w:tabs>
          <w:tab w:pos="411" w:val="left" w:leader="none"/>
        </w:tabs>
        <w:spacing w:line="244" w:lineRule="auto" w:before="21" w:after="0"/>
        <w:ind w:left="411" w:right="25" w:hanging="299"/>
        <w:jc w:val="both"/>
        <w:rPr>
          <w:sz w:val="17"/>
        </w:rPr>
      </w:pPr>
      <w:r>
        <w:rPr>
          <w:color w:val="131413"/>
          <w:spacing w:val="-4"/>
          <w:sz w:val="17"/>
        </w:rPr>
        <w:t>Leehey MA. Fragile X-associated tremor/ataxia syndrome: clinical</w:t>
      </w:r>
      <w:r>
        <w:rPr>
          <w:color w:val="131413"/>
          <w:spacing w:val="-2"/>
          <w:sz w:val="17"/>
        </w:rPr>
        <w:t> </w:t>
      </w:r>
      <w:bookmarkStart w:name="_bookmark5" w:id="12"/>
      <w:bookmarkEnd w:id="12"/>
      <w:r>
        <w:rPr>
          <w:color w:val="131413"/>
          <w:spacing w:val="-2"/>
          <w:sz w:val="17"/>
        </w:rPr>
        <w:t>p</w:t>
      </w:r>
      <w:r>
        <w:rPr>
          <w:color w:val="131413"/>
          <w:spacing w:val="-2"/>
          <w:sz w:val="17"/>
        </w:rPr>
        <w:t>henotype,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diagnosis,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treatment.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J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Investig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Med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Off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Publ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Am </w:t>
      </w:r>
      <w:r>
        <w:rPr>
          <w:color w:val="131413"/>
          <w:sz w:val="17"/>
        </w:rPr>
        <w:t>Fed Clin Res. 2009;57(8):830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6.</w:t>
      </w:r>
    </w:p>
    <w:p>
      <w:pPr>
        <w:pStyle w:val="ListParagraph"/>
        <w:numPr>
          <w:ilvl w:val="0"/>
          <w:numId w:val="1"/>
        </w:numPr>
        <w:tabs>
          <w:tab w:pos="411" w:val="left" w:leader="none"/>
        </w:tabs>
        <w:spacing w:line="244" w:lineRule="auto" w:before="20" w:after="0"/>
        <w:ind w:left="411" w:right="26" w:hanging="299"/>
        <w:jc w:val="both"/>
        <w:rPr>
          <w:sz w:val="17"/>
        </w:rPr>
      </w:pPr>
      <w:r>
        <w:rPr>
          <w:color w:val="131413"/>
          <w:spacing w:val="-4"/>
          <w:sz w:val="17"/>
        </w:rPr>
        <w:t>Apartis E, Blancher A, Meissner WG, Guyant-Maréchal L, Maltête</w:t>
      </w:r>
      <w:r>
        <w:rPr>
          <w:color w:val="131413"/>
          <w:sz w:val="17"/>
        </w:rPr>
        <w:t> </w:t>
      </w:r>
      <w:bookmarkStart w:name="_bookmark6" w:id="13"/>
      <w:bookmarkEnd w:id="13"/>
      <w:r>
        <w:rPr>
          <w:color w:val="131413"/>
          <w:sz w:val="17"/>
        </w:rPr>
        <w:t>D</w:t>
      </w:r>
      <w:r>
        <w:rPr>
          <w:color w:val="131413"/>
          <w:sz w:val="17"/>
        </w:rPr>
        <w:t>, De Broucker T, et al. FXTAS: new insights and the need for revised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diagnostic</w:t>
      </w:r>
      <w:r>
        <w:rPr>
          <w:color w:val="131413"/>
          <w:spacing w:val="-8"/>
          <w:sz w:val="17"/>
        </w:rPr>
        <w:t> </w:t>
      </w:r>
      <w:r>
        <w:rPr>
          <w:color w:val="131413"/>
          <w:sz w:val="17"/>
        </w:rPr>
        <w:t>criteria.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Neurology.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2012;79(18):1898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907.</w:t>
      </w:r>
    </w:p>
    <w:p>
      <w:pPr>
        <w:pStyle w:val="ListParagraph"/>
        <w:numPr>
          <w:ilvl w:val="0"/>
          <w:numId w:val="1"/>
        </w:numPr>
        <w:tabs>
          <w:tab w:pos="411" w:val="left" w:leader="none"/>
        </w:tabs>
        <w:spacing w:line="244" w:lineRule="auto" w:before="21" w:after="0"/>
        <w:ind w:left="411" w:right="24" w:hanging="299"/>
        <w:jc w:val="both"/>
        <w:rPr>
          <w:sz w:val="17"/>
        </w:rPr>
      </w:pPr>
      <w:r>
        <w:rPr>
          <w:color w:val="131413"/>
          <w:spacing w:val="-2"/>
          <w:sz w:val="17"/>
        </w:rPr>
        <w:t>Davidzon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G,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Greene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P,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Mancuso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M,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Klos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KJ,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Ahlskog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JE,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Hirano </w:t>
      </w:r>
      <w:bookmarkStart w:name="_bookmark7" w:id="14"/>
      <w:bookmarkEnd w:id="14"/>
      <w:r>
        <w:rPr>
          <w:color w:val="131413"/>
          <w:spacing w:val="-4"/>
          <w:sz w:val="17"/>
        </w:rPr>
        <w:t>M</w:t>
      </w:r>
      <w:r>
        <w:rPr>
          <w:color w:val="131413"/>
          <w:spacing w:val="-4"/>
          <w:sz w:val="17"/>
        </w:rPr>
        <w:t>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et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al.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Early-onset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familial parkinsonism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due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4"/>
          <w:sz w:val="17"/>
        </w:rPr>
        <w:t>to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4"/>
          <w:sz w:val="17"/>
        </w:rPr>
        <w:t>POLG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mutations.</w:t>
      </w:r>
      <w:r>
        <w:rPr>
          <w:color w:val="131413"/>
          <w:sz w:val="17"/>
        </w:rPr>
        <w:t> Ann Neurol. 2006;59(5):859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62.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4" w:lineRule="auto" w:before="20" w:after="0"/>
        <w:ind w:left="412" w:right="24" w:hanging="300"/>
        <w:jc w:val="both"/>
        <w:rPr>
          <w:sz w:val="17"/>
        </w:rPr>
      </w:pPr>
      <w:r>
        <w:rPr>
          <w:color w:val="131413"/>
          <w:sz w:val="17"/>
        </w:rPr>
        <w:t>Hall DA, Berry-Kravis E, Jacquemont S, Rice CD, Cogswell J, Zhang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L,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et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al.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Initial</w:t>
      </w:r>
      <w:r>
        <w:rPr>
          <w:color w:val="131413"/>
          <w:spacing w:val="-5"/>
          <w:sz w:val="17"/>
        </w:rPr>
        <w:t> </w:t>
      </w:r>
      <w:r>
        <w:rPr>
          <w:color w:val="131413"/>
          <w:sz w:val="17"/>
        </w:rPr>
        <w:t>diagnoses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given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to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persons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with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fragile </w:t>
      </w:r>
      <w:bookmarkStart w:name="_bookmark8" w:id="15"/>
      <w:bookmarkEnd w:id="15"/>
      <w:r>
        <w:rPr>
          <w:color w:val="131413"/>
          <w:sz w:val="17"/>
        </w:rPr>
        <w:t>X</w:t>
      </w:r>
      <w:r>
        <w:rPr>
          <w:color w:val="131413"/>
          <w:sz w:val="17"/>
        </w:rPr>
        <w:t> associated tremor/ataxia syndrome (FXTAS). Neurology. </w:t>
      </w:r>
      <w:r>
        <w:rPr>
          <w:color w:val="131413"/>
          <w:spacing w:val="-2"/>
          <w:sz w:val="17"/>
        </w:rPr>
        <w:t>2005;65(2):299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301.</w:t>
      </w:r>
    </w:p>
    <w:p>
      <w:pPr>
        <w:pStyle w:val="ListParagraph"/>
        <w:numPr>
          <w:ilvl w:val="0"/>
          <w:numId w:val="1"/>
        </w:numPr>
        <w:tabs>
          <w:tab w:pos="409" w:val="left" w:leader="none"/>
          <w:tab w:pos="411" w:val="left" w:leader="none"/>
        </w:tabs>
        <w:spacing w:line="244" w:lineRule="auto" w:before="21" w:after="0"/>
        <w:ind w:left="411" w:right="24" w:hanging="299"/>
        <w:jc w:val="both"/>
        <w:rPr>
          <w:sz w:val="17"/>
        </w:rPr>
      </w:pPr>
      <w:r>
        <w:rPr>
          <w:color w:val="131413"/>
          <w:spacing w:val="-6"/>
          <w:sz w:val="17"/>
        </w:rPr>
        <w:t>Juncos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JL,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Lazarus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JT,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Graves-Allen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6"/>
          <w:sz w:val="17"/>
        </w:rPr>
        <w:t>E,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Shubeck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6"/>
          <w:sz w:val="17"/>
        </w:rPr>
        <w:t>L,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Rusin</w:t>
      </w:r>
      <w:r>
        <w:rPr>
          <w:color w:val="131413"/>
          <w:spacing w:val="-1"/>
          <w:sz w:val="17"/>
        </w:rPr>
        <w:t> </w:t>
      </w:r>
      <w:r>
        <w:rPr>
          <w:color w:val="131413"/>
          <w:spacing w:val="-6"/>
          <w:sz w:val="17"/>
        </w:rPr>
        <w:t>M,</w:t>
      </w:r>
      <w:r>
        <w:rPr>
          <w:color w:val="131413"/>
          <w:spacing w:val="-2"/>
          <w:sz w:val="17"/>
        </w:rPr>
        <w:t> </w:t>
      </w:r>
      <w:r>
        <w:rPr>
          <w:color w:val="131413"/>
          <w:spacing w:val="-6"/>
          <w:sz w:val="17"/>
        </w:rPr>
        <w:t>Novak</w:t>
      </w:r>
      <w:r>
        <w:rPr>
          <w:color w:val="131413"/>
          <w:sz w:val="17"/>
        </w:rPr>
        <w:t> </w:t>
      </w:r>
      <w:bookmarkStart w:name="_bookmark9" w:id="16"/>
      <w:bookmarkEnd w:id="16"/>
      <w:r>
        <w:rPr>
          <w:color w:val="131413"/>
          <w:sz w:val="17"/>
        </w:rPr>
        <w:t>G</w:t>
      </w:r>
      <w:r>
        <w:rPr>
          <w:color w:val="131413"/>
          <w:sz w:val="17"/>
        </w:rPr>
        <w:t>,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et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al.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New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clinical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findings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2"/>
          <w:sz w:val="17"/>
        </w:rPr>
        <w:t> </w:t>
      </w:r>
      <w:r>
        <w:rPr>
          <w:color w:val="131413"/>
          <w:sz w:val="17"/>
        </w:rPr>
        <w:t>fragile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X-associated</w:t>
      </w:r>
      <w:r>
        <w:rPr>
          <w:color w:val="131413"/>
          <w:spacing w:val="-4"/>
          <w:sz w:val="17"/>
        </w:rPr>
        <w:t> </w:t>
      </w:r>
      <w:r>
        <w:rPr>
          <w:color w:val="131413"/>
          <w:sz w:val="17"/>
        </w:rPr>
        <w:t>tremor </w:t>
      </w:r>
      <w:r>
        <w:rPr>
          <w:color w:val="131413"/>
          <w:spacing w:val="-2"/>
          <w:sz w:val="17"/>
        </w:rPr>
        <w:t>ataxia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syndrome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(FXTAS).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Neurogenetics.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2011;12(2):123</w:t>
      </w:r>
      <w:r>
        <w:rPr>
          <w:rFonts w:ascii="Arial" w:hAnsi="Arial"/>
          <w:color w:val="131413"/>
          <w:spacing w:val="-2"/>
          <w:sz w:val="17"/>
        </w:rPr>
        <w:t>–</w:t>
      </w:r>
      <w:r>
        <w:rPr>
          <w:color w:val="131413"/>
          <w:spacing w:val="-2"/>
          <w:sz w:val="17"/>
        </w:rPr>
        <w:t>35.</w:t>
      </w:r>
    </w:p>
    <w:p>
      <w:pPr>
        <w:pStyle w:val="ListParagraph"/>
        <w:numPr>
          <w:ilvl w:val="0"/>
          <w:numId w:val="1"/>
        </w:numPr>
        <w:tabs>
          <w:tab w:pos="412" w:val="left" w:leader="none"/>
        </w:tabs>
        <w:spacing w:line="244" w:lineRule="auto" w:before="21" w:after="0"/>
        <w:ind w:left="412" w:right="23" w:hanging="300"/>
        <w:jc w:val="both"/>
        <w:rPr>
          <w:sz w:val="17"/>
        </w:rPr>
      </w:pPr>
      <w:r>
        <w:rPr>
          <w:color w:val="131413"/>
          <w:sz w:val="17"/>
        </w:rPr>
        <w:t>Luoma P, Melberg A, Rinne JO, Kaukonen JA, Nupponen NN, </w:t>
      </w:r>
      <w:r>
        <w:rPr>
          <w:color w:val="131413"/>
          <w:spacing w:val="-2"/>
          <w:sz w:val="17"/>
        </w:rPr>
        <w:t>Chalmers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RM,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et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al.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Parkinsonism,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premature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menopause,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and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mi- </w:t>
      </w:r>
      <w:bookmarkStart w:name="_bookmark10" w:id="17"/>
      <w:bookmarkEnd w:id="17"/>
      <w:r>
        <w:rPr>
          <w:color w:val="131413"/>
          <w:spacing w:val="-2"/>
          <w:sz w:val="17"/>
        </w:rPr>
        <w:t>t</w:t>
      </w:r>
      <w:r>
        <w:rPr>
          <w:color w:val="131413"/>
          <w:spacing w:val="-2"/>
          <w:sz w:val="17"/>
        </w:rPr>
        <w:t>ochondrial DNA polymerase gamma mutations: clinical and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mo- </w:t>
      </w:r>
      <w:r>
        <w:rPr>
          <w:color w:val="131413"/>
          <w:sz w:val="17"/>
        </w:rPr>
        <w:t>lecular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genetic study. Lancet. 2004;364(9437):875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82.</w:t>
      </w:r>
    </w:p>
    <w:p>
      <w:pPr>
        <w:pStyle w:val="ListParagraph"/>
        <w:numPr>
          <w:ilvl w:val="0"/>
          <w:numId w:val="1"/>
        </w:numPr>
        <w:tabs>
          <w:tab w:pos="408" w:val="left" w:leader="none"/>
        </w:tabs>
        <w:spacing w:line="244" w:lineRule="auto" w:before="21" w:after="0"/>
        <w:ind w:left="408" w:right="24" w:hanging="381"/>
        <w:jc w:val="both"/>
        <w:rPr>
          <w:sz w:val="17"/>
        </w:rPr>
      </w:pPr>
      <w:r>
        <w:rPr>
          <w:color w:val="131413"/>
          <w:spacing w:val="-2"/>
          <w:sz w:val="17"/>
        </w:rPr>
        <w:t>Hakonen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AH,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Heiskanen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Juvonen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V,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Lappalainen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I,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Luoma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PT, Rantamaki M, et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al. Mitochondrial DNA polymerase</w:t>
      </w:r>
      <w:r>
        <w:rPr>
          <w:color w:val="131413"/>
          <w:spacing w:val="-3"/>
          <w:sz w:val="17"/>
        </w:rPr>
        <w:t> </w:t>
      </w:r>
      <w:r>
        <w:rPr>
          <w:color w:val="131413"/>
          <w:spacing w:val="-2"/>
          <w:sz w:val="17"/>
        </w:rPr>
        <w:t>W748S</w:t>
      </w:r>
      <w:r>
        <w:rPr>
          <w:color w:val="131413"/>
          <w:spacing w:val="-4"/>
          <w:sz w:val="17"/>
        </w:rPr>
        <w:t> </w:t>
      </w:r>
      <w:r>
        <w:rPr>
          <w:color w:val="131413"/>
          <w:spacing w:val="-2"/>
          <w:sz w:val="17"/>
        </w:rPr>
        <w:t>mu- </w:t>
      </w:r>
      <w:bookmarkStart w:name="_bookmark11" w:id="18"/>
      <w:bookmarkEnd w:id="18"/>
      <w:r>
        <w:rPr>
          <w:color w:val="131413"/>
          <w:spacing w:val="-2"/>
          <w:sz w:val="17"/>
        </w:rPr>
        <w:t>t</w:t>
      </w:r>
      <w:r>
        <w:rPr>
          <w:color w:val="131413"/>
          <w:spacing w:val="-2"/>
          <w:sz w:val="17"/>
        </w:rPr>
        <w:t>ation: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common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cause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of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autosomal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recessive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ataxia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with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ancient </w:t>
      </w:r>
      <w:r>
        <w:rPr>
          <w:color w:val="131413"/>
          <w:sz w:val="17"/>
        </w:rPr>
        <w:t>European origin. Am J Hum Genet. 2005;77(3):430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41.</w:t>
      </w:r>
    </w:p>
    <w:p>
      <w:pPr>
        <w:pStyle w:val="ListParagraph"/>
        <w:numPr>
          <w:ilvl w:val="0"/>
          <w:numId w:val="1"/>
        </w:numPr>
        <w:tabs>
          <w:tab w:pos="403" w:val="left" w:leader="none"/>
          <w:tab w:pos="405" w:val="left" w:leader="none"/>
        </w:tabs>
        <w:spacing w:line="244" w:lineRule="auto" w:before="20" w:after="0"/>
        <w:ind w:left="405" w:right="24" w:hanging="379"/>
        <w:jc w:val="both"/>
        <w:rPr>
          <w:sz w:val="17"/>
        </w:rPr>
      </w:pPr>
      <w:r>
        <w:rPr>
          <w:color w:val="131413"/>
          <w:sz w:val="17"/>
        </w:rPr>
        <w:t>de Vries MC, Rodenburg RJ, Morava E, Lammens M, van den Heuvel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LPW,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Korenke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GC,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et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al.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Normal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biochemical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analysis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of the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oxidative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phosphorylation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(OXPHOS)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system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child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with </w:t>
      </w:r>
      <w:bookmarkStart w:name="_bookmark12" w:id="19"/>
      <w:bookmarkEnd w:id="19"/>
      <w:r>
        <w:rPr>
          <w:color w:val="131413"/>
          <w:sz w:val="17"/>
        </w:rPr>
        <w:t>P</w:t>
      </w:r>
      <w:r>
        <w:rPr>
          <w:color w:val="131413"/>
          <w:sz w:val="17"/>
        </w:rPr>
        <w:t>OLG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mutations: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cautionary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note.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J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Inherit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Metab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Dis.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2008;31 Suppl 2:S299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302.</w:t>
      </w:r>
    </w:p>
    <w:p>
      <w:pPr>
        <w:pStyle w:val="ListParagraph"/>
        <w:numPr>
          <w:ilvl w:val="0"/>
          <w:numId w:val="1"/>
        </w:numPr>
        <w:tabs>
          <w:tab w:pos="408" w:val="left" w:leader="none"/>
        </w:tabs>
        <w:spacing w:line="244" w:lineRule="auto" w:before="22" w:after="0"/>
        <w:ind w:left="408" w:right="22" w:hanging="381"/>
        <w:jc w:val="both"/>
        <w:rPr>
          <w:sz w:val="17"/>
        </w:rPr>
      </w:pPr>
      <w:r>
        <w:rPr>
          <w:color w:val="131413"/>
          <w:spacing w:val="-4"/>
          <w:sz w:val="17"/>
        </w:rPr>
        <w:t>Cohen BH, Chinnery PF, Copeland WC.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POLG-Related Disorders.</w:t>
      </w:r>
      <w:r>
        <w:rPr>
          <w:color w:val="131413"/>
          <w:spacing w:val="-2"/>
          <w:sz w:val="17"/>
        </w:rPr>
        <w:t> In: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Pagon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RA,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Adam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MP,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Ardinger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HH,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Wallace</w:t>
      </w:r>
      <w:r>
        <w:rPr>
          <w:color w:val="131413"/>
          <w:spacing w:val="-8"/>
          <w:sz w:val="17"/>
        </w:rPr>
        <w:t> </w:t>
      </w:r>
      <w:r>
        <w:rPr>
          <w:color w:val="131413"/>
          <w:spacing w:val="-2"/>
          <w:sz w:val="17"/>
        </w:rPr>
        <w:t>SE,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Amemiya</w:t>
      </w:r>
      <w:r>
        <w:rPr>
          <w:color w:val="131413"/>
          <w:spacing w:val="-9"/>
          <w:sz w:val="17"/>
        </w:rPr>
        <w:t> </w:t>
      </w:r>
      <w:r>
        <w:rPr>
          <w:color w:val="131413"/>
          <w:spacing w:val="-2"/>
          <w:sz w:val="17"/>
        </w:rPr>
        <w:t>A, Bean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LJ,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et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al.,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2"/>
          <w:sz w:val="17"/>
        </w:rPr>
        <w:t>editors.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GeneReviews(®)</w:t>
      </w:r>
      <w:r>
        <w:rPr>
          <w:color w:val="131413"/>
          <w:spacing w:val="-7"/>
          <w:sz w:val="17"/>
        </w:rPr>
        <w:t> </w:t>
      </w:r>
      <w:r>
        <w:rPr>
          <w:color w:val="131413"/>
          <w:spacing w:val="-2"/>
          <w:sz w:val="17"/>
        </w:rPr>
        <w:t>[Internet].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Seattle</w:t>
      </w:r>
      <w:r>
        <w:rPr>
          <w:color w:val="131413"/>
          <w:spacing w:val="-6"/>
          <w:sz w:val="17"/>
        </w:rPr>
        <w:t> </w:t>
      </w:r>
      <w:r>
        <w:rPr>
          <w:color w:val="131413"/>
          <w:spacing w:val="-2"/>
          <w:sz w:val="17"/>
        </w:rPr>
        <w:t>(WA): </w:t>
      </w:r>
      <w:r>
        <w:rPr>
          <w:color w:val="131413"/>
          <w:sz w:val="17"/>
        </w:rPr>
        <w:t>University of Washington, Seattle; 1993 [cited 2016 Jan 8]. </w:t>
      </w:r>
      <w:r>
        <w:rPr>
          <w:color w:val="131413"/>
          <w:spacing w:val="-2"/>
          <w:sz w:val="17"/>
        </w:rPr>
        <w:t>Available from: </w:t>
      </w:r>
      <w:hyperlink r:id="rId19">
        <w:r>
          <w:rPr>
            <w:color w:val="3A2A97"/>
            <w:spacing w:val="-2"/>
            <w:sz w:val="17"/>
          </w:rPr>
          <w:t>http://www.ncbi.nlm.nih.gov/books/NBK26471/</w:t>
        </w:r>
      </w:hyperlink>
      <w:r>
        <w:rPr>
          <w:color w:val="131413"/>
          <w:spacing w:val="-2"/>
          <w:sz w:val="17"/>
        </w:rPr>
        <w:t>.</w:t>
      </w:r>
    </w:p>
    <w:p>
      <w:pPr>
        <w:pStyle w:val="ListParagraph"/>
        <w:spacing w:after="0" w:line="244" w:lineRule="auto"/>
        <w:jc w:val="both"/>
        <w:rPr>
          <w:sz w:val="17"/>
        </w:rPr>
        <w:sectPr>
          <w:type w:val="continuous"/>
          <w:pgSz w:w="11910" w:h="15820"/>
          <w:pgMar w:header="629" w:footer="972" w:top="820" w:bottom="1160" w:left="992" w:right="992"/>
          <w:cols w:num="2" w:equalWidth="0">
            <w:col w:w="4799" w:space="305"/>
            <w:col w:w="4822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pgSz w:w="11910" w:h="15820"/>
          <w:pgMar w:header="649" w:footer="972" w:top="900" w:bottom="1160" w:left="992" w:right="992"/>
        </w:sectPr>
      </w:pPr>
    </w:p>
    <w:p>
      <w:pPr>
        <w:pStyle w:val="ListParagraph"/>
        <w:numPr>
          <w:ilvl w:val="0"/>
          <w:numId w:val="1"/>
        </w:numPr>
        <w:tabs>
          <w:tab w:pos="413" w:val="left" w:leader="none"/>
          <w:tab w:pos="415" w:val="left" w:leader="none"/>
        </w:tabs>
        <w:spacing w:line="244" w:lineRule="auto" w:before="90" w:after="0"/>
        <w:ind w:left="415" w:right="1" w:hanging="387"/>
        <w:jc w:val="both"/>
        <w:rPr>
          <w:sz w:val="17"/>
        </w:rPr>
      </w:pPr>
      <w:bookmarkStart w:name="_bookmark13" w:id="20"/>
      <w:bookmarkEnd w:id="20"/>
      <w:r>
        <w:rPr/>
      </w:r>
      <w:r>
        <w:rPr>
          <w:color w:val="131413"/>
          <w:sz w:val="17"/>
        </w:rPr>
        <w:t>Hagerman R, Hagerman P. Advances in clinical and </w:t>
      </w:r>
      <w:r>
        <w:rPr>
          <w:color w:val="131413"/>
          <w:sz w:val="17"/>
        </w:rPr>
        <w:t>molecular understanding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of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the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FMR1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premutation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and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fragile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X-associated </w:t>
      </w:r>
      <w:bookmarkStart w:name="_bookmark14" w:id="21"/>
      <w:bookmarkEnd w:id="21"/>
      <w:r>
        <w:rPr>
          <w:color w:val="131413"/>
          <w:sz w:val="17"/>
        </w:rPr>
        <w:t>t</w:t>
      </w:r>
      <w:r>
        <w:rPr>
          <w:color w:val="131413"/>
          <w:sz w:val="17"/>
        </w:rPr>
        <w:t>remor/ataxia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syndrome.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Lancet</w:t>
      </w:r>
      <w:r>
        <w:rPr>
          <w:color w:val="131413"/>
          <w:spacing w:val="-3"/>
          <w:sz w:val="17"/>
        </w:rPr>
        <w:t> </w:t>
      </w:r>
      <w:r>
        <w:rPr>
          <w:color w:val="131413"/>
          <w:sz w:val="17"/>
        </w:rPr>
        <w:t>Neurol.</w:t>
      </w:r>
      <w:r>
        <w:rPr>
          <w:color w:val="131413"/>
          <w:spacing w:val="-1"/>
          <w:sz w:val="17"/>
        </w:rPr>
        <w:t> </w:t>
      </w:r>
      <w:r>
        <w:rPr>
          <w:color w:val="131413"/>
          <w:sz w:val="17"/>
        </w:rPr>
        <w:t>2013;12(8):786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98.</w:t>
      </w:r>
    </w:p>
    <w:p>
      <w:pPr>
        <w:pStyle w:val="ListParagraph"/>
        <w:numPr>
          <w:ilvl w:val="0"/>
          <w:numId w:val="1"/>
        </w:numPr>
        <w:tabs>
          <w:tab w:pos="413" w:val="left" w:leader="none"/>
          <w:tab w:pos="415" w:val="left" w:leader="none"/>
        </w:tabs>
        <w:spacing w:line="244" w:lineRule="auto" w:before="0" w:after="0"/>
        <w:ind w:left="415" w:right="1" w:hanging="387"/>
        <w:jc w:val="both"/>
        <w:rPr>
          <w:sz w:val="17"/>
        </w:rPr>
      </w:pPr>
      <w:r>
        <w:rPr>
          <w:color w:val="131413"/>
          <w:sz w:val="17"/>
        </w:rPr>
        <w:t>Savoiardo M. Differential diagnosis of Parkinson</w:t>
      </w:r>
      <w:r>
        <w:rPr>
          <w:rFonts w:ascii="Arial" w:hAnsi="Arial"/>
          <w:color w:val="131413"/>
          <w:sz w:val="17"/>
        </w:rPr>
        <w:t>’</w:t>
      </w:r>
      <w:r>
        <w:rPr>
          <w:color w:val="131413"/>
          <w:sz w:val="17"/>
        </w:rPr>
        <w:t>s disease </w:t>
      </w:r>
      <w:r>
        <w:rPr>
          <w:color w:val="131413"/>
          <w:sz w:val="17"/>
        </w:rPr>
        <w:t>and atypical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Parkinsonian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disorders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by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magnetic</w:t>
      </w:r>
      <w:r>
        <w:rPr>
          <w:color w:val="131413"/>
          <w:spacing w:val="-6"/>
          <w:sz w:val="17"/>
        </w:rPr>
        <w:t> </w:t>
      </w:r>
      <w:r>
        <w:rPr>
          <w:color w:val="131413"/>
          <w:sz w:val="17"/>
        </w:rPr>
        <w:t>resonance</w:t>
      </w:r>
      <w:r>
        <w:rPr>
          <w:color w:val="131413"/>
          <w:spacing w:val="-7"/>
          <w:sz w:val="17"/>
        </w:rPr>
        <w:t> </w:t>
      </w:r>
      <w:r>
        <w:rPr>
          <w:color w:val="131413"/>
          <w:sz w:val="17"/>
        </w:rPr>
        <w:t>imaging. Neurol Sci Off J Ital Neurol Soc Ital Soc Clin Neurophysiol. </w:t>
      </w:r>
      <w:bookmarkStart w:name="_bookmark15" w:id="22"/>
      <w:bookmarkEnd w:id="22"/>
      <w:r>
        <w:rPr>
          <w:color w:val="131413"/>
          <w:sz w:val="17"/>
        </w:rPr>
        <w:t>2</w:t>
      </w:r>
      <w:r>
        <w:rPr>
          <w:color w:val="131413"/>
          <w:sz w:val="17"/>
        </w:rPr>
        <w:t>003;24 Suppl 1:S35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7.</w:t>
      </w:r>
    </w:p>
    <w:p>
      <w:pPr>
        <w:pStyle w:val="ListParagraph"/>
        <w:numPr>
          <w:ilvl w:val="0"/>
          <w:numId w:val="1"/>
        </w:numPr>
        <w:tabs>
          <w:tab w:pos="417" w:val="left" w:leader="none"/>
        </w:tabs>
        <w:spacing w:line="244" w:lineRule="auto" w:before="1" w:after="0"/>
        <w:ind w:left="417" w:right="0" w:hanging="389"/>
        <w:jc w:val="both"/>
        <w:rPr>
          <w:sz w:val="17"/>
        </w:rPr>
      </w:pPr>
      <w:r>
        <w:rPr>
          <w:color w:val="131413"/>
          <w:sz w:val="17"/>
        </w:rPr>
        <w:t>Ayrignac X, Carra-Dalliere C, Menjot de Champfleur N,</w:t>
      </w:r>
      <w:r>
        <w:rPr>
          <w:color w:val="131413"/>
          <w:spacing w:val="80"/>
          <w:sz w:val="17"/>
        </w:rPr>
        <w:t> </w:t>
      </w:r>
      <w:r>
        <w:rPr>
          <w:color w:val="131413"/>
          <w:sz w:val="17"/>
        </w:rPr>
        <w:t>Denier</w:t>
      </w:r>
      <w:r>
        <w:rPr>
          <w:color w:val="131413"/>
          <w:spacing w:val="25"/>
          <w:sz w:val="17"/>
        </w:rPr>
        <w:t> </w:t>
      </w:r>
      <w:r>
        <w:rPr>
          <w:color w:val="131413"/>
          <w:sz w:val="17"/>
        </w:rPr>
        <w:t>C,</w:t>
      </w:r>
      <w:r>
        <w:rPr>
          <w:color w:val="131413"/>
          <w:spacing w:val="24"/>
          <w:sz w:val="17"/>
        </w:rPr>
        <w:t> </w:t>
      </w:r>
      <w:r>
        <w:rPr>
          <w:color w:val="131413"/>
          <w:sz w:val="17"/>
        </w:rPr>
        <w:t>Aubourg</w:t>
      </w:r>
      <w:r>
        <w:rPr>
          <w:color w:val="131413"/>
          <w:spacing w:val="25"/>
          <w:sz w:val="17"/>
        </w:rPr>
        <w:t> </w:t>
      </w:r>
      <w:r>
        <w:rPr>
          <w:color w:val="131413"/>
          <w:sz w:val="17"/>
        </w:rPr>
        <w:t>P,</w:t>
      </w:r>
      <w:r>
        <w:rPr>
          <w:color w:val="131413"/>
          <w:spacing w:val="24"/>
          <w:sz w:val="17"/>
        </w:rPr>
        <w:t> </w:t>
      </w:r>
      <w:r>
        <w:rPr>
          <w:color w:val="131413"/>
          <w:sz w:val="17"/>
        </w:rPr>
        <w:t>Bellesme</w:t>
      </w:r>
      <w:r>
        <w:rPr>
          <w:color w:val="131413"/>
          <w:spacing w:val="26"/>
          <w:sz w:val="17"/>
        </w:rPr>
        <w:t> </w:t>
      </w:r>
      <w:r>
        <w:rPr>
          <w:color w:val="131413"/>
          <w:sz w:val="17"/>
        </w:rPr>
        <w:t>C,</w:t>
      </w:r>
      <w:r>
        <w:rPr>
          <w:color w:val="131413"/>
          <w:spacing w:val="24"/>
          <w:sz w:val="17"/>
        </w:rPr>
        <w:t> </w:t>
      </w:r>
      <w:r>
        <w:rPr>
          <w:color w:val="131413"/>
          <w:sz w:val="17"/>
        </w:rPr>
        <w:t>et</w:t>
      </w:r>
      <w:r>
        <w:rPr>
          <w:color w:val="131413"/>
          <w:spacing w:val="24"/>
          <w:sz w:val="17"/>
        </w:rPr>
        <w:t> </w:t>
      </w:r>
      <w:r>
        <w:rPr>
          <w:color w:val="131413"/>
          <w:sz w:val="17"/>
        </w:rPr>
        <w:t>al.</w:t>
      </w:r>
      <w:r>
        <w:rPr>
          <w:color w:val="131413"/>
          <w:spacing w:val="24"/>
          <w:sz w:val="17"/>
        </w:rPr>
        <w:t> </w:t>
      </w:r>
      <w:r>
        <w:rPr>
          <w:color w:val="131413"/>
          <w:sz w:val="17"/>
        </w:rPr>
        <w:t>Adult-onset</w:t>
      </w:r>
      <w:r>
        <w:rPr>
          <w:color w:val="131413"/>
          <w:spacing w:val="24"/>
          <w:sz w:val="17"/>
        </w:rPr>
        <w:t> </w:t>
      </w:r>
      <w:r>
        <w:rPr>
          <w:color w:val="131413"/>
          <w:sz w:val="17"/>
        </w:rPr>
        <w:t>genetic</w:t>
      </w:r>
    </w:p>
    <w:p>
      <w:pPr>
        <w:spacing w:line="244" w:lineRule="auto" w:before="89"/>
        <w:ind w:left="417" w:right="24" w:firstLine="0"/>
        <w:jc w:val="both"/>
        <w:rPr>
          <w:sz w:val="17"/>
        </w:rPr>
      </w:pPr>
      <w:r>
        <w:rPr/>
        <w:br w:type="column"/>
      </w:r>
      <w:r>
        <w:rPr>
          <w:color w:val="131413"/>
          <w:sz w:val="17"/>
        </w:rPr>
        <w:t>leukoencephalopathies: a MRI pattern-based approach in a comprehensive study of 154 patients. Brain J Neurol. </w:t>
      </w:r>
      <w:bookmarkStart w:name="_bookmark16" w:id="23"/>
      <w:bookmarkEnd w:id="23"/>
      <w:r>
        <w:rPr>
          <w:color w:val="131413"/>
          <w:sz w:val="17"/>
        </w:rPr>
        <w:t>2</w:t>
      </w:r>
      <w:r>
        <w:rPr>
          <w:color w:val="131413"/>
          <w:sz w:val="17"/>
        </w:rPr>
        <w:t>015;138(Pt</w:t>
      </w:r>
      <w:r>
        <w:rPr>
          <w:color w:val="131413"/>
          <w:spacing w:val="40"/>
          <w:sz w:val="17"/>
        </w:rPr>
        <w:t> </w:t>
      </w:r>
      <w:r>
        <w:rPr>
          <w:color w:val="131413"/>
          <w:sz w:val="17"/>
        </w:rPr>
        <w:t>2):284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92.</w:t>
      </w:r>
    </w:p>
    <w:p>
      <w:pPr>
        <w:pStyle w:val="ListParagraph"/>
        <w:numPr>
          <w:ilvl w:val="0"/>
          <w:numId w:val="1"/>
        </w:numPr>
        <w:tabs>
          <w:tab w:pos="409" w:val="left" w:leader="none"/>
        </w:tabs>
        <w:spacing w:line="244" w:lineRule="auto" w:before="1" w:after="0"/>
        <w:ind w:left="409" w:right="25" w:hanging="381"/>
        <w:jc w:val="both"/>
        <w:rPr>
          <w:sz w:val="17"/>
        </w:rPr>
      </w:pPr>
      <w:r>
        <w:rPr>
          <w:color w:val="131413"/>
          <w:sz w:val="17"/>
        </w:rPr>
        <w:t>Finsterer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J,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Zarrouk</w:t>
      </w:r>
      <w:r>
        <w:rPr>
          <w:color w:val="131413"/>
          <w:spacing w:val="-11"/>
          <w:sz w:val="17"/>
        </w:rPr>
        <w:t> </w:t>
      </w:r>
      <w:r>
        <w:rPr>
          <w:color w:val="131413"/>
          <w:sz w:val="17"/>
        </w:rPr>
        <w:t>Mahjoub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S.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Leukoencephalopathies</w:t>
      </w:r>
      <w:r>
        <w:rPr>
          <w:color w:val="131413"/>
          <w:spacing w:val="-9"/>
          <w:sz w:val="17"/>
        </w:rPr>
        <w:t> </w:t>
      </w:r>
      <w:r>
        <w:rPr>
          <w:color w:val="131413"/>
          <w:sz w:val="17"/>
        </w:rPr>
        <w:t>in</w:t>
      </w:r>
      <w:r>
        <w:rPr>
          <w:color w:val="131413"/>
          <w:spacing w:val="-10"/>
          <w:sz w:val="17"/>
        </w:rPr>
        <w:t> </w:t>
      </w:r>
      <w:r>
        <w:rPr>
          <w:color w:val="131413"/>
          <w:sz w:val="17"/>
        </w:rPr>
        <w:t>mito- </w:t>
      </w:r>
      <w:r>
        <w:rPr>
          <w:color w:val="131413"/>
          <w:spacing w:val="-4"/>
          <w:sz w:val="17"/>
        </w:rPr>
        <w:t>chondrial disorders:</w:t>
      </w:r>
      <w:r>
        <w:rPr>
          <w:color w:val="131413"/>
          <w:spacing w:val="-5"/>
          <w:sz w:val="17"/>
        </w:rPr>
        <w:t> </w:t>
      </w:r>
      <w:r>
        <w:rPr>
          <w:color w:val="131413"/>
          <w:spacing w:val="-4"/>
          <w:sz w:val="17"/>
        </w:rPr>
        <w:t>clinical and MRI findings. J Neuroimaging Off</w:t>
      </w:r>
      <w:r>
        <w:rPr>
          <w:color w:val="131413"/>
          <w:sz w:val="17"/>
        </w:rPr>
        <w:t> </w:t>
      </w:r>
      <w:bookmarkStart w:name="_bookmark17" w:id="24"/>
      <w:bookmarkEnd w:id="24"/>
      <w:r>
        <w:rPr>
          <w:color w:val="131413"/>
          <w:sz w:val="17"/>
        </w:rPr>
        <w:t>J</w:t>
      </w:r>
      <w:r>
        <w:rPr>
          <w:color w:val="131413"/>
          <w:sz w:val="17"/>
        </w:rPr>
        <w:t> Am Soc Neuroimaging. 2012;22(3):e1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11.</w:t>
      </w:r>
    </w:p>
    <w:p>
      <w:pPr>
        <w:pStyle w:val="ListParagraph"/>
        <w:numPr>
          <w:ilvl w:val="0"/>
          <w:numId w:val="1"/>
        </w:numPr>
        <w:tabs>
          <w:tab w:pos="435" w:val="left" w:leader="none"/>
          <w:tab w:pos="437" w:val="left" w:leader="none"/>
        </w:tabs>
        <w:spacing w:line="244" w:lineRule="auto" w:before="1" w:after="0"/>
        <w:ind w:left="437" w:right="19" w:hanging="410"/>
        <w:jc w:val="both"/>
        <w:rPr>
          <w:sz w:val="17"/>
        </w:rPr>
      </w:pPr>
      <w:r>
        <w:rPr>
          <w:color w:val="131413"/>
          <w:sz w:val="17"/>
        </w:rPr>
        <w:t>Schulte C, Synofzik M, Gasser T, Schöls L. Ataxia with ophthalmoplegia or sensory neuropathy is frequently caused by POLG mutations. Neurology. 2009;73(11):898</w:t>
      </w:r>
      <w:r>
        <w:rPr>
          <w:rFonts w:ascii="Arial" w:hAnsi="Arial"/>
          <w:color w:val="131413"/>
          <w:sz w:val="17"/>
        </w:rPr>
        <w:t>–</w:t>
      </w:r>
      <w:r>
        <w:rPr>
          <w:color w:val="131413"/>
          <w:sz w:val="17"/>
        </w:rPr>
        <w:t>900.</w:t>
      </w:r>
    </w:p>
    <w:sectPr>
      <w:type w:val="continuous"/>
      <w:pgSz w:w="11910" w:h="15820"/>
      <w:pgMar w:header="649" w:footer="972" w:top="820" w:bottom="1160" w:left="992" w:right="992"/>
      <w:cols w:num="2" w:equalWidth="0">
        <w:col w:w="4795" w:space="308"/>
        <w:col w:w="482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451136">
          <wp:simplePos x="0" y="0"/>
          <wp:positionH relativeFrom="page">
            <wp:posOffset>1048321</wp:posOffset>
          </wp:positionH>
          <wp:positionV relativeFrom="page">
            <wp:posOffset>9300070</wp:posOffset>
          </wp:positionV>
          <wp:extent cx="484505" cy="130302"/>
          <wp:effectExtent l="0" t="0" r="0" b="0"/>
          <wp:wrapNone/>
          <wp:docPr id="7" name="Image 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4505" cy="13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1648">
          <wp:simplePos x="0" y="0"/>
          <wp:positionH relativeFrom="page">
            <wp:posOffset>648101</wp:posOffset>
          </wp:positionH>
          <wp:positionV relativeFrom="page">
            <wp:posOffset>9303207</wp:posOffset>
          </wp:positionV>
          <wp:extent cx="278947" cy="125454"/>
          <wp:effectExtent l="0" t="0" r="0" b="0"/>
          <wp:wrapNone/>
          <wp:docPr id="8" name="Image 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8" name="Image 8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78947" cy="12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7452160">
          <wp:simplePos x="0" y="0"/>
          <wp:positionH relativeFrom="page">
            <wp:posOffset>6012002</wp:posOffset>
          </wp:positionH>
          <wp:positionV relativeFrom="page">
            <wp:posOffset>9300070</wp:posOffset>
          </wp:positionV>
          <wp:extent cx="484492" cy="130302"/>
          <wp:effectExtent l="0" t="0" r="0" b="0"/>
          <wp:wrapNone/>
          <wp:docPr id="9" name="Image 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84492" cy="1303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452672">
          <wp:simplePos x="0" y="0"/>
          <wp:positionH relativeFrom="page">
            <wp:posOffset>6617622</wp:posOffset>
          </wp:positionH>
          <wp:positionV relativeFrom="page">
            <wp:posOffset>9303207</wp:posOffset>
          </wp:positionV>
          <wp:extent cx="278947" cy="125454"/>
          <wp:effectExtent l="0" t="0" r="0" b="0"/>
          <wp:wrapNone/>
          <wp:docPr id="10" name="Image 1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0" name="Image 10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78947" cy="125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49088">
              <wp:simplePos x="0" y="0"/>
              <wp:positionH relativeFrom="page">
                <wp:posOffset>635333</wp:posOffset>
              </wp:positionH>
              <wp:positionV relativeFrom="page">
                <wp:posOffset>397273</wp:posOffset>
              </wp:positionV>
              <wp:extent cx="1346835" cy="1422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346835" cy="1422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Cerebellum</w:t>
                          </w:r>
                          <w:r>
                            <w:rPr>
                              <w:color w:val="131413"/>
                              <w:spacing w:val="5"/>
                              <w:sz w:val="17"/>
                            </w:rPr>
                            <w:t> </w:t>
                          </w: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(2016)</w:t>
                          </w:r>
                          <w:r>
                            <w:rPr>
                              <w:color w:val="131413"/>
                              <w:spacing w:val="6"/>
                              <w:sz w:val="17"/>
                            </w:rPr>
                            <w:t> </w:t>
                          </w: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15:632</w:t>
                          </w:r>
                          <w:r>
                            <w:rPr>
                              <w:rFonts w:ascii="Arial" w:hAnsi="Arial"/>
                              <w:color w:val="131413"/>
                              <w:spacing w:val="-4"/>
                              <w:sz w:val="17"/>
                            </w:rPr>
                            <w:t>–</w:t>
                          </w: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635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0.026291pt;margin-top:31.281414pt;width:106.05pt;height:11.2pt;mso-position-horizontal-relative:page;mso-position-vertical-relative:page;z-index:-15867392" type="#_x0000_t202" id="docshape1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31413"/>
                        <w:spacing w:val="-4"/>
                        <w:sz w:val="17"/>
                      </w:rPr>
                      <w:t>Cerebellum</w:t>
                    </w:r>
                    <w:r>
                      <w:rPr>
                        <w:color w:val="131413"/>
                        <w:spacing w:val="5"/>
                        <w:sz w:val="17"/>
                      </w:rPr>
                      <w:t> </w:t>
                    </w:r>
                    <w:r>
                      <w:rPr>
                        <w:color w:val="131413"/>
                        <w:spacing w:val="-4"/>
                        <w:sz w:val="17"/>
                      </w:rPr>
                      <w:t>(2016)</w:t>
                    </w:r>
                    <w:r>
                      <w:rPr>
                        <w:color w:val="131413"/>
                        <w:spacing w:val="6"/>
                        <w:sz w:val="17"/>
                      </w:rPr>
                      <w:t> </w:t>
                    </w:r>
                    <w:r>
                      <w:rPr>
                        <w:color w:val="131413"/>
                        <w:spacing w:val="-4"/>
                        <w:sz w:val="17"/>
                      </w:rPr>
                      <w:t>15:632</w:t>
                    </w:r>
                    <w:r>
                      <w:rPr>
                        <w:rFonts w:ascii="Arial" w:hAnsi="Arial"/>
                        <w:color w:val="131413"/>
                        <w:spacing w:val="-4"/>
                        <w:sz w:val="17"/>
                      </w:rPr>
                      <w:t>–</w:t>
                    </w:r>
                    <w:r>
                      <w:rPr>
                        <w:color w:val="131413"/>
                        <w:spacing w:val="-4"/>
                        <w:sz w:val="17"/>
                      </w:rPr>
                      <w:t>635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449600">
              <wp:simplePos x="0" y="0"/>
              <wp:positionH relativeFrom="page">
                <wp:posOffset>648005</wp:posOffset>
              </wp:positionH>
              <wp:positionV relativeFrom="page">
                <wp:posOffset>563041</wp:posOffset>
              </wp:positionV>
              <wp:extent cx="6264275" cy="13335"/>
              <wp:effectExtent l="0" t="0" r="0" b="0"/>
              <wp:wrapNone/>
              <wp:docPr id="2" name="Group 2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2" name="Group 2"/>
                    <wpg:cNvGrpSpPr/>
                    <wpg:grpSpPr>
                      <a:xfrm>
                        <a:off x="0" y="0"/>
                        <a:ext cx="6264275" cy="13335"/>
                        <a:chExt cx="6264275" cy="13335"/>
                      </a:xfrm>
                    </wpg:grpSpPr>
                    <wps:wsp>
                      <wps:cNvPr id="3" name="Graphic 3"/>
                      <wps:cNvSpPr/>
                      <wps:spPr>
                        <a:xfrm>
                          <a:off x="0" y="0"/>
                          <a:ext cx="626427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4275" h="13335">
                              <a:moveTo>
                                <a:pt x="6263995" y="0"/>
                              </a:moveTo>
                              <a:lnTo>
                                <a:pt x="0" y="0"/>
                              </a:lnTo>
                              <a:lnTo>
                                <a:pt x="0" y="12953"/>
                              </a:lnTo>
                              <a:lnTo>
                                <a:pt x="6263995" y="12953"/>
                              </a:lnTo>
                              <a:lnTo>
                                <a:pt x="6263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3141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Graphic 4"/>
                      <wps:cNvSpPr/>
                      <wps:spPr>
                        <a:xfrm>
                          <a:off x="0" y="0"/>
                          <a:ext cx="6264275" cy="133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4275" h="13335">
                              <a:moveTo>
                                <a:pt x="6263995" y="12953"/>
                              </a:moveTo>
                              <a:lnTo>
                                <a:pt x="0" y="12953"/>
                              </a:lnTo>
                              <a:lnTo>
                                <a:pt x="0" y="0"/>
                              </a:lnTo>
                              <a:lnTo>
                                <a:pt x="6263995" y="0"/>
                              </a:lnTo>
                              <a:lnTo>
                                <a:pt x="6263995" y="12953"/>
                              </a:lnTo>
                              <a:close/>
                            </a:path>
                          </a:pathLst>
                        </a:custGeom>
                        <a:ln w="0">
                          <a:solidFill>
                            <a:srgbClr val="13141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1.024017pt;margin-top:44.334003pt;width:493.25pt;height:1.05pt;mso-position-horizontal-relative:page;mso-position-vertical-relative:page;z-index:-15866880" id="docshapegroup2" coordorigin="1020,887" coordsize="9865,21">
              <v:rect style="position:absolute;left:1020;top:886;width:9865;height:21" id="docshape3" filled="true" fillcolor="#131413" stroked="false">
                <v:fill type="solid"/>
              </v:rect>
              <v:rect style="position:absolute;left:1020;top:886;width:9865;height:21" id="docshape4" filled="false" stroked="true" strokeweight="0pt" strokecolor="#131413">
                <v:stroke dashstyle="solid"/>
              </v:rect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50112">
              <wp:simplePos x="0" y="0"/>
              <wp:positionH relativeFrom="page">
                <wp:posOffset>635299</wp:posOffset>
              </wp:positionH>
              <wp:positionV relativeFrom="page">
                <wp:posOffset>399356</wp:posOffset>
              </wp:positionV>
              <wp:extent cx="1346835" cy="14224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346835" cy="1422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8"/>
                            <w:ind w:left="2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Cerebellum</w:t>
                          </w:r>
                          <w:r>
                            <w:rPr>
                              <w:color w:val="131413"/>
                              <w:spacing w:val="5"/>
                              <w:sz w:val="17"/>
                            </w:rPr>
                            <w:t> </w:t>
                          </w: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(2016)</w:t>
                          </w:r>
                          <w:r>
                            <w:rPr>
                              <w:color w:val="131413"/>
                              <w:spacing w:val="6"/>
                              <w:sz w:val="17"/>
                            </w:rPr>
                            <w:t> </w:t>
                          </w: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15:632</w:t>
                          </w:r>
                          <w:r>
                            <w:rPr>
                              <w:rFonts w:ascii="Arial" w:hAnsi="Arial"/>
                              <w:color w:val="131413"/>
                              <w:spacing w:val="-4"/>
                              <w:sz w:val="17"/>
                            </w:rPr>
                            <w:t>–</w:t>
                          </w:r>
                          <w:r>
                            <w:rPr>
                              <w:color w:val="131413"/>
                              <w:spacing w:val="-4"/>
                              <w:sz w:val="17"/>
                            </w:rPr>
                            <w:t>635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.023602pt;margin-top:31.445427pt;width:106.05pt;height:11.2pt;mso-position-horizontal-relative:page;mso-position-vertical-relative:page;z-index:-15866368" type="#_x0000_t202" id="docshape5" filled="false" stroked="false">
              <v:textbox inset="0,0,0,0">
                <w:txbxContent>
                  <w:p>
                    <w:pPr>
                      <w:spacing w:before="8"/>
                      <w:ind w:left="2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31413"/>
                        <w:spacing w:val="-4"/>
                        <w:sz w:val="17"/>
                      </w:rPr>
                      <w:t>Cerebellum</w:t>
                    </w:r>
                    <w:r>
                      <w:rPr>
                        <w:color w:val="131413"/>
                        <w:spacing w:val="5"/>
                        <w:sz w:val="17"/>
                      </w:rPr>
                      <w:t> </w:t>
                    </w:r>
                    <w:r>
                      <w:rPr>
                        <w:color w:val="131413"/>
                        <w:spacing w:val="-4"/>
                        <w:sz w:val="17"/>
                      </w:rPr>
                      <w:t>(2016)</w:t>
                    </w:r>
                    <w:r>
                      <w:rPr>
                        <w:color w:val="131413"/>
                        <w:spacing w:val="6"/>
                        <w:sz w:val="17"/>
                      </w:rPr>
                      <w:t> </w:t>
                    </w:r>
                    <w:r>
                      <w:rPr>
                        <w:color w:val="131413"/>
                        <w:spacing w:val="-4"/>
                        <w:sz w:val="17"/>
                      </w:rPr>
                      <w:t>15:632</w:t>
                    </w:r>
                    <w:r>
                      <w:rPr>
                        <w:rFonts w:ascii="Arial" w:hAnsi="Arial"/>
                        <w:color w:val="131413"/>
                        <w:spacing w:val="-4"/>
                        <w:sz w:val="17"/>
                      </w:rPr>
                      <w:t>–</w:t>
                    </w:r>
                    <w:r>
                      <w:rPr>
                        <w:color w:val="131413"/>
                        <w:spacing w:val="-4"/>
                        <w:sz w:val="17"/>
                      </w:rPr>
                      <w:t>635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450624">
              <wp:simplePos x="0" y="0"/>
              <wp:positionH relativeFrom="page">
                <wp:posOffset>6714863</wp:posOffset>
              </wp:positionH>
              <wp:positionV relativeFrom="page">
                <wp:posOffset>399356</wp:posOffset>
              </wp:positionV>
              <wp:extent cx="248285" cy="14224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248285" cy="1422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sz w:val="17"/>
                            </w:rPr>
                          </w:pPr>
                          <w:r>
                            <w:rPr>
                              <w:color w:val="131413"/>
                              <w:spacing w:val="-5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color w:val="131413"/>
                              <w:spacing w:val="-5"/>
                              <w:sz w:val="17"/>
                            </w:rPr>
                            <w:instrText> PAGE </w:instrText>
                          </w:r>
                          <w:r>
                            <w:rPr>
                              <w:color w:val="131413"/>
                              <w:spacing w:val="-5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color w:val="131413"/>
                              <w:spacing w:val="-5"/>
                              <w:sz w:val="17"/>
                            </w:rPr>
                            <w:t>633</w:t>
                          </w:r>
                          <w:r>
                            <w:rPr>
                              <w:color w:val="131413"/>
                              <w:spacing w:val="-5"/>
                              <w:sz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28.729431pt;margin-top:31.445427pt;width:19.55pt;height:11.2pt;mso-position-horizontal-relative:page;mso-position-vertical-relative:page;z-index:-15865856" type="#_x0000_t202" id="docshape6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131413"/>
                        <w:spacing w:val="-5"/>
                        <w:sz w:val="17"/>
                      </w:rPr>
                      <w:fldChar w:fldCharType="begin"/>
                    </w:r>
                    <w:r>
                      <w:rPr>
                        <w:color w:val="131413"/>
                        <w:spacing w:val="-5"/>
                        <w:sz w:val="17"/>
                      </w:rPr>
                      <w:instrText> PAGE </w:instrText>
                    </w:r>
                    <w:r>
                      <w:rPr>
                        <w:color w:val="131413"/>
                        <w:spacing w:val="-5"/>
                        <w:sz w:val="17"/>
                      </w:rPr>
                      <w:fldChar w:fldCharType="separate"/>
                    </w:r>
                    <w:r>
                      <w:rPr>
                        <w:color w:val="131413"/>
                        <w:spacing w:val="-5"/>
                        <w:sz w:val="17"/>
                      </w:rPr>
                      <w:t>633</w:t>
                    </w:r>
                    <w:r>
                      <w:rPr>
                        <w:color w:val="131413"/>
                        <w:spacing w:val="-5"/>
                        <w:sz w:val="17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411" w:hanging="299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31413"/>
        <w:spacing w:val="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9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9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9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8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8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58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98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37" w:hanging="29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8"/>
      <w:outlineLvl w:val="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8" w:right="468"/>
    </w:pPr>
    <w:rPr>
      <w:rFonts w:ascii="Times New Roman" w:hAnsi="Times New Roman" w:eastAsia="Times New Roman" w:cs="Times New Roman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"/>
      <w:ind w:left="411" w:right="24" w:hanging="299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5.png"/><Relationship Id="rId10" Type="http://schemas.openxmlformats.org/officeDocument/2006/relationships/hyperlink" Target="http://crossmark.crossref.org/dialog/?doi=10.1007/s12311-016-0777-x&amp;domain=pdf" TargetMode="External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hyperlink" Target="mailto:martin.paucar-arce@karolinska.se" TargetMode="External"/><Relationship Id="rId18" Type="http://schemas.openxmlformats.org/officeDocument/2006/relationships/image" Target="media/image12.png"/><Relationship Id="rId19" Type="http://schemas.openxmlformats.org/officeDocument/2006/relationships/hyperlink" Target="http://www.ncbi.nlm.nih.gov/books/NBK26471/" TargetMode="External"/><Relationship Id="rId20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Paucar</dc:creator>
  <cp:keywords>FXTAS,POLG,MCP sign</cp:keywords>
  <dc:subject>Cerebellum, doi:10.1007/s12311-016-0777-x</dc:subject>
  <dc:title>POLG-Associated Ataxia Presenting as a Fragile X Tremor/Ataxia Phenocopy Syndrome</dc:title>
  <dcterms:created xsi:type="dcterms:W3CDTF">2025-07-04T18:36:52Z</dcterms:created>
  <dcterms:modified xsi:type="dcterms:W3CDTF">2025-07-04T18:36:52Z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Arbortext Advanced Print Publisher 9.1.440/W Unicode</vt:lpwstr>
  </property>
  <property fmtid="{D5CDD505-2E9C-101B-9397-08002B2CF9AE}" pid="4" name="CrossMarkDomains[1]">
    <vt:lpwstr>springer.com</vt:lpwstr>
  </property>
  <property fmtid="{D5CDD505-2E9C-101B-9397-08002B2CF9AE}" pid="5" name="CrossMarkDomains[2]">
    <vt:lpwstr>springerlink.com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2016-08-22</vt:lpwstr>
  </property>
  <property fmtid="{D5CDD505-2E9C-101B-9397-08002B2CF9AE}" pid="8" name="LastSaved">
    <vt:filetime>2025-07-04T00:00:00Z</vt:filetime>
  </property>
  <property fmtid="{D5CDD505-2E9C-101B-9397-08002B2CF9AE}" pid="9" name="Producer">
    <vt:lpwstr>Acrobat Distiller 9.0.0 (Windows)</vt:lpwstr>
  </property>
  <property fmtid="{D5CDD505-2E9C-101B-9397-08002B2CF9AE}" pid="10" name="doi">
    <vt:lpwstr>10.1007/s12311-016-0777-x</vt:lpwstr>
  </property>
</Properties>
</file>