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3590" w:right="0" w:firstLine="0"/>
        <w:jc w:val="center"/>
        <w:rPr>
          <w:rFonts w:ascii="Arial"/>
          <w:sz w:val="18"/>
        </w:rPr>
      </w:pPr>
      <w:r>
        <w:rPr>
          <w:rFonts w:ascii="Arial"/>
          <w:sz w:val="18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390423</wp:posOffset>
            </wp:positionH>
            <wp:positionV relativeFrom="paragraph">
              <wp:posOffset>87972</wp:posOffset>
            </wp:positionV>
            <wp:extent cx="684060" cy="754926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60" cy="75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1686420</wp:posOffset>
                </wp:positionH>
                <wp:positionV relativeFrom="paragraph">
                  <wp:posOffset>81965</wp:posOffset>
                </wp:positionV>
                <wp:extent cx="387350" cy="407034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387350" cy="407034"/>
                          <a:chExt cx="387350" cy="407034"/>
                        </a:xfrm>
                      </wpg:grpSpPr>
                      <pic:pic>
                        <pic:nvPicPr>
                          <pic:cNvPr id="3" name="Image 3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764" y="41973"/>
                            <a:ext cx="137680" cy="230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>
                          <a:hlinkClick r:id="rId7"/>
                        </wps:cNvPr>
                        <wps:cNvSpPr/>
                        <wps:spPr>
                          <a:xfrm>
                            <a:off x="27406" y="0"/>
                            <a:ext cx="3238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671" y="0"/>
                                </a:moveTo>
                                <a:lnTo>
                                  <a:pt x="118695" y="5773"/>
                                </a:lnTo>
                                <a:lnTo>
                                  <a:pt x="80075" y="22066"/>
                                </a:lnTo>
                                <a:lnTo>
                                  <a:pt x="47355" y="47337"/>
                                </a:lnTo>
                                <a:lnTo>
                                  <a:pt x="22074" y="80045"/>
                                </a:lnTo>
                                <a:lnTo>
                                  <a:pt x="5775" y="118649"/>
                                </a:lnTo>
                                <a:lnTo>
                                  <a:pt x="0" y="161607"/>
                                </a:lnTo>
                                <a:lnTo>
                                  <a:pt x="5775" y="204598"/>
                                </a:lnTo>
                                <a:lnTo>
                                  <a:pt x="22074" y="243226"/>
                                </a:lnTo>
                                <a:lnTo>
                                  <a:pt x="47355" y="275950"/>
                                </a:lnTo>
                                <a:lnTo>
                                  <a:pt x="80075" y="301231"/>
                                </a:lnTo>
                                <a:lnTo>
                                  <a:pt x="118695" y="317529"/>
                                </a:lnTo>
                                <a:lnTo>
                                  <a:pt x="161671" y="323303"/>
                                </a:lnTo>
                                <a:lnTo>
                                  <a:pt x="204646" y="317529"/>
                                </a:lnTo>
                                <a:lnTo>
                                  <a:pt x="243266" y="301231"/>
                                </a:lnTo>
                                <a:lnTo>
                                  <a:pt x="249972" y="296049"/>
                                </a:lnTo>
                                <a:lnTo>
                                  <a:pt x="241909" y="296049"/>
                                </a:lnTo>
                                <a:lnTo>
                                  <a:pt x="239692" y="294233"/>
                                </a:lnTo>
                                <a:lnTo>
                                  <a:pt x="82448" y="294233"/>
                                </a:lnTo>
                                <a:lnTo>
                                  <a:pt x="82448" y="265214"/>
                                </a:lnTo>
                                <a:lnTo>
                                  <a:pt x="61320" y="244880"/>
                                </a:lnTo>
                                <a:lnTo>
                                  <a:pt x="45154" y="220292"/>
                                </a:lnTo>
                                <a:lnTo>
                                  <a:pt x="34799" y="192263"/>
                                </a:lnTo>
                                <a:lnTo>
                                  <a:pt x="31102" y="161607"/>
                                </a:lnTo>
                                <a:lnTo>
                                  <a:pt x="36453" y="124071"/>
                                </a:lnTo>
                                <a:lnTo>
                                  <a:pt x="75184" y="63380"/>
                                </a:lnTo>
                                <a:lnTo>
                                  <a:pt x="126594" y="35668"/>
                                </a:lnTo>
                                <a:lnTo>
                                  <a:pt x="171229" y="31398"/>
                                </a:lnTo>
                                <a:lnTo>
                                  <a:pt x="255349" y="31398"/>
                                </a:lnTo>
                                <a:lnTo>
                                  <a:pt x="243266" y="22066"/>
                                </a:lnTo>
                                <a:lnTo>
                                  <a:pt x="204646" y="5773"/>
                                </a:lnTo>
                                <a:lnTo>
                                  <a:pt x="161671" y="0"/>
                                </a:lnTo>
                                <a:close/>
                              </a:path>
                              <a:path w="323850" h="323850">
                                <a:moveTo>
                                  <a:pt x="255349" y="31398"/>
                                </a:moveTo>
                                <a:lnTo>
                                  <a:pt x="171229" y="31398"/>
                                </a:lnTo>
                                <a:lnTo>
                                  <a:pt x="193421" y="34950"/>
                                </a:lnTo>
                                <a:lnTo>
                                  <a:pt x="232800" y="52149"/>
                                </a:lnTo>
                                <a:lnTo>
                                  <a:pt x="264109" y="80700"/>
                                </a:lnTo>
                                <a:lnTo>
                                  <a:pt x="284778" y="118041"/>
                                </a:lnTo>
                                <a:lnTo>
                                  <a:pt x="292239" y="161607"/>
                                </a:lnTo>
                                <a:lnTo>
                                  <a:pt x="288676" y="191950"/>
                                </a:lnTo>
                                <a:lnTo>
                                  <a:pt x="278542" y="219744"/>
                                </a:lnTo>
                                <a:lnTo>
                                  <a:pt x="262675" y="244182"/>
                                </a:lnTo>
                                <a:lnTo>
                                  <a:pt x="241909" y="264452"/>
                                </a:lnTo>
                                <a:lnTo>
                                  <a:pt x="241909" y="296049"/>
                                </a:lnTo>
                                <a:lnTo>
                                  <a:pt x="249972" y="296049"/>
                                </a:lnTo>
                                <a:lnTo>
                                  <a:pt x="275986" y="275950"/>
                                </a:lnTo>
                                <a:lnTo>
                                  <a:pt x="301267" y="243226"/>
                                </a:lnTo>
                                <a:lnTo>
                                  <a:pt x="317566" y="204598"/>
                                </a:lnTo>
                                <a:lnTo>
                                  <a:pt x="323342" y="161607"/>
                                </a:lnTo>
                                <a:lnTo>
                                  <a:pt x="317566" y="118649"/>
                                </a:lnTo>
                                <a:lnTo>
                                  <a:pt x="301267" y="80045"/>
                                </a:lnTo>
                                <a:lnTo>
                                  <a:pt x="275986" y="47337"/>
                                </a:lnTo>
                                <a:lnTo>
                                  <a:pt x="255349" y="31398"/>
                                </a:lnTo>
                                <a:close/>
                              </a:path>
                              <a:path w="323850" h="323850">
                                <a:moveTo>
                                  <a:pt x="102425" y="277837"/>
                                </a:moveTo>
                                <a:lnTo>
                                  <a:pt x="82448" y="294233"/>
                                </a:lnTo>
                                <a:lnTo>
                                  <a:pt x="239692" y="294233"/>
                                </a:lnTo>
                                <a:lnTo>
                                  <a:pt x="237211" y="292201"/>
                                </a:lnTo>
                                <a:lnTo>
                                  <a:pt x="161671" y="292201"/>
                                </a:lnTo>
                                <a:lnTo>
                                  <a:pt x="146327" y="291263"/>
                                </a:lnTo>
                                <a:lnTo>
                                  <a:pt x="146045" y="291263"/>
                                </a:lnTo>
                                <a:lnTo>
                                  <a:pt x="131265" y="288536"/>
                                </a:lnTo>
                                <a:lnTo>
                                  <a:pt x="131041" y="288536"/>
                                </a:lnTo>
                                <a:lnTo>
                                  <a:pt x="116190" y="283923"/>
                                </a:lnTo>
                                <a:lnTo>
                                  <a:pt x="102425" y="277837"/>
                                </a:lnTo>
                                <a:close/>
                              </a:path>
                              <a:path w="323850" h="323850">
                                <a:moveTo>
                                  <a:pt x="220154" y="278231"/>
                                </a:moveTo>
                                <a:lnTo>
                                  <a:pt x="206531" y="284148"/>
                                </a:lnTo>
                                <a:lnTo>
                                  <a:pt x="192184" y="288536"/>
                                </a:lnTo>
                                <a:lnTo>
                                  <a:pt x="177200" y="291263"/>
                                </a:lnTo>
                                <a:lnTo>
                                  <a:pt x="161671" y="292201"/>
                                </a:lnTo>
                                <a:lnTo>
                                  <a:pt x="237211" y="292201"/>
                                </a:lnTo>
                                <a:lnTo>
                                  <a:pt x="220154" y="278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>
                            <a:hlinkClick r:id="rId7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029"/>
                            <a:ext cx="387184" cy="66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789001pt;margin-top:6.454pt;width:30.5pt;height:32.0500pt;mso-position-horizontal-relative:page;mso-position-vertical-relative:paragraph;z-index:15730176" id="docshapegroup1" coordorigin="2656,129" coordsize="610,641">
                <v:shape style="position:absolute;left:2845;top:195;width:217;height:363" type="#_x0000_t75" id="docshape2" href="http://crossmark.crossref.org/dialog/?doi=10.1016/j.nmd.2017.03.001&amp;domain=pdf" stroked="false">
                  <v:imagedata r:id="rId6" o:title=""/>
                </v:shape>
                <v:shape style="position:absolute;left:2698;top:129;width:510;height:510" id="docshape3" href="http://crossmark.crossref.org/dialog/?doi=10.1016/j.nmd.2017.03.001&amp;domain=pdf" coordorigin="2699,129" coordsize="510,510" path="m2954,129l2886,138,2825,164,2774,204,2734,255,2708,316,2699,384,2708,451,2734,512,2774,564,2825,603,2886,629,2954,638,3021,629,3082,603,3093,595,3080,595,3076,592,2829,592,2829,547,2796,515,2770,476,2754,432,2748,384,2756,324,2780,272,2817,229,2865,197,2898,185,2933,179,2969,179,3101,179,3082,164,3021,138,2954,129xm3101,179l2969,179,3004,184,3066,211,3115,256,3147,315,3159,384,3154,431,3138,475,3113,514,3080,546,3080,595,3093,595,3134,564,3173,512,3199,451,3208,384,3199,316,3173,255,3134,204,3101,179xm2860,567l2829,592,3076,592,3073,589,2954,589,2929,588,2929,588,2906,583,2905,583,2882,576,2860,567xm3046,567l3024,577,3002,583,2978,588,2954,589,3073,589,3046,567xe" filled="true" fillcolor="#231f20" stroked="false">
                  <v:path arrowok="t"/>
                  <v:fill type="solid"/>
                </v:shape>
                <v:shape style="position:absolute;left:2655;top:664;width:610;height:105" type="#_x0000_t75" id="docshape4" href="http://crossmark.crossref.org/dialog/?doi=10.1016/j.nmd.2017.03.001&amp;domain=pdf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31F20"/>
          <w:sz w:val="18"/>
        </w:rPr>
        <w:t>Available</w:t>
      </w:r>
      <w:r>
        <w:rPr>
          <w:rFonts w:ascii="Arial"/>
          <w:color w:val="231F20"/>
          <w:spacing w:val="4"/>
          <w:sz w:val="18"/>
        </w:rPr>
        <w:t> </w:t>
      </w:r>
      <w:r>
        <w:rPr>
          <w:rFonts w:ascii="Arial"/>
          <w:color w:val="231F20"/>
          <w:sz w:val="18"/>
        </w:rPr>
        <w:t>online</w:t>
      </w:r>
      <w:r>
        <w:rPr>
          <w:rFonts w:ascii="Arial"/>
          <w:color w:val="231F20"/>
          <w:spacing w:val="4"/>
          <w:sz w:val="18"/>
        </w:rPr>
        <w:t> </w:t>
      </w:r>
      <w:r>
        <w:rPr>
          <w:rFonts w:ascii="Arial"/>
          <w:color w:val="231F20"/>
          <w:sz w:val="18"/>
        </w:rPr>
        <w:t>at</w:t>
      </w:r>
      <w:r>
        <w:rPr>
          <w:rFonts w:ascii="Arial"/>
          <w:color w:val="231F20"/>
          <w:spacing w:val="5"/>
          <w:sz w:val="18"/>
        </w:rPr>
        <w:t> </w:t>
      </w:r>
      <w:hyperlink r:id="rId9">
        <w:r>
          <w:rPr>
            <w:rFonts w:ascii="Arial"/>
            <w:color w:val="00699D"/>
            <w:spacing w:val="-2"/>
            <w:sz w:val="18"/>
          </w:rPr>
          <w:t>www.sciencedirect.com</w:t>
        </w:r>
      </w:hyperlink>
    </w:p>
    <w:p>
      <w:pPr>
        <w:spacing w:before="106"/>
        <w:ind w:left="3580" w:right="0" w:firstLine="0"/>
        <w:jc w:val="center"/>
        <w:rPr>
          <w:rFonts w:ascii="Arial"/>
          <w:b/>
          <w:sz w:val="33"/>
        </w:rPr>
      </w:pPr>
      <w:r>
        <w:rPr>
          <w:rFonts w:ascii="Arial"/>
          <w:b/>
          <w:color w:val="231F20"/>
          <w:spacing w:val="-2"/>
          <w:w w:val="95"/>
          <w:sz w:val="33"/>
        </w:rPr>
        <w:t>ScienceDirect</w:t>
      </w:r>
    </w:p>
    <w:p>
      <w:pPr>
        <w:pStyle w:val="BodyText"/>
        <w:spacing w:before="22"/>
        <w:rPr>
          <w:rFonts w:ascii="Arial"/>
          <w:b/>
          <w:sz w:val="33"/>
        </w:rPr>
      </w:pPr>
    </w:p>
    <w:p>
      <w:pPr>
        <w:spacing w:before="0"/>
        <w:ind w:left="3590" w:right="1" w:firstLine="0"/>
        <w:jc w:val="center"/>
        <w:rPr>
          <w:sz w:val="16"/>
        </w:rPr>
      </w:pPr>
      <w:hyperlink r:id="rId10">
        <w:r>
          <w:rPr>
            <w:color w:val="00699D"/>
            <w:sz w:val="16"/>
          </w:rPr>
          <w:t>Neuromuscular</w:t>
        </w:r>
        <w:r>
          <w:rPr>
            <w:color w:val="00699D"/>
            <w:spacing w:val="1"/>
            <w:sz w:val="16"/>
          </w:rPr>
          <w:t> </w:t>
        </w:r>
        <w:r>
          <w:rPr>
            <w:color w:val="00699D"/>
            <w:sz w:val="16"/>
          </w:rPr>
          <w:t>Disorders</w:t>
        </w:r>
        <w:r>
          <w:rPr>
            <w:color w:val="00699D"/>
            <w:spacing w:val="2"/>
            <w:sz w:val="16"/>
          </w:rPr>
          <w:t> </w:t>
        </w:r>
        <w:r>
          <w:rPr>
            <w:color w:val="00699D"/>
            <w:sz w:val="16"/>
          </w:rPr>
          <w:t>27</w:t>
        </w:r>
        <w:r>
          <w:rPr>
            <w:color w:val="00699D"/>
            <w:spacing w:val="1"/>
            <w:sz w:val="16"/>
          </w:rPr>
          <w:t> </w:t>
        </w:r>
        <w:r>
          <w:rPr>
            <w:color w:val="00699D"/>
            <w:sz w:val="16"/>
          </w:rPr>
          <w:t>(2017)</w:t>
        </w:r>
        <w:r>
          <w:rPr>
            <w:color w:val="00699D"/>
            <w:spacing w:val="2"/>
            <w:sz w:val="16"/>
          </w:rPr>
          <w:t> </w:t>
        </w:r>
        <w:r>
          <w:rPr>
            <w:color w:val="00699D"/>
            <w:spacing w:val="-2"/>
            <w:sz w:val="16"/>
          </w:rPr>
          <w:t>500–501</w:t>
        </w:r>
      </w:hyperlink>
    </w:p>
    <w:p>
      <w:pPr>
        <w:pStyle w:val="BodyText"/>
        <w:spacing w:before="64"/>
        <w:rPr>
          <w:sz w:val="16"/>
        </w:rPr>
      </w:pPr>
    </w:p>
    <w:p>
      <w:pPr>
        <w:spacing w:before="0"/>
        <w:ind w:left="3523" w:right="0" w:firstLine="0"/>
        <w:jc w:val="center"/>
        <w:rPr>
          <w:sz w:val="24"/>
        </w:rPr>
      </w:pPr>
      <w:bookmarkStart w:name=" Concentric muscle involvement in POLG-r" w:id="1"/>
      <w:bookmarkEnd w:id="1"/>
      <w:r>
        <w:rPr/>
      </w:r>
      <w:r>
        <w:rPr>
          <w:color w:val="231F20"/>
          <w:sz w:val="24"/>
        </w:rPr>
        <w:t>Picture</w:t>
      </w:r>
      <w:r>
        <w:rPr>
          <w:color w:val="231F20"/>
          <w:spacing w:val="7"/>
          <w:sz w:val="24"/>
        </w:rPr>
        <w:t> </w:t>
      </w:r>
      <w:r>
        <w:rPr>
          <w:color w:val="231F20"/>
          <w:sz w:val="24"/>
        </w:rPr>
        <w:t>of</w:t>
      </w:r>
      <w:r>
        <w:rPr>
          <w:color w:val="231F20"/>
          <w:spacing w:val="7"/>
          <w:sz w:val="24"/>
        </w:rPr>
        <w:t> </w:t>
      </w:r>
      <w:r>
        <w:rPr>
          <w:color w:val="231F20"/>
          <w:sz w:val="24"/>
        </w:rPr>
        <w:t>the</w:t>
      </w:r>
      <w:r>
        <w:rPr>
          <w:color w:val="231F20"/>
          <w:spacing w:val="7"/>
          <w:sz w:val="24"/>
        </w:rPr>
        <w:t> </w:t>
      </w:r>
      <w:r>
        <w:rPr>
          <w:color w:val="231F20"/>
          <w:spacing w:val="-2"/>
          <w:sz w:val="24"/>
        </w:rPr>
        <w:t>month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1024"/>
      </w:pPr>
      <w:r>
        <w:rPr/>
        <w:drawing>
          <wp:inline distT="0" distB="0" distL="0" distR="0">
            <wp:extent cx="621399" cy="75819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99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20"/>
        <w:ind w:left="48" w:right="0" w:firstLine="0"/>
        <w:jc w:val="left"/>
        <w:rPr>
          <w:sz w:val="16"/>
        </w:rPr>
      </w:pPr>
      <w:hyperlink r:id="rId12">
        <w:r>
          <w:rPr>
            <w:color w:val="231F20"/>
            <w:spacing w:val="-2"/>
            <w:sz w:val="16"/>
          </w:rPr>
          <w:t>www.elsevier.com/locate/nmd</w:t>
        </w:r>
      </w:hyperlink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20" w:bottom="280" w:left="566" w:right="566"/>
          <w:cols w:num="2" w:equalWidth="0">
            <w:col w:w="7004" w:space="1470"/>
            <w:col w:w="2304"/>
          </w:cols>
        </w:sectPr>
      </w:pPr>
    </w:p>
    <w:p>
      <w:pPr>
        <w:pStyle w:val="Title"/>
      </w:pPr>
      <w:r>
        <w:rPr>
          <w:color w:val="231F20"/>
        </w:rPr>
        <w:t>Concentric</w:t>
      </w:r>
      <w:r>
        <w:rPr>
          <w:color w:val="231F20"/>
          <w:spacing w:val="-1"/>
        </w:rPr>
        <w:t> </w:t>
      </w:r>
      <w:r>
        <w:rPr>
          <w:color w:val="231F20"/>
        </w:rPr>
        <w:t>muscle involvement in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POLG</w:t>
      </w:r>
      <w:r>
        <w:rPr>
          <w:color w:val="231F20"/>
        </w:rPr>
        <w:t>-related distal </w:t>
      </w:r>
      <w:r>
        <w:rPr>
          <w:color w:val="231F20"/>
          <w:spacing w:val="-2"/>
        </w:rPr>
        <w:t>myopathy</w:t>
      </w:r>
    </w:p>
    <w:p>
      <w:pPr>
        <w:spacing w:before="98"/>
        <w:ind w:left="1" w:right="245" w:firstLine="0"/>
        <w:jc w:val="center"/>
        <w:rPr>
          <w:sz w:val="26"/>
        </w:rPr>
      </w:pPr>
      <w:r>
        <w:rPr>
          <w:color w:val="231F20"/>
          <w:sz w:val="26"/>
        </w:rPr>
        <w:t>Giorgio</w:t>
      </w:r>
      <w:r>
        <w:rPr>
          <w:color w:val="231F20"/>
          <w:spacing w:val="1"/>
          <w:sz w:val="26"/>
        </w:rPr>
        <w:t> </w:t>
      </w:r>
      <w:r>
        <w:rPr>
          <w:color w:val="231F20"/>
          <w:sz w:val="26"/>
        </w:rPr>
        <w:t>Tasca</w:t>
      </w:r>
      <w:r>
        <w:rPr>
          <w:color w:val="231F20"/>
          <w:spacing w:val="-10"/>
          <w:sz w:val="26"/>
        </w:rPr>
        <w:t> </w:t>
      </w:r>
      <w:hyperlink w:history="true" w:anchor="_bookmark0">
        <w:r>
          <w:rPr>
            <w:color w:val="00699D"/>
            <w:sz w:val="26"/>
            <w:vertAlign w:val="superscript"/>
          </w:rPr>
          <w:t>a</w:t>
        </w:r>
      </w:hyperlink>
      <w:r>
        <w:rPr>
          <w:color w:val="231F20"/>
          <w:sz w:val="26"/>
          <w:vertAlign w:val="superscript"/>
        </w:rPr>
        <w:t>,</w:t>
      </w:r>
      <w:hyperlink w:history="true" w:anchor="_bookmark6">
        <w:r>
          <w:rPr>
            <w:color w:val="00699D"/>
            <w:sz w:val="26"/>
            <w:vertAlign w:val="baseline"/>
          </w:rPr>
          <w:t>*</w:t>
        </w:r>
      </w:hyperlink>
      <w:r>
        <w:rPr>
          <w:color w:val="231F20"/>
          <w:sz w:val="26"/>
          <w:vertAlign w:val="baseline"/>
        </w:rPr>
        <w:t>,</w:t>
      </w:r>
      <w:r>
        <w:rPr>
          <w:color w:val="231F20"/>
          <w:spacing w:val="2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Mauro</w:t>
      </w:r>
      <w:r>
        <w:rPr>
          <w:color w:val="231F20"/>
          <w:spacing w:val="2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Monforte</w:t>
      </w:r>
      <w:r>
        <w:rPr>
          <w:color w:val="231F20"/>
          <w:spacing w:val="-10"/>
          <w:sz w:val="26"/>
          <w:vertAlign w:val="baseline"/>
        </w:rPr>
        <w:t> </w:t>
      </w:r>
      <w:hyperlink w:history="true" w:anchor="_bookmark1">
        <w:r>
          <w:rPr>
            <w:color w:val="00699D"/>
            <w:sz w:val="26"/>
            <w:vertAlign w:val="superscript"/>
          </w:rPr>
          <w:t>b</w:t>
        </w:r>
      </w:hyperlink>
      <w:r>
        <w:rPr>
          <w:color w:val="231F20"/>
          <w:sz w:val="26"/>
          <w:vertAlign w:val="baseline"/>
        </w:rPr>
        <w:t>,</w:t>
      </w:r>
      <w:r>
        <w:rPr>
          <w:color w:val="231F20"/>
          <w:spacing w:val="1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Claudia</w:t>
      </w:r>
      <w:r>
        <w:rPr>
          <w:color w:val="231F20"/>
          <w:spacing w:val="2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Nesti</w:t>
      </w:r>
      <w:r>
        <w:rPr>
          <w:color w:val="231F20"/>
          <w:spacing w:val="-10"/>
          <w:sz w:val="26"/>
          <w:vertAlign w:val="baseline"/>
        </w:rPr>
        <w:t> </w:t>
      </w:r>
      <w:hyperlink w:history="true" w:anchor="_bookmark2">
        <w:r>
          <w:rPr>
            <w:color w:val="00699D"/>
            <w:sz w:val="26"/>
            <w:vertAlign w:val="superscript"/>
          </w:rPr>
          <w:t>c</w:t>
        </w:r>
      </w:hyperlink>
      <w:r>
        <w:rPr>
          <w:color w:val="231F20"/>
          <w:sz w:val="26"/>
          <w:vertAlign w:val="baseline"/>
        </w:rPr>
        <w:t>,</w:t>
      </w:r>
      <w:r>
        <w:rPr>
          <w:color w:val="231F20"/>
          <w:spacing w:val="2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Filippo</w:t>
      </w:r>
      <w:r>
        <w:rPr>
          <w:color w:val="231F20"/>
          <w:spacing w:val="2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Maria</w:t>
      </w:r>
      <w:r>
        <w:rPr>
          <w:color w:val="231F20"/>
          <w:spacing w:val="1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Santorelli</w:t>
      </w:r>
      <w:r>
        <w:rPr>
          <w:color w:val="231F20"/>
          <w:spacing w:val="-10"/>
          <w:sz w:val="26"/>
          <w:vertAlign w:val="baseline"/>
        </w:rPr>
        <w:t> </w:t>
      </w:r>
      <w:hyperlink w:history="true" w:anchor="_bookmark2">
        <w:r>
          <w:rPr>
            <w:color w:val="00699D"/>
            <w:spacing w:val="-5"/>
            <w:sz w:val="26"/>
            <w:vertAlign w:val="superscript"/>
          </w:rPr>
          <w:t>c</w:t>
        </w:r>
      </w:hyperlink>
      <w:r>
        <w:rPr>
          <w:color w:val="231F20"/>
          <w:spacing w:val="-5"/>
          <w:sz w:val="26"/>
          <w:vertAlign w:val="baseline"/>
        </w:rPr>
        <w:t>,</w:t>
      </w:r>
    </w:p>
    <w:p>
      <w:pPr>
        <w:spacing w:before="0"/>
        <w:ind w:left="1" w:right="245" w:firstLine="0"/>
        <w:jc w:val="center"/>
        <w:rPr>
          <w:sz w:val="26"/>
        </w:rPr>
      </w:pPr>
      <w:r>
        <w:rPr>
          <w:color w:val="231F20"/>
          <w:sz w:val="26"/>
        </w:rPr>
        <w:t>Gabriella</w:t>
      </w:r>
      <w:r>
        <w:rPr>
          <w:color w:val="231F20"/>
          <w:spacing w:val="3"/>
          <w:sz w:val="26"/>
        </w:rPr>
        <w:t> </w:t>
      </w:r>
      <w:r>
        <w:rPr>
          <w:color w:val="231F20"/>
          <w:sz w:val="26"/>
        </w:rPr>
        <w:t>Silvestri</w:t>
      </w:r>
      <w:r>
        <w:rPr>
          <w:color w:val="231F20"/>
          <w:spacing w:val="-8"/>
          <w:sz w:val="26"/>
        </w:rPr>
        <w:t> </w:t>
      </w:r>
      <w:hyperlink w:history="true" w:anchor="_bookmark1">
        <w:r>
          <w:rPr>
            <w:color w:val="00699D"/>
            <w:sz w:val="26"/>
            <w:vertAlign w:val="superscript"/>
          </w:rPr>
          <w:t>b</w:t>
        </w:r>
      </w:hyperlink>
      <w:r>
        <w:rPr>
          <w:color w:val="231F20"/>
          <w:sz w:val="26"/>
          <w:vertAlign w:val="baseline"/>
        </w:rPr>
        <w:t>,</w:t>
      </w:r>
      <w:r>
        <w:rPr>
          <w:color w:val="231F20"/>
          <w:spacing w:val="3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Enzo</w:t>
      </w:r>
      <w:r>
        <w:rPr>
          <w:color w:val="231F20"/>
          <w:spacing w:val="4"/>
          <w:sz w:val="26"/>
          <w:vertAlign w:val="baseline"/>
        </w:rPr>
        <w:t> </w:t>
      </w:r>
      <w:r>
        <w:rPr>
          <w:color w:val="231F20"/>
          <w:sz w:val="26"/>
          <w:vertAlign w:val="baseline"/>
        </w:rPr>
        <w:t>Ricci</w:t>
      </w:r>
      <w:r>
        <w:rPr>
          <w:color w:val="231F20"/>
          <w:spacing w:val="-8"/>
          <w:sz w:val="26"/>
          <w:vertAlign w:val="baseline"/>
        </w:rPr>
        <w:t> </w:t>
      </w:r>
      <w:hyperlink w:history="true" w:anchor="_bookmark1">
        <w:r>
          <w:rPr>
            <w:color w:val="00699D"/>
            <w:spacing w:val="-10"/>
            <w:sz w:val="26"/>
            <w:vertAlign w:val="superscript"/>
          </w:rPr>
          <w:t>b</w:t>
        </w:r>
      </w:hyperlink>
    </w:p>
    <w:p>
      <w:pPr>
        <w:spacing w:before="59"/>
        <w:ind w:left="1" w:right="245" w:firstLine="0"/>
        <w:jc w:val="center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z w:val="16"/>
          <w:vertAlign w:val="superscript"/>
        </w:rPr>
        <w:t>a</w:t>
      </w:r>
      <w:r>
        <w:rPr>
          <w:color w:val="231F20"/>
          <w:spacing w:val="-10"/>
          <w:sz w:val="16"/>
          <w:vertAlign w:val="baseline"/>
        </w:rPr>
        <w:t> </w:t>
      </w:r>
      <w:bookmarkStart w:name="_bookmark1" w:id="3"/>
      <w:bookmarkEnd w:id="3"/>
      <w:r>
        <w:rPr>
          <w:color w:val="231F20"/>
          <w:spacing w:val="-1"/>
          <w:sz w:val="16"/>
          <w:vertAlign w:val="baseline"/>
        </w:rPr>
      </w:r>
      <w:r>
        <w:rPr>
          <w:i/>
          <w:color w:val="231F20"/>
          <w:sz w:val="16"/>
          <w:vertAlign w:val="baseline"/>
        </w:rPr>
        <w:t>Institute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of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Neurology,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Policlinico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“A.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Gemelli”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Foundation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University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Hospital,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Rome,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Italy</w:t>
      </w:r>
    </w:p>
    <w:p>
      <w:pPr>
        <w:spacing w:before="15"/>
        <w:ind w:left="2" w:right="245" w:firstLine="0"/>
        <w:jc w:val="center"/>
        <w:rPr>
          <w:i/>
          <w:sz w:val="16"/>
        </w:rPr>
      </w:pPr>
      <w:r>
        <w:rPr>
          <w:color w:val="231F20"/>
          <w:sz w:val="16"/>
          <w:vertAlign w:val="superscript"/>
        </w:rPr>
        <w:t>b</w:t>
      </w:r>
      <w:r>
        <w:rPr>
          <w:color w:val="231F20"/>
          <w:spacing w:val="-7"/>
          <w:sz w:val="16"/>
          <w:vertAlign w:val="baseline"/>
        </w:rPr>
        <w:t> </w:t>
      </w:r>
      <w:bookmarkStart w:name="_bookmark2" w:id="4"/>
      <w:bookmarkEnd w:id="4"/>
      <w:r>
        <w:rPr>
          <w:color w:val="231F20"/>
          <w:spacing w:val="-1"/>
          <w:sz w:val="16"/>
          <w:vertAlign w:val="baseline"/>
        </w:rPr>
      </w:r>
      <w:r>
        <w:rPr>
          <w:i/>
          <w:color w:val="231F20"/>
          <w:sz w:val="16"/>
          <w:vertAlign w:val="baseline"/>
        </w:rPr>
        <w:t>Institute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of Neurology,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Catholic University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of the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Sacred Heart,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Rome, </w:t>
      </w:r>
      <w:r>
        <w:rPr>
          <w:i/>
          <w:color w:val="231F20"/>
          <w:spacing w:val="-2"/>
          <w:sz w:val="16"/>
          <w:vertAlign w:val="baseline"/>
        </w:rPr>
        <w:t>Italy</w:t>
      </w:r>
    </w:p>
    <w:p>
      <w:pPr>
        <w:spacing w:before="16"/>
        <w:ind w:left="2" w:right="245" w:firstLine="0"/>
        <w:jc w:val="center"/>
        <w:rPr>
          <w:i/>
          <w:sz w:val="16"/>
        </w:rPr>
      </w:pPr>
      <w:r>
        <w:rPr>
          <w:color w:val="231F20"/>
          <w:sz w:val="16"/>
          <w:vertAlign w:val="superscript"/>
        </w:rPr>
        <w:t>c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Molecular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Medicine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&amp;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Neurogenetics,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IRCCS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Stella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Maris,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Pisa,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Italy</w:t>
      </w:r>
    </w:p>
    <w:p>
      <w:pPr>
        <w:spacing w:before="75"/>
        <w:ind w:left="1" w:right="245" w:firstLine="0"/>
        <w:jc w:val="center"/>
        <w:rPr>
          <w:sz w:val="16"/>
        </w:rPr>
      </w:pPr>
      <w:r>
        <w:rPr>
          <w:color w:val="231F20"/>
          <w:sz w:val="16"/>
        </w:rPr>
        <w:t>Received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12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December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2016;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accepted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5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March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4"/>
          <w:sz w:val="16"/>
        </w:rPr>
        <w:t>2017</w:t>
      </w:r>
    </w:p>
    <w:p>
      <w:pPr>
        <w:pStyle w:val="BodyText"/>
        <w:rPr>
          <w:sz w:val="16"/>
        </w:rPr>
      </w:pPr>
    </w:p>
    <w:p>
      <w:pPr>
        <w:pStyle w:val="BodyText"/>
        <w:spacing w:before="67"/>
        <w:rPr>
          <w:sz w:val="16"/>
        </w:rPr>
      </w:pPr>
    </w:p>
    <w:p>
      <w:pPr>
        <w:spacing w:before="0"/>
        <w:ind w:left="48" w:right="0" w:firstLine="0"/>
        <w:jc w:val="left"/>
        <w:rPr>
          <w:sz w:val="16"/>
        </w:rPr>
      </w:pPr>
      <w:r>
        <w:rPr>
          <w:i/>
          <w:color w:val="231F20"/>
          <w:sz w:val="16"/>
        </w:rPr>
        <w:t>Keywords:</w:t>
      </w:r>
      <w:r>
        <w:rPr>
          <w:i/>
          <w:color w:val="231F20"/>
          <w:spacing w:val="16"/>
          <w:sz w:val="16"/>
        </w:rPr>
        <w:t> </w:t>
      </w:r>
      <w:r>
        <w:rPr>
          <w:color w:val="231F20"/>
          <w:sz w:val="16"/>
        </w:rPr>
        <w:t>POLG;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DNA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polymerase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gamma;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Muscle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MRI;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Muscle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imaging;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Distal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myopathy;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Mitochondrial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myopathy</w:t>
      </w:r>
    </w:p>
    <w:p>
      <w:pPr>
        <w:pStyle w:val="BodyText"/>
        <w:spacing w:before="11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390423</wp:posOffset>
                </wp:positionH>
                <wp:positionV relativeFrom="paragraph">
                  <wp:posOffset>131845</wp:posOffset>
                </wp:positionV>
                <wp:extent cx="6622415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224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2415" h="0">
                              <a:moveTo>
                                <a:pt x="0" y="0"/>
                              </a:moveTo>
                              <a:lnTo>
                                <a:pt x="6622338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42001pt;margin-top:10.381504pt;width:521.4500pt;height:.1pt;mso-position-horizontal-relative:page;mso-position-vertical-relative:paragraph;z-index:-15728640;mso-wrap-distance-left:0;mso-wrap-distance-right:0" id="docshape5" coordorigin="615,208" coordsize="10429,0" path="m615,208l11044,208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type w:val="continuous"/>
          <w:pgSz w:w="11910" w:h="15880"/>
          <w:pgMar w:top="820" w:bottom="280" w:left="566" w:right="566"/>
        </w:sectPr>
      </w:pPr>
    </w:p>
    <w:p>
      <w:pPr>
        <w:pStyle w:val="BodyText"/>
        <w:spacing w:line="249" w:lineRule="auto" w:before="108"/>
        <w:ind w:left="48" w:firstLine="239"/>
        <w:jc w:val="both"/>
      </w:pPr>
      <w:r>
        <w:rPr>
          <w:color w:val="231F20"/>
        </w:rPr>
        <w:t>A 58-year-old man was examined because of </w:t>
      </w:r>
      <w:r>
        <w:rPr>
          <w:color w:val="231F20"/>
        </w:rPr>
        <w:t>symptoms suggestive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mitochondrial</w:t>
      </w:r>
      <w:r>
        <w:rPr>
          <w:color w:val="231F20"/>
          <w:spacing w:val="-10"/>
        </w:rPr>
        <w:t> </w:t>
      </w:r>
      <w:r>
        <w:rPr>
          <w:color w:val="231F20"/>
        </w:rPr>
        <w:t>disorder.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onset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age</w:t>
      </w:r>
      <w:r>
        <w:rPr>
          <w:color w:val="231F20"/>
          <w:spacing w:val="-10"/>
        </w:rPr>
        <w:t> </w:t>
      </w:r>
      <w:r>
        <w:rPr>
          <w:color w:val="231F20"/>
        </w:rPr>
        <w:t>15 years,</w:t>
      </w:r>
      <w:r>
        <w:rPr>
          <w:color w:val="231F20"/>
          <w:spacing w:val="-13"/>
        </w:rPr>
        <w:t> </w:t>
      </w:r>
      <w:r>
        <w:rPr>
          <w:color w:val="231F20"/>
        </w:rPr>
        <w:t>with</w:t>
      </w:r>
      <w:r>
        <w:rPr>
          <w:color w:val="231F20"/>
          <w:spacing w:val="-12"/>
        </w:rPr>
        <w:t> </w:t>
      </w:r>
      <w:r>
        <w:rPr>
          <w:color w:val="231F20"/>
        </w:rPr>
        <w:t>distal</w:t>
      </w:r>
      <w:r>
        <w:rPr>
          <w:color w:val="231F20"/>
          <w:spacing w:val="-13"/>
        </w:rPr>
        <w:t> </w:t>
      </w:r>
      <w:r>
        <w:rPr>
          <w:color w:val="231F20"/>
        </w:rPr>
        <w:t>weakness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upper</w:t>
      </w:r>
      <w:r>
        <w:rPr>
          <w:color w:val="231F20"/>
          <w:spacing w:val="-12"/>
        </w:rPr>
        <w:t> </w:t>
      </w:r>
      <w:r>
        <w:rPr>
          <w:color w:val="231F20"/>
        </w:rPr>
        <w:t>limbs,</w:t>
      </w:r>
      <w:r>
        <w:rPr>
          <w:color w:val="231F20"/>
          <w:spacing w:val="-13"/>
        </w:rPr>
        <w:t> </w:t>
      </w:r>
      <w:r>
        <w:rPr>
          <w:color w:val="231F20"/>
        </w:rPr>
        <w:t>later</w:t>
      </w:r>
      <w:r>
        <w:rPr>
          <w:color w:val="231F20"/>
          <w:spacing w:val="-12"/>
        </w:rPr>
        <w:t> </w:t>
      </w:r>
      <w:r>
        <w:rPr>
          <w:color w:val="231F20"/>
        </w:rPr>
        <w:t>spread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lower limbs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axial</w:t>
      </w:r>
      <w:r>
        <w:rPr>
          <w:color w:val="231F20"/>
          <w:spacing w:val="-13"/>
        </w:rPr>
        <w:t> </w:t>
      </w:r>
      <w:r>
        <w:rPr>
          <w:color w:val="231F20"/>
        </w:rPr>
        <w:t>muscles.</w:t>
      </w:r>
      <w:r>
        <w:rPr>
          <w:color w:val="231F20"/>
          <w:spacing w:val="-12"/>
        </w:rPr>
        <w:t> </w:t>
      </w:r>
      <w:r>
        <w:rPr>
          <w:color w:val="231F20"/>
        </w:rPr>
        <w:t>Physical</w:t>
      </w:r>
      <w:r>
        <w:rPr>
          <w:color w:val="231F20"/>
          <w:spacing w:val="-13"/>
        </w:rPr>
        <w:t> </w:t>
      </w:r>
      <w:r>
        <w:rPr>
          <w:color w:val="231F20"/>
        </w:rPr>
        <w:t>examination</w:t>
      </w:r>
      <w:r>
        <w:rPr>
          <w:color w:val="231F20"/>
          <w:spacing w:val="-12"/>
        </w:rPr>
        <w:t> </w:t>
      </w:r>
      <w:r>
        <w:rPr>
          <w:color w:val="231F20"/>
        </w:rPr>
        <w:t>showed</w:t>
      </w:r>
      <w:r>
        <w:rPr>
          <w:color w:val="231F20"/>
          <w:spacing w:val="-13"/>
        </w:rPr>
        <w:t> </w:t>
      </w:r>
      <w:r>
        <w:rPr>
          <w:color w:val="231F20"/>
        </w:rPr>
        <w:t>bilateral eyelid ptosis, ophthalmoparesis and facial weakness, severe weakness and hypotrophy in proximal and distal upper limbs (biceps, triceps extensor digitorum communis and intrinsic hand muscles; Medical Research Council, MRC, 0–1), and in the distal legs (tibialis anterior and extensor hallucis longus; MRC</w:t>
      </w:r>
      <w:r>
        <w:rPr>
          <w:color w:val="231F20"/>
          <w:spacing w:val="-1"/>
        </w:rPr>
        <w:t> </w:t>
      </w:r>
      <w:r>
        <w:rPr>
          <w:color w:val="231F20"/>
        </w:rPr>
        <w:t>0–1).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patient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had</w:t>
      </w:r>
      <w:r>
        <w:rPr>
          <w:color w:val="231F20"/>
          <w:spacing w:val="-1"/>
        </w:rPr>
        <w:t> </w:t>
      </w:r>
      <w:r>
        <w:rPr>
          <w:color w:val="231F20"/>
        </w:rPr>
        <w:t>dysphagia.</w:t>
      </w:r>
      <w:r>
        <w:rPr>
          <w:color w:val="231F20"/>
          <w:spacing w:val="-1"/>
        </w:rPr>
        <w:t> </w:t>
      </w:r>
      <w:r>
        <w:rPr>
          <w:color w:val="231F20"/>
        </w:rPr>
        <w:t>He</w:t>
      </w:r>
      <w:r>
        <w:rPr>
          <w:color w:val="231F20"/>
          <w:spacing w:val="-1"/>
        </w:rPr>
        <w:t> </w:t>
      </w:r>
      <w:r>
        <w:rPr>
          <w:color w:val="231F20"/>
        </w:rPr>
        <w:t>had</w:t>
      </w:r>
      <w:r>
        <w:rPr>
          <w:color w:val="231F20"/>
          <w:spacing w:val="-1"/>
        </w:rPr>
        <w:t> </w:t>
      </w:r>
      <w:r>
        <w:rPr>
          <w:color w:val="231F20"/>
        </w:rPr>
        <w:t>undergone sur</w:t>
      </w:r>
      <w:bookmarkStart w:name=" References" w:id="5"/>
      <w:bookmarkEnd w:id="5"/>
      <w:r>
        <w:rPr>
          <w:color w:val="231F20"/>
        </w:rPr>
        <w:t>ge</w:t>
      </w:r>
      <w:r>
        <w:rPr>
          <w:color w:val="231F20"/>
        </w:rPr>
        <w:t>ry for bilateral cataracts at age 54, and his family history was negative.</w:t>
      </w:r>
    </w:p>
    <w:p>
      <w:pPr>
        <w:pStyle w:val="BodyText"/>
        <w:spacing w:line="249" w:lineRule="auto" w:before="4"/>
        <w:ind w:left="48" w:firstLine="239"/>
        <w:jc w:val="both"/>
      </w:pPr>
      <w:r>
        <w:rPr>
          <w:color w:val="231F20"/>
        </w:rPr>
        <w:t>Serum CK level was 1.5 normal, electromyography </w:t>
      </w:r>
      <w:r>
        <w:rPr>
          <w:color w:val="231F20"/>
        </w:rPr>
        <w:t>was myopathic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normal</w:t>
      </w:r>
      <w:r>
        <w:rPr>
          <w:color w:val="231F20"/>
          <w:spacing w:val="-2"/>
        </w:rPr>
        <w:t> </w:t>
      </w:r>
      <w:r>
        <w:rPr>
          <w:color w:val="231F20"/>
        </w:rPr>
        <w:t>conduction</w:t>
      </w:r>
      <w:r>
        <w:rPr>
          <w:color w:val="231F20"/>
          <w:spacing w:val="-2"/>
        </w:rPr>
        <w:t> </w:t>
      </w:r>
      <w:r>
        <w:rPr>
          <w:color w:val="231F20"/>
        </w:rPr>
        <w:t>studies,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muscle</w:t>
      </w:r>
      <w:r>
        <w:rPr>
          <w:color w:val="231F20"/>
          <w:spacing w:val="-2"/>
        </w:rPr>
        <w:t> </w:t>
      </w:r>
      <w:r>
        <w:rPr>
          <w:color w:val="231F20"/>
        </w:rPr>
        <w:t>biopsy disclosed myopathic changes with COX-negative ragged red fibers. Brain MRI was unremarkable besides a lactate peak in cerebrospinal fluid detected on spectroscopy, while muscle imaging revealed an unusual pattern characterized by a non per-muscle distribution of fatty changes, but rather a disto- </w:t>
      </w:r>
      <w:r>
        <w:rPr>
          <w:color w:val="231F20"/>
          <w:spacing w:val="-2"/>
        </w:rPr>
        <w:t>proximal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“concentric”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involvement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limb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muscles.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Fat </w:t>
      </w:r>
      <w:r>
        <w:rPr>
          <w:color w:val="231F20"/>
        </w:rPr>
        <w:t>deposition was prominent in superficial muscles and in the subfascial</w:t>
      </w:r>
      <w:r>
        <w:rPr>
          <w:color w:val="231F20"/>
          <w:spacing w:val="-1"/>
        </w:rPr>
        <w:t> </w:t>
      </w:r>
      <w:r>
        <w:rPr>
          <w:color w:val="231F20"/>
        </w:rPr>
        <w:t>region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muscle,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relative</w:t>
      </w:r>
      <w:r>
        <w:rPr>
          <w:color w:val="231F20"/>
          <w:spacing w:val="-1"/>
        </w:rPr>
        <w:t> </w:t>
      </w:r>
      <w:r>
        <w:rPr>
          <w:color w:val="231F20"/>
        </w:rPr>
        <w:t>sparing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deep muscles</w:t>
      </w:r>
      <w:r>
        <w:rPr>
          <w:color w:val="231F20"/>
          <w:spacing w:val="24"/>
        </w:rPr>
        <w:t> </w:t>
      </w:r>
      <w:r>
        <w:rPr>
          <w:color w:val="231F20"/>
        </w:rPr>
        <w:t>(</w:t>
      </w:r>
      <w:hyperlink w:history="true" w:anchor="_bookmark7">
        <w:r>
          <w:rPr>
            <w:color w:val="00699D"/>
          </w:rPr>
          <w:t>Fig.</w:t>
        </w:r>
        <w:r>
          <w:rPr>
            <w:color w:val="00699D"/>
            <w:spacing w:val="24"/>
          </w:rPr>
          <w:t> </w:t>
        </w:r>
        <w:r>
          <w:rPr>
            <w:color w:val="00699D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24"/>
        </w:rPr>
        <w:t> </w:t>
      </w:r>
      <w:r>
        <w:rPr>
          <w:color w:val="231F20"/>
        </w:rPr>
        <w:t>Direct</w:t>
      </w:r>
      <w:r>
        <w:rPr>
          <w:color w:val="231F20"/>
          <w:spacing w:val="25"/>
        </w:rPr>
        <w:t> </w:t>
      </w:r>
      <w:r>
        <w:rPr>
          <w:color w:val="231F20"/>
        </w:rPr>
        <w:t>sequencing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DNA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polymerase</w:t>
      </w:r>
    </w:p>
    <w:p>
      <w:pPr>
        <w:pStyle w:val="BodyText"/>
        <w:spacing w:line="249" w:lineRule="auto" w:before="107"/>
        <w:ind w:left="48" w:right="292"/>
        <w:jc w:val="both"/>
      </w:pPr>
      <w:r>
        <w:rPr/>
        <w:br w:type="column"/>
      </w:r>
      <w:r>
        <w:rPr>
          <w:color w:val="231F20"/>
        </w:rPr>
        <w:t>gamma gene (</w:t>
      </w:r>
      <w:r>
        <w:rPr>
          <w:i/>
          <w:color w:val="231F20"/>
        </w:rPr>
        <w:t>POLG</w:t>
      </w:r>
      <w:r>
        <w:rPr>
          <w:color w:val="231F20"/>
        </w:rPr>
        <w:t>) revealed the heterozygous c.2840A</w:t>
      </w:r>
      <w:r>
        <w:rPr>
          <w:rFonts w:ascii="Arial"/>
          <w:color w:val="231F20"/>
        </w:rPr>
        <w:t>&gt;</w:t>
      </w:r>
      <w:r>
        <w:rPr>
          <w:color w:val="231F20"/>
        </w:rPr>
        <w:t>G, p.Lys947Arg mutation, already associated with </w:t>
      </w:r>
      <w:r>
        <w:rPr>
          <w:color w:val="231F20"/>
        </w:rPr>
        <w:t>progressive external ophthalmoplegia and bilateral facial weakness </w:t>
      </w:r>
      <w:hyperlink w:history="true" w:anchor="_bookmark3">
        <w:r>
          <w:rPr>
            <w:color w:val="00699D"/>
          </w:rPr>
          <w:t>[1]</w:t>
        </w:r>
      </w:hyperlink>
      <w:r>
        <w:rPr>
          <w:color w:val="231F20"/>
        </w:rPr>
        <w:t>.</w:t>
      </w:r>
    </w:p>
    <w:p>
      <w:pPr>
        <w:pStyle w:val="BodyText"/>
        <w:spacing w:line="249" w:lineRule="auto" w:before="1"/>
        <w:ind w:left="48" w:right="292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clinical</w:t>
      </w:r>
      <w:r>
        <w:rPr>
          <w:color w:val="231F20"/>
          <w:spacing w:val="-6"/>
        </w:rPr>
        <w:t> </w:t>
      </w:r>
      <w:r>
        <w:rPr>
          <w:color w:val="231F20"/>
        </w:rPr>
        <w:t>phenotype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report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similar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described by Pitceathly et al. </w:t>
      </w:r>
      <w:hyperlink w:history="true" w:anchor="_bookmark4">
        <w:r>
          <w:rPr>
            <w:color w:val="00699D"/>
          </w:rPr>
          <w:t>[2]</w:t>
        </w:r>
      </w:hyperlink>
      <w:r>
        <w:rPr>
          <w:color w:val="231F20"/>
        </w:rPr>
        <w:t>, and likewise muscle MRI findings </w:t>
      </w:r>
      <w:r>
        <w:rPr>
          <w:color w:val="231F20"/>
        </w:rPr>
        <w:t>are highly consistent with those of one patient reported in that paper.</w:t>
      </w:r>
      <w:r>
        <w:rPr>
          <w:color w:val="231F20"/>
          <w:spacing w:val="-13"/>
        </w:rPr>
        <w:t> </w:t>
      </w:r>
      <w:r>
        <w:rPr>
          <w:color w:val="231F20"/>
        </w:rPr>
        <w:t>Autosomal</w:t>
      </w:r>
      <w:r>
        <w:rPr>
          <w:color w:val="231F20"/>
          <w:spacing w:val="-12"/>
        </w:rPr>
        <w:t> </w:t>
      </w:r>
      <w:r>
        <w:rPr>
          <w:color w:val="231F20"/>
        </w:rPr>
        <w:t>dominant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POLG</w:t>
      </w:r>
      <w:r>
        <w:rPr>
          <w:color w:val="231F20"/>
        </w:rPr>
        <w:t>-related</w:t>
      </w:r>
      <w:r>
        <w:rPr>
          <w:color w:val="231F20"/>
          <w:spacing w:val="-9"/>
        </w:rPr>
        <w:t> </w:t>
      </w:r>
      <w:r>
        <w:rPr>
          <w:color w:val="231F20"/>
        </w:rPr>
        <w:t>distal</w:t>
      </w:r>
      <w:r>
        <w:rPr>
          <w:color w:val="231F20"/>
          <w:spacing w:val="-9"/>
        </w:rPr>
        <w:t> </w:t>
      </w:r>
      <w:r>
        <w:rPr>
          <w:color w:val="231F20"/>
        </w:rPr>
        <w:t>myopathy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 rare</w:t>
      </w:r>
      <w:r>
        <w:rPr>
          <w:color w:val="231F20"/>
          <w:spacing w:val="-10"/>
        </w:rPr>
        <w:t> </w:t>
      </w:r>
      <w:r>
        <w:rPr>
          <w:color w:val="231F20"/>
        </w:rPr>
        <w:t>entity,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believe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distinct</w:t>
      </w:r>
      <w:r>
        <w:rPr>
          <w:color w:val="231F20"/>
          <w:spacing w:val="-10"/>
        </w:rPr>
        <w:t> </w:t>
      </w:r>
      <w:r>
        <w:rPr>
          <w:color w:val="231F20"/>
        </w:rPr>
        <w:t>muscle</w:t>
      </w:r>
      <w:r>
        <w:rPr>
          <w:color w:val="231F20"/>
          <w:spacing w:val="-10"/>
        </w:rPr>
        <w:t> </w:t>
      </w:r>
      <w:r>
        <w:rPr>
          <w:color w:val="231F20"/>
        </w:rPr>
        <w:t>MRI</w:t>
      </w:r>
      <w:r>
        <w:rPr>
          <w:color w:val="231F20"/>
          <w:spacing w:val="-10"/>
        </w:rPr>
        <w:t> </w:t>
      </w:r>
      <w:r>
        <w:rPr>
          <w:color w:val="231F20"/>
        </w:rPr>
        <w:t>pattern can be important for addressing molecular testing toward </w:t>
      </w:r>
      <w:r>
        <w:rPr>
          <w:i/>
          <w:color w:val="231F20"/>
        </w:rPr>
        <w:t>POLG </w:t>
      </w:r>
      <w:r>
        <w:rPr>
          <w:color w:val="231F20"/>
        </w:rPr>
        <w:t>in the workup of mitochondrial and distal myopathies </w:t>
      </w:r>
      <w:hyperlink w:history="true" w:anchor="_bookmark5">
        <w:r>
          <w:rPr>
            <w:color w:val="00699D"/>
          </w:rPr>
          <w:t>[3]</w:t>
        </w:r>
      </w:hyperlink>
      <w:r>
        <w:rPr>
          <w:color w:val="231F20"/>
        </w:rPr>
        <w:t>. Additional studies are needed to confirm whether this pattern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</w:rPr>
        <w:t>found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other</w:t>
      </w:r>
      <w:r>
        <w:rPr>
          <w:color w:val="231F20"/>
          <w:spacing w:val="5"/>
        </w:rPr>
        <w:t> </w:t>
      </w:r>
      <w:r>
        <w:rPr>
          <w:color w:val="231F20"/>
        </w:rPr>
        <w:t>diseases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i/>
          <w:color w:val="231F20"/>
        </w:rPr>
        <w:t>POLG</w:t>
      </w:r>
      <w:r>
        <w:rPr>
          <w:i/>
          <w:color w:val="231F20"/>
          <w:spacing w:val="6"/>
        </w:rPr>
        <w:t> </w:t>
      </w:r>
      <w:r>
        <w:rPr>
          <w:color w:val="231F20"/>
          <w:spacing w:val="-2"/>
        </w:rPr>
        <w:t>spectrum.</w:t>
      </w:r>
    </w:p>
    <w:p>
      <w:pPr>
        <w:pStyle w:val="BodyText"/>
        <w:spacing w:before="27"/>
      </w:pPr>
    </w:p>
    <w:p>
      <w:pPr>
        <w:spacing w:before="0"/>
        <w:ind w:left="48" w:right="0" w:firstLine="0"/>
        <w:jc w:val="left"/>
        <w:rPr>
          <w:b/>
          <w:sz w:val="20"/>
        </w:rPr>
      </w:pPr>
      <w:r>
        <w:rPr>
          <w:b/>
          <w:color w:val="231F20"/>
          <w:spacing w:val="-2"/>
          <w:sz w:val="20"/>
        </w:rPr>
        <w:t>References</w:t>
      </w:r>
    </w:p>
    <w:p>
      <w:pPr>
        <w:pStyle w:val="ListParagraph"/>
        <w:numPr>
          <w:ilvl w:val="0"/>
          <w:numId w:val="1"/>
        </w:numPr>
        <w:tabs>
          <w:tab w:pos="314" w:val="left" w:leader="none"/>
        </w:tabs>
        <w:spacing w:line="259" w:lineRule="auto" w:before="152" w:after="0"/>
        <w:ind w:left="314" w:right="292" w:hanging="266"/>
        <w:jc w:val="both"/>
        <w:rPr>
          <w:sz w:val="16"/>
        </w:rPr>
      </w:pPr>
      <w:bookmarkStart w:name="_bookmark3" w:id="6"/>
      <w:bookmarkEnd w:id="6"/>
      <w:r>
        <w:rPr/>
      </w:r>
      <w:hyperlink r:id="rId13">
        <w:r>
          <w:rPr>
            <w:color w:val="00689C"/>
            <w:sz w:val="16"/>
          </w:rPr>
          <w:t>Baruffini E, Horvath R, Dallabona C, et al. Predicting the contribution </w:t>
        </w:r>
        <w:r>
          <w:rPr>
            <w:color w:val="00689C"/>
            <w:sz w:val="16"/>
          </w:rPr>
          <w:t>of</w:t>
        </w:r>
      </w:hyperlink>
      <w:r>
        <w:rPr>
          <w:color w:val="00689C"/>
          <w:spacing w:val="40"/>
          <w:sz w:val="16"/>
        </w:rPr>
        <w:t> </w:t>
      </w:r>
      <w:hyperlink r:id="rId13">
        <w:r>
          <w:rPr>
            <w:color w:val="00689C"/>
            <w:sz w:val="16"/>
          </w:rPr>
          <w:t>novel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POLG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mutations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to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human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disease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through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analysis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in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yeast</w:t>
        </w:r>
        <w:r>
          <w:rPr>
            <w:color w:val="00689C"/>
            <w:spacing w:val="-1"/>
            <w:sz w:val="16"/>
          </w:rPr>
          <w:t> </w:t>
        </w:r>
        <w:r>
          <w:rPr>
            <w:color w:val="00689C"/>
            <w:sz w:val="16"/>
          </w:rPr>
          <w:t>model.</w:t>
        </w:r>
      </w:hyperlink>
      <w:r>
        <w:rPr>
          <w:color w:val="00689C"/>
          <w:spacing w:val="40"/>
          <w:sz w:val="16"/>
        </w:rPr>
        <w:t> </w:t>
      </w:r>
      <w:bookmarkStart w:name="_bookmark4" w:id="7"/>
      <w:bookmarkEnd w:id="7"/>
      <w:r>
        <w:rPr>
          <w:color w:val="00689C"/>
          <w:w w:val="99"/>
          <w:sz w:val="16"/>
        </w:rPr>
      </w:r>
      <w:hyperlink r:id="rId13">
        <w:r>
          <w:rPr>
            <w:color w:val="00689C"/>
            <w:sz w:val="16"/>
          </w:rPr>
          <w:t>Mitochondrion 2011;11:182–90.</w:t>
        </w:r>
      </w:hyperlink>
    </w:p>
    <w:p>
      <w:pPr>
        <w:pStyle w:val="ListParagraph"/>
        <w:numPr>
          <w:ilvl w:val="0"/>
          <w:numId w:val="1"/>
        </w:numPr>
        <w:tabs>
          <w:tab w:pos="314" w:val="left" w:leader="none"/>
        </w:tabs>
        <w:spacing w:line="259" w:lineRule="auto" w:before="2" w:after="0"/>
        <w:ind w:left="314" w:right="292" w:hanging="266"/>
        <w:jc w:val="both"/>
        <w:rPr>
          <w:sz w:val="16"/>
        </w:rPr>
      </w:pPr>
      <w:hyperlink r:id="rId14">
        <w:r>
          <w:rPr>
            <w:color w:val="00689C"/>
            <w:sz w:val="16"/>
          </w:rPr>
          <w:t>Pitceathly RD, Tomlinson SE, Hargreaves I, et al. Distal myopathy with</w:t>
        </w:r>
      </w:hyperlink>
      <w:r>
        <w:rPr>
          <w:color w:val="00689C"/>
          <w:spacing w:val="40"/>
          <w:sz w:val="16"/>
        </w:rPr>
        <w:t> </w:t>
      </w:r>
      <w:hyperlink r:id="rId14">
        <w:r>
          <w:rPr>
            <w:color w:val="00689C"/>
            <w:sz w:val="16"/>
          </w:rPr>
          <w:t>cachexia: an unrecognised phenotype caused by dominantly-</w:t>
        </w:r>
        <w:r>
          <w:rPr>
            <w:color w:val="00689C"/>
            <w:sz w:val="16"/>
          </w:rPr>
          <w:t>inherited</w:t>
        </w:r>
      </w:hyperlink>
      <w:r>
        <w:rPr>
          <w:color w:val="00689C"/>
          <w:spacing w:val="40"/>
          <w:sz w:val="16"/>
        </w:rPr>
        <w:t> </w:t>
      </w:r>
      <w:hyperlink r:id="rId14">
        <w:r>
          <w:rPr>
            <w:color w:val="00689C"/>
            <w:sz w:val="16"/>
          </w:rPr>
          <w:t>mitochondrial polymerase gamma mutations. J Neurol Neurosurg</w:t>
        </w:r>
      </w:hyperlink>
      <w:r>
        <w:rPr>
          <w:color w:val="00689C"/>
          <w:spacing w:val="40"/>
          <w:sz w:val="16"/>
        </w:rPr>
        <w:t> </w:t>
      </w:r>
      <w:bookmarkStart w:name="_bookmark5" w:id="8"/>
      <w:bookmarkEnd w:id="8"/>
      <w:r>
        <w:rPr>
          <w:color w:val="00689C"/>
          <w:w w:val="99"/>
          <w:sz w:val="16"/>
        </w:rPr>
      </w:r>
      <w:hyperlink r:id="rId14">
        <w:r>
          <w:rPr>
            <w:color w:val="00689C"/>
            <w:sz w:val="16"/>
          </w:rPr>
          <w:t>Psychiatry 2013;84:107–10.</w:t>
        </w:r>
      </w:hyperlink>
    </w:p>
    <w:p>
      <w:pPr>
        <w:pStyle w:val="ListParagraph"/>
        <w:numPr>
          <w:ilvl w:val="0"/>
          <w:numId w:val="1"/>
        </w:numPr>
        <w:tabs>
          <w:tab w:pos="314" w:val="left" w:leader="none"/>
        </w:tabs>
        <w:spacing w:line="259" w:lineRule="auto" w:before="4" w:after="0"/>
        <w:ind w:left="314" w:right="292" w:hanging="266"/>
        <w:jc w:val="both"/>
        <w:rPr>
          <w:sz w:val="16"/>
        </w:rPr>
      </w:pPr>
      <w:hyperlink r:id="rId15">
        <w:r>
          <w:rPr>
            <w:color w:val="00689C"/>
            <w:sz w:val="16"/>
          </w:rPr>
          <w:t>Udd B. 165th ENMC International Workshop: distal myopathies 6-8th</w:t>
        </w:r>
      </w:hyperlink>
      <w:r>
        <w:rPr>
          <w:color w:val="00689C"/>
          <w:spacing w:val="40"/>
          <w:sz w:val="16"/>
        </w:rPr>
        <w:t> </w:t>
      </w:r>
      <w:hyperlink r:id="rId15">
        <w:r>
          <w:rPr>
            <w:color w:val="00689C"/>
            <w:sz w:val="16"/>
          </w:rPr>
          <w:t>February 2009 Naarden, The Netherlands. Neuromuscul </w:t>
        </w:r>
        <w:r>
          <w:rPr>
            <w:color w:val="00689C"/>
            <w:sz w:val="16"/>
          </w:rPr>
          <w:t>Disord</w:t>
        </w:r>
      </w:hyperlink>
      <w:r>
        <w:rPr>
          <w:color w:val="00689C"/>
          <w:spacing w:val="40"/>
          <w:sz w:val="16"/>
        </w:rPr>
        <w:t> </w:t>
      </w:r>
      <w:hyperlink r:id="rId15">
        <w:r>
          <w:rPr>
            <w:color w:val="00689C"/>
            <w:spacing w:val="-2"/>
            <w:sz w:val="16"/>
          </w:rPr>
          <w:t>2009;19:429–38.</w:t>
        </w:r>
      </w:hyperlink>
    </w:p>
    <w:p>
      <w:pPr>
        <w:pStyle w:val="ListParagraph"/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820" w:bottom="280" w:left="566" w:right="566"/>
          <w:cols w:num="2" w:equalWidth="0">
            <w:col w:w="5079" w:space="321"/>
            <w:col w:w="537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20" w:lineRule="exact"/>
        <w:ind w:left="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59" w:lineRule="auto" w:before="31"/>
        <w:ind w:left="48" w:right="5029" w:firstLine="79"/>
        <w:jc w:val="left"/>
        <w:rPr>
          <w:sz w:val="16"/>
        </w:rPr>
      </w:pPr>
      <w:bookmarkStart w:name="_bookmark6" w:id="9"/>
      <w:bookmarkEnd w:id="9"/>
      <w:r>
        <w:rPr/>
      </w:r>
      <w:r>
        <w:rPr>
          <w:color w:val="231F20"/>
          <w:sz w:val="16"/>
        </w:rPr>
        <w:t>*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Corresponding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author.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Institute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Neurology,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Policlinico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“A.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Gemelli”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Foundation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University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Hospital,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Largo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Gemelli,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8,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Rome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00168,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Italy.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4"/>
          <w:sz w:val="16"/>
        </w:rPr>
        <w:t>Fax</w:t>
      </w:r>
      <w:r>
        <w:rPr>
          <w:color w:val="231F20"/>
          <w:spacing w:val="-4"/>
          <w:sz w:val="16"/>
        </w:rPr>
        <w:t>:</w:t>
      </w:r>
    </w:p>
    <w:p>
      <w:pPr>
        <w:spacing w:before="1"/>
        <w:ind w:left="48" w:right="0" w:firstLine="0"/>
        <w:jc w:val="left"/>
        <w:rPr>
          <w:sz w:val="16"/>
        </w:rPr>
      </w:pPr>
      <w:r>
        <w:rPr>
          <w:rFonts w:ascii="Arial"/>
          <w:color w:val="231F20"/>
          <w:sz w:val="16"/>
        </w:rPr>
        <w:t>+</w:t>
      </w:r>
      <w:r>
        <w:rPr>
          <w:color w:val="231F20"/>
          <w:sz w:val="16"/>
        </w:rPr>
        <w:t>39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06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35501909.</w:t>
      </w:r>
    </w:p>
    <w:p>
      <w:pPr>
        <w:spacing w:before="16"/>
        <w:ind w:left="288" w:right="0" w:firstLine="0"/>
        <w:jc w:val="left"/>
        <w:rPr>
          <w:sz w:val="16"/>
        </w:rPr>
      </w:pPr>
      <w:r>
        <w:rPr>
          <w:i/>
          <w:color w:val="231F20"/>
          <w:sz w:val="16"/>
        </w:rPr>
        <w:t>E-mail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address:</w:t>
      </w:r>
      <w:r>
        <w:rPr>
          <w:i/>
          <w:color w:val="231F20"/>
          <w:spacing w:val="-3"/>
          <w:sz w:val="16"/>
        </w:rPr>
        <w:t> </w:t>
      </w:r>
      <w:hyperlink r:id="rId16">
        <w:r>
          <w:rPr>
            <w:color w:val="00699D"/>
            <w:sz w:val="16"/>
          </w:rPr>
          <w:t>giorgiotasca81@gmail.com</w:t>
        </w:r>
      </w:hyperlink>
      <w:r>
        <w:rPr>
          <w:color w:val="00699D"/>
          <w:spacing w:val="-3"/>
          <w:sz w:val="16"/>
        </w:rPr>
        <w:t> </w:t>
      </w:r>
      <w:r>
        <w:rPr>
          <w:color w:val="231F20"/>
          <w:sz w:val="16"/>
        </w:rPr>
        <w:t>(G.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Tasca).</w:t>
      </w:r>
    </w:p>
    <w:p>
      <w:pPr>
        <w:spacing w:before="160"/>
        <w:ind w:left="48" w:right="0" w:firstLine="0"/>
        <w:jc w:val="left"/>
        <w:rPr>
          <w:sz w:val="16"/>
        </w:rPr>
      </w:pPr>
      <w:hyperlink r:id="rId10">
        <w:r>
          <w:rPr>
            <w:color w:val="00699D"/>
            <w:spacing w:val="-2"/>
            <w:sz w:val="16"/>
          </w:rPr>
          <w:t>http://dx.doi.org/10.1016/j.nmd.2017.03.001</w:t>
        </w:r>
      </w:hyperlink>
    </w:p>
    <w:p>
      <w:pPr>
        <w:spacing w:before="16"/>
        <w:ind w:left="48" w:right="0" w:firstLine="0"/>
        <w:jc w:val="left"/>
        <w:rPr>
          <w:sz w:val="16"/>
        </w:rPr>
      </w:pPr>
      <w:r>
        <w:rPr>
          <w:color w:val="231F20"/>
          <w:sz w:val="16"/>
        </w:rPr>
        <w:t>0960-8966/©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2017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Elsevier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B.V.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rights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reserved.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20" w:bottom="280" w:left="566" w:right="566"/>
        </w:sectPr>
      </w:pPr>
    </w:p>
    <w:p>
      <w:pPr>
        <w:tabs>
          <w:tab w:pos="10681" w:val="right" w:leader="none"/>
        </w:tabs>
        <w:spacing w:before="65"/>
        <w:ind w:left="3498" w:right="0" w:firstLine="0"/>
        <w:jc w:val="left"/>
        <w:rPr>
          <w:sz w:val="16"/>
        </w:rPr>
      </w:pPr>
      <w:bookmarkStart w:name="_bookmark7" w:id="10"/>
      <w:bookmarkEnd w:id="10"/>
      <w:r>
        <w:rPr/>
      </w:r>
      <w:r>
        <w:rPr>
          <w:i/>
          <w:color w:val="231F20"/>
          <w:sz w:val="16"/>
        </w:rPr>
        <w:t>G.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Tasca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et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al.</w:t>
      </w:r>
      <w:r>
        <w:rPr>
          <w:i/>
          <w:color w:val="231F20"/>
          <w:spacing w:val="-21"/>
          <w:sz w:val="16"/>
        </w:rPr>
        <w:t> </w:t>
      </w:r>
      <w:r>
        <w:rPr>
          <w:i/>
          <w:color w:val="231F20"/>
          <w:sz w:val="16"/>
        </w:rPr>
        <w:t>/</w:t>
      </w:r>
      <w:r>
        <w:rPr>
          <w:i/>
          <w:color w:val="231F20"/>
          <w:spacing w:val="-21"/>
          <w:sz w:val="16"/>
        </w:rPr>
        <w:t> </w:t>
      </w:r>
      <w:r>
        <w:rPr>
          <w:i/>
          <w:color w:val="231F20"/>
          <w:sz w:val="16"/>
        </w:rPr>
        <w:t>Neuromuscular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Disorders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27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(2017)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500–501</w:t>
      </w:r>
      <w:r>
        <w:rPr>
          <w:i/>
          <w:color w:val="231F20"/>
          <w:sz w:val="16"/>
        </w:rPr>
        <w:tab/>
      </w:r>
      <w:r>
        <w:rPr>
          <w:color w:val="231F20"/>
          <w:spacing w:val="-5"/>
          <w:sz w:val="16"/>
        </w:rPr>
        <w:t>501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1417967</wp:posOffset>
            </wp:positionH>
            <wp:positionV relativeFrom="paragraph">
              <wp:posOffset>120659</wp:posOffset>
            </wp:positionV>
            <wp:extent cx="4876989" cy="521817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989" cy="521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54"/>
        <w:ind w:left="284" w:right="57" w:firstLine="0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1.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T1-weighted MRI images of the pelvis and lower limbs show fatty infiltration of the muscles, starting from the outer, subcutaneous layers and progressing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the inner layers moving distally. This gives a peculiar, “concentric” appearance to the T1-hypersignal, which is particularly evident both in the quadriceps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(arrowheads)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muscles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posterior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medial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thigh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compartment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(arrows).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same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phenomenon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evident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lower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leg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where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tibialis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posterior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proximal part of the right soleus (asterisk) are relatively spared.</w:t>
      </w:r>
    </w:p>
    <w:sectPr>
      <w:pgSz w:w="11910" w:h="15880"/>
      <w:pgMar w:top="840" w:bottom="280" w:left="566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314" w:hanging="2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2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0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5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1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1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7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2" w:hanging="26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right="245"/>
      <w:jc w:val="center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314" w:right="292" w:hanging="2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crossmark.crossref.org/dialog/?doi=10.1016/j.nmd.2017.03.001&amp;domain=pdf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www.sciencedirect.com/science/journal/09608966" TargetMode="External"/><Relationship Id="rId10" Type="http://schemas.openxmlformats.org/officeDocument/2006/relationships/hyperlink" Target="http://dx.doi.org/10.1016/j.nmd.2017.03.001" TargetMode="External"/><Relationship Id="rId11" Type="http://schemas.openxmlformats.org/officeDocument/2006/relationships/image" Target="media/image4.png"/><Relationship Id="rId12" Type="http://schemas.openxmlformats.org/officeDocument/2006/relationships/hyperlink" Target="http://www.elsevier.com/locate/nmd" TargetMode="External"/><Relationship Id="rId13" Type="http://schemas.openxmlformats.org/officeDocument/2006/relationships/hyperlink" Target="http://refhub.elsevier.com/S0960-8966(16)31195-6/sr0010" TargetMode="External"/><Relationship Id="rId14" Type="http://schemas.openxmlformats.org/officeDocument/2006/relationships/hyperlink" Target="http://refhub.elsevier.com/S0960-8966(16)31195-6/sr0015" TargetMode="External"/><Relationship Id="rId15" Type="http://schemas.openxmlformats.org/officeDocument/2006/relationships/hyperlink" Target="http://refhub.elsevier.com/S0960-8966(16)31195-6/sr0020" TargetMode="External"/><Relationship Id="rId16" Type="http://schemas.openxmlformats.org/officeDocument/2006/relationships/hyperlink" Target="mailto:giorgiotasca81@gmail.com" TargetMode="External"/><Relationship Id="rId17" Type="http://schemas.openxmlformats.org/officeDocument/2006/relationships/image" Target="media/image5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Giorgio Tasca</dc:creator>
  <dc:subject>Neuromuscular Disorders, 27 (2017) 500-501. doi:10.1016/j.nmd.2017.03.001</dc:subject>
  <dc:title>Concentric muscle involvement in POLG-related distal myopathy</dc:title>
  <dcterms:created xsi:type="dcterms:W3CDTF">2025-07-04T18:35:08Z</dcterms:created>
  <dcterms:modified xsi:type="dcterms:W3CDTF">2025-07-04T18:35:08Z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2025-07-04T00:00:00Z</vt:filetime>
  </property>
  <property fmtid="{D5CDD505-2E9C-101B-9397-08002B2CF9AE}" pid="10" name="Producer">
    <vt:lpwstr>Acrobat Distiller 9.3.2 (Windows); modified using iText® 5.5.5 ©2000-2014 iText Group NV (AGPL-version)</vt:lpwstr>
  </property>
  <property fmtid="{D5CDD505-2E9C-101B-9397-08002B2CF9AE}" pid="11" name="doi">
    <vt:lpwstr>10.1016/j.nmd.2017.03.001</vt:lpwstr>
  </property>
  <property fmtid="{D5CDD505-2E9C-101B-9397-08002B2CF9AE}" pid="12" name="robots">
    <vt:lpwstr>noindex</vt:lpwstr>
  </property>
</Properties>
</file>