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0"/>
        <w:ind w:left="347" w:right="172" w:firstLine="0"/>
        <w:jc w:val="center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6416637</wp:posOffset>
            </wp:positionH>
            <wp:positionV relativeFrom="paragraph">
              <wp:posOffset>304711</wp:posOffset>
            </wp:positionV>
            <wp:extent cx="708261" cy="894111"/>
            <wp:effectExtent l="0" t="0" r="0" b="0"/>
            <wp:wrapNone/>
            <wp:docPr id="2" name="Image 2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61" cy="89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541439</wp:posOffset>
            </wp:positionH>
            <wp:positionV relativeFrom="paragraph">
              <wp:posOffset>384632</wp:posOffset>
            </wp:positionV>
            <wp:extent cx="754013" cy="827531"/>
            <wp:effectExtent l="0" t="0" r="0" b="0"/>
            <wp:wrapNone/>
            <wp:docPr id="3" name="Image 3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013" cy="82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0" w:righ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Epilepsy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Behavior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28"/>
                              </w:rPr>
                              <w:t>Reports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6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5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Arial"/>
                                  <w:color w:val="2E3092"/>
                                  <w:spacing w:val="16"/>
                                </w:rPr>
                                <w:t>www.elsevier.com/locate/ebcr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40"/>
                                </w:rPr>
                                <w:t>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0" w:righ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w w:val="105"/>
                          <w:sz w:val="28"/>
                        </w:rPr>
                        <w:t>Epilepsy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&amp;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Behavior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28"/>
                        </w:rPr>
                        <w:t>Reports</w:t>
                      </w:r>
                    </w:p>
                    <w:p>
                      <w:pPr>
                        <w:pStyle w:val="BodyText"/>
                        <w:spacing w:before="4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</w:rPr>
                        <w:t>journal</w:t>
                      </w:r>
                      <w:r>
                        <w:rPr>
                          <w:rFonts w:ascii="Arial"/>
                          <w:color w:val="231F20"/>
                          <w:spacing w:val="2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16"/>
                        </w:rPr>
                        <w:t>homepage:</w:t>
                      </w:r>
                      <w:r>
                        <w:rPr>
                          <w:rFonts w:ascii="Arial"/>
                          <w:color w:val="231F20"/>
                          <w:spacing w:val="25"/>
                        </w:rPr>
                        <w:t> </w:t>
                      </w:r>
                      <w:hyperlink r:id="rId10">
                        <w:r>
                          <w:rPr>
                            <w:rFonts w:ascii="Arial"/>
                            <w:color w:val="2E3092"/>
                            <w:spacing w:val="16"/>
                          </w:rPr>
                          <w:t>www.elsevier.com/locate/ebcr</w:t>
                        </w:r>
                        <w:r>
                          <w:rPr>
                            <w:rFonts w:ascii="Arial"/>
                            <w:color w:val="2E3092"/>
                            <w:spacing w:val="40"/>
                          </w:rPr>
                          <w:t>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cute liver failure in a military recrui" w:id="1"/>
      <w:bookmarkEnd w:id="1"/>
      <w:r>
        <w:rPr/>
      </w:r>
      <w:hyperlink r:id="rId11">
        <w:r>
          <w:rPr>
            <w:color w:val="2E3092"/>
            <w:w w:val="115"/>
            <w:sz w:val="12"/>
          </w:rPr>
          <w:t>Epilepsy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&amp;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Behavior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Reports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12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(2019)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100342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271548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1.381744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3"/>
        <w:rPr>
          <w:sz w:val="12"/>
        </w:rPr>
      </w:pPr>
    </w:p>
    <w:p>
      <w:pPr>
        <w:spacing w:before="0"/>
        <w:ind w:left="284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Case</w:t>
      </w:r>
      <w:r>
        <w:rPr>
          <w:color w:val="231F20"/>
          <w:spacing w:val="-4"/>
          <w:w w:val="105"/>
          <w:sz w:val="19"/>
        </w:rPr>
        <w:t> </w:t>
      </w:r>
      <w:r>
        <w:rPr>
          <w:color w:val="231F20"/>
          <w:spacing w:val="-2"/>
          <w:w w:val="110"/>
          <w:sz w:val="19"/>
        </w:rPr>
        <w:t>Report</w:t>
      </w:r>
    </w:p>
    <w:p>
      <w:pPr>
        <w:spacing w:line="266" w:lineRule="auto" w:before="143"/>
        <w:ind w:left="284" w:right="1050" w:firstLine="0"/>
        <w:jc w:val="left"/>
        <w:rPr>
          <w:sz w:val="27"/>
        </w:rPr>
      </w:pPr>
      <w:r>
        <w:rPr>
          <w:sz w:val="27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6418795</wp:posOffset>
            </wp:positionH>
            <wp:positionV relativeFrom="paragraph">
              <wp:posOffset>59798</wp:posOffset>
            </wp:positionV>
            <wp:extent cx="359994" cy="359994"/>
            <wp:effectExtent l="0" t="0" r="0" b="0"/>
            <wp:wrapNone/>
            <wp:docPr id="6" name="Image 6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w w:val="115"/>
          <w:sz w:val="27"/>
        </w:rPr>
        <w:t>Acute</w:t>
      </w:r>
      <w:r>
        <w:rPr>
          <w:color w:val="231F20"/>
          <w:spacing w:val="-13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liver</w:t>
      </w:r>
      <w:r>
        <w:rPr>
          <w:color w:val="231F20"/>
          <w:spacing w:val="-13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failure</w:t>
      </w:r>
      <w:r>
        <w:rPr>
          <w:color w:val="231F20"/>
          <w:spacing w:val="-14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in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a</w:t>
      </w:r>
      <w:r>
        <w:rPr>
          <w:color w:val="231F20"/>
          <w:spacing w:val="-13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military</w:t>
      </w:r>
      <w:r>
        <w:rPr>
          <w:color w:val="231F20"/>
          <w:spacing w:val="-13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recruit</w:t>
      </w:r>
      <w:r>
        <w:rPr>
          <w:color w:val="231F20"/>
          <w:spacing w:val="-13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treated</w:t>
      </w:r>
      <w:r>
        <w:rPr>
          <w:color w:val="231F20"/>
          <w:spacing w:val="-13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with</w:t>
      </w:r>
      <w:r>
        <w:rPr>
          <w:color w:val="231F20"/>
          <w:spacing w:val="-14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valproic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acid</w:t>
      </w:r>
      <w:r>
        <w:rPr>
          <w:color w:val="231F20"/>
          <w:spacing w:val="-12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and </w:t>
      </w:r>
      <w:r>
        <w:rPr>
          <w:color w:val="231F20"/>
          <w:w w:val="115"/>
          <w:sz w:val="27"/>
        </w:rPr>
        <w:t>harboring</w:t>
      </w:r>
      <w:r>
        <w:rPr>
          <w:color w:val="231F20"/>
          <w:spacing w:val="-20"/>
          <w:w w:val="115"/>
          <w:sz w:val="27"/>
        </w:rPr>
        <w:t> </w:t>
      </w:r>
      <w:r>
        <w:rPr>
          <w:color w:val="231F20"/>
          <w:w w:val="115"/>
          <w:sz w:val="27"/>
        </w:rPr>
        <w:t>a</w:t>
      </w:r>
      <w:r>
        <w:rPr>
          <w:color w:val="231F20"/>
          <w:spacing w:val="-19"/>
          <w:w w:val="115"/>
          <w:sz w:val="27"/>
        </w:rPr>
        <w:t> </w:t>
      </w:r>
      <w:r>
        <w:rPr>
          <w:color w:val="231F20"/>
          <w:w w:val="115"/>
          <w:sz w:val="27"/>
        </w:rPr>
        <w:t>previously</w:t>
      </w:r>
      <w:r>
        <w:rPr>
          <w:color w:val="231F20"/>
          <w:spacing w:val="-20"/>
          <w:w w:val="115"/>
          <w:sz w:val="27"/>
        </w:rPr>
        <w:t> </w:t>
      </w:r>
      <w:r>
        <w:rPr>
          <w:color w:val="231F20"/>
          <w:w w:val="115"/>
          <w:sz w:val="27"/>
        </w:rPr>
        <w:t>unrecognized</w:t>
      </w:r>
      <w:r>
        <w:rPr>
          <w:color w:val="231F20"/>
          <w:spacing w:val="-19"/>
          <w:w w:val="115"/>
          <w:sz w:val="27"/>
        </w:rPr>
        <w:t> </w:t>
      </w:r>
      <w:r>
        <w:rPr>
          <w:color w:val="231F20"/>
          <w:w w:val="115"/>
          <w:sz w:val="27"/>
        </w:rPr>
        <w:t>POLG-1</w:t>
      </w:r>
      <w:r>
        <w:rPr>
          <w:color w:val="231F20"/>
          <w:spacing w:val="-20"/>
          <w:w w:val="115"/>
          <w:sz w:val="27"/>
        </w:rPr>
        <w:t> </w:t>
      </w:r>
      <w:r>
        <w:rPr>
          <w:color w:val="231F20"/>
          <w:w w:val="115"/>
          <w:sz w:val="27"/>
        </w:rPr>
        <w:t>mutation</w:t>
      </w:r>
    </w:p>
    <w:p>
      <w:pPr>
        <w:spacing w:before="86"/>
        <w:ind w:left="284" w:right="0" w:firstLine="0"/>
        <w:jc w:val="left"/>
        <w:rPr>
          <w:sz w:val="21"/>
        </w:rPr>
      </w:pPr>
      <w:r>
        <w:rPr>
          <w:color w:val="231F20"/>
          <w:spacing w:val="-2"/>
          <w:w w:val="110"/>
          <w:sz w:val="21"/>
        </w:rPr>
        <w:t>John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T.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Bassett</w:t>
      </w:r>
      <w:r>
        <w:rPr>
          <w:color w:val="231F20"/>
          <w:spacing w:val="-16"/>
          <w:w w:val="110"/>
          <w:sz w:val="21"/>
        </w:rPr>
        <w:t> </w:t>
      </w:r>
      <w:hyperlink w:history="true" w:anchor="_bookmark0">
        <w:r>
          <w:rPr>
            <w:color w:val="2E3092"/>
            <w:spacing w:val="-2"/>
            <w:w w:val="110"/>
            <w:sz w:val="21"/>
            <w:vertAlign w:val="superscript"/>
          </w:rPr>
          <w:t>a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4">
        <w:r>
          <w:rPr>
            <w:rFonts w:ascii="Geneva" w:hAnsi="Geneva"/>
            <w:color w:val="2E3092"/>
            <w:spacing w:val="-2"/>
            <w:w w:val="110"/>
            <w:position w:val="1"/>
            <w:sz w:val="24"/>
            <w:vertAlign w:val="baseline"/>
          </w:rPr>
          <w:t>⁎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Benjamin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Rodriguez</w:t>
      </w:r>
      <w:r>
        <w:rPr>
          <w:color w:val="231F20"/>
          <w:spacing w:val="-15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2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Lisa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Mulligan</w:t>
      </w:r>
      <w:r>
        <w:rPr>
          <w:color w:val="231F20"/>
          <w:spacing w:val="-15"/>
          <w:w w:val="110"/>
          <w:sz w:val="21"/>
          <w:vertAlign w:val="baseline"/>
        </w:rPr>
        <w:t> </w:t>
      </w:r>
      <w:hyperlink w:history="true" w:anchor="_bookmark2">
        <w:r>
          <w:rPr>
            <w:color w:val="2E3092"/>
            <w:spacing w:val="-2"/>
            <w:w w:val="110"/>
            <w:sz w:val="21"/>
            <w:vertAlign w:val="superscript"/>
          </w:rPr>
          <w:t>c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Robert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J.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Fontana</w:t>
      </w:r>
      <w:r>
        <w:rPr>
          <w:color w:val="231F20"/>
          <w:spacing w:val="-14"/>
          <w:w w:val="110"/>
          <w:sz w:val="21"/>
          <w:vertAlign w:val="baseline"/>
        </w:rPr>
        <w:t> </w:t>
      </w:r>
      <w:hyperlink w:history="true" w:anchor="_bookmark3">
        <w:r>
          <w:rPr>
            <w:color w:val="2E3092"/>
            <w:spacing w:val="-10"/>
            <w:w w:val="110"/>
            <w:sz w:val="21"/>
            <w:vertAlign w:val="superscript"/>
          </w:rPr>
          <w:t>d</w:t>
        </w:r>
      </w:hyperlink>
    </w:p>
    <w:p>
      <w:pPr>
        <w:spacing w:before="135"/>
        <w:ind w:left="284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w w:val="110"/>
          <w:sz w:val="12"/>
          <w:vertAlign w:val="superscript"/>
        </w:rPr>
        <w:t>a</w:t>
      </w:r>
      <w:r>
        <w:rPr>
          <w:color w:val="231F20"/>
          <w:spacing w:val="4"/>
          <w:w w:val="110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3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Sanford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Health,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Fargo,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ND,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United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States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America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spacing w:val="-2"/>
          <w:w w:val="110"/>
          <w:sz w:val="12"/>
          <w:vertAlign w:val="superscript"/>
        </w:rPr>
        <w:t>b</w:t>
      </w:r>
      <w:r>
        <w:rPr>
          <w:color w:val="231F20"/>
          <w:spacing w:val="19"/>
          <w:w w:val="110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2"/>
          <w:sz w:val="12"/>
          <w:vertAlign w:val="baseline"/>
        </w:rPr>
      </w:r>
      <w:r>
        <w:rPr>
          <w:i/>
          <w:color w:val="231F20"/>
          <w:spacing w:val="-2"/>
          <w:w w:val="110"/>
          <w:sz w:val="12"/>
          <w:vertAlign w:val="baseline"/>
        </w:rPr>
        <w:t>Naval</w:t>
      </w:r>
      <w:r>
        <w:rPr>
          <w:i/>
          <w:color w:val="231F20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Hospital</w:t>
      </w:r>
      <w:r>
        <w:rPr>
          <w:i/>
          <w:color w:val="231F20"/>
          <w:spacing w:val="-1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Jacksonville,</w:t>
      </w:r>
      <w:r>
        <w:rPr>
          <w:i/>
          <w:color w:val="231F20"/>
          <w:spacing w:val="1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FL,</w:t>
      </w:r>
      <w:r>
        <w:rPr>
          <w:i/>
          <w:color w:val="231F20"/>
          <w:spacing w:val="2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United</w:t>
      </w:r>
      <w:r>
        <w:rPr>
          <w:i/>
          <w:color w:val="231F20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States</w:t>
      </w:r>
      <w:r>
        <w:rPr>
          <w:i/>
          <w:color w:val="231F20"/>
          <w:spacing w:val="2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of</w:t>
      </w:r>
      <w:r>
        <w:rPr>
          <w:i/>
          <w:color w:val="231F20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America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c</w:t>
      </w:r>
      <w:r>
        <w:rPr>
          <w:color w:val="231F20"/>
          <w:spacing w:val="12"/>
          <w:w w:val="110"/>
          <w:sz w:val="12"/>
          <w:vertAlign w:val="baseline"/>
        </w:rPr>
        <w:t> </w:t>
      </w:r>
      <w:bookmarkStart w:name="_bookmark3" w:id="5"/>
      <w:bookmarkEnd w:id="5"/>
      <w:r>
        <w:rPr>
          <w:color w:val="231F20"/>
          <w:spacing w:val="-12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Naval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Medical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Center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Portsmouth,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Portsmouth,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VA,</w:t>
      </w:r>
      <w:r>
        <w:rPr>
          <w:i/>
          <w:color w:val="231F20"/>
          <w:spacing w:val="-2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United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States</w:t>
      </w:r>
      <w:r>
        <w:rPr>
          <w:i/>
          <w:color w:val="231F20"/>
          <w:spacing w:val="-2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America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d</w:t>
      </w:r>
      <w:r>
        <w:rPr>
          <w:color w:val="231F20"/>
          <w:spacing w:val="12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University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Michigan,</w:t>
      </w:r>
      <w:r>
        <w:rPr>
          <w:i/>
          <w:color w:val="231F20"/>
          <w:spacing w:val="-2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Ann</w:t>
      </w:r>
      <w:r>
        <w:rPr>
          <w:i/>
          <w:color w:val="231F20"/>
          <w:spacing w:val="-2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Arbor,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MI,</w:t>
      </w:r>
      <w:r>
        <w:rPr>
          <w:i/>
          <w:color w:val="231F20"/>
          <w:spacing w:val="-2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United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States</w:t>
      </w:r>
      <w:r>
        <w:rPr>
          <w:i/>
          <w:color w:val="231F20"/>
          <w:spacing w:val="-2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America</w:t>
      </w:r>
    </w:p>
    <w:p>
      <w:pPr>
        <w:pStyle w:val="BodyText"/>
        <w:spacing w:before="2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104240</wp:posOffset>
                </wp:positionV>
                <wp:extent cx="65919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591604" y="359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207881pt;width:519.024pt;height:.283450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Heading1"/>
        <w:tabs>
          <w:tab w:pos="1580" w:val="left" w:leader="none"/>
        </w:tabs>
      </w:pPr>
      <w:r>
        <w:rPr>
          <w:color w:val="231F20"/>
          <w:spacing w:val="34"/>
          <w:w w:val="130"/>
        </w:rPr>
        <w:t>a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34"/>
          <w:w w:val="130"/>
        </w:rPr>
        <w:t>i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l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-12"/>
          <w:w w:val="130"/>
        </w:rPr>
        <w:t>e</w:t>
      </w:r>
      <w:r>
        <w:rPr>
          <w:color w:val="231F20"/>
        </w:rPr>
        <w:tab/>
      </w:r>
      <w:r>
        <w:rPr>
          <w:color w:val="231F20"/>
          <w:w w:val="130"/>
        </w:rPr>
        <w:t>i</w:t>
      </w:r>
      <w:r>
        <w:rPr>
          <w:color w:val="231F20"/>
          <w:spacing w:val="9"/>
          <w:w w:val="130"/>
        </w:rPr>
        <w:t> </w:t>
      </w:r>
      <w:r>
        <w:rPr>
          <w:color w:val="231F20"/>
          <w:spacing w:val="34"/>
          <w:w w:val="130"/>
        </w:rPr>
        <w:t>n</w:t>
      </w:r>
      <w:r>
        <w:rPr>
          <w:color w:val="231F20"/>
          <w:spacing w:val="-15"/>
          <w:w w:val="130"/>
        </w:rPr>
        <w:t> </w:t>
      </w:r>
      <w:r>
        <w:rPr>
          <w:color w:val="231F20"/>
          <w:spacing w:val="34"/>
          <w:w w:val="130"/>
        </w:rPr>
        <w:t>f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0"/>
          <w:w w:val="130"/>
        </w:rPr>
        <w:t>o</w:t>
      </w:r>
      <w:r>
        <w:rPr>
          <w:color w:val="231F20"/>
          <w:spacing w:val="-10"/>
          <w:w w:val="130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284" w:right="-3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8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w w:val="110"/>
          <w:sz w:val="12"/>
        </w:rPr>
        <w:t>Article</w:t>
      </w:r>
      <w:r>
        <w:rPr>
          <w:i/>
          <w:color w:val="231F20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history:</w:t>
      </w:r>
    </w:p>
    <w:p>
      <w:pPr>
        <w:spacing w:before="34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Received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1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September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2019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Received</w:t>
      </w:r>
      <w:r>
        <w:rPr>
          <w:color w:val="231F20"/>
          <w:spacing w:val="2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revised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form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13 October </w:t>
      </w:r>
      <w:r>
        <w:rPr>
          <w:color w:val="231F20"/>
          <w:spacing w:val="-4"/>
          <w:w w:val="115"/>
          <w:sz w:val="12"/>
        </w:rPr>
        <w:t>2019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Accepted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18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October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2019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Available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online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25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October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2019</w:t>
      </w:r>
    </w:p>
    <w:p>
      <w:pPr>
        <w:pStyle w:val="BodyText"/>
        <w:spacing w:before="1" w:after="1"/>
        <w:rPr>
          <w:sz w:val="13"/>
        </w:rPr>
      </w:pPr>
    </w:p>
    <w:p>
      <w:pPr>
        <w:pStyle w:val="BodyText"/>
        <w:spacing w:line="20" w:lineRule="exact"/>
        <w:ind w:left="284" w:right="-3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5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691995" y="3594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7" coordorigin="0,0" coordsize="2665,6">
                <v:rect style="position:absolute;left:0;top:0;width:2665;height:6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0"/>
        <w:ind w:left="28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w w:val="110"/>
          <w:sz w:val="12"/>
        </w:rPr>
        <w:t>Keywords:</w:t>
      </w:r>
    </w:p>
    <w:p>
      <w:pPr>
        <w:spacing w:line="297" w:lineRule="auto" w:before="33"/>
        <w:ind w:left="284" w:right="1238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Liver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transplantation</w:t>
      </w:r>
      <w:r>
        <w:rPr>
          <w:color w:val="231F20"/>
          <w:spacing w:val="40"/>
          <w:w w:val="125"/>
          <w:sz w:val="12"/>
        </w:rPr>
        <w:t> </w:t>
      </w:r>
      <w:r>
        <w:rPr>
          <w:color w:val="231F20"/>
          <w:spacing w:val="-2"/>
          <w:w w:val="125"/>
          <w:sz w:val="12"/>
        </w:rPr>
        <w:t>Drug</w:t>
      </w:r>
      <w:r>
        <w:rPr>
          <w:color w:val="231F20"/>
          <w:spacing w:val="-8"/>
          <w:w w:val="125"/>
          <w:sz w:val="12"/>
        </w:rPr>
        <w:t> </w:t>
      </w:r>
      <w:r>
        <w:rPr>
          <w:color w:val="231F20"/>
          <w:spacing w:val="-2"/>
          <w:w w:val="125"/>
          <w:sz w:val="12"/>
        </w:rPr>
        <w:t>hepatotoxicity</w:t>
      </w:r>
      <w:r>
        <w:rPr>
          <w:color w:val="231F20"/>
          <w:spacing w:val="40"/>
          <w:w w:val="125"/>
          <w:sz w:val="12"/>
        </w:rPr>
        <w:t> </w:t>
      </w:r>
      <w:r>
        <w:rPr>
          <w:color w:val="231F20"/>
          <w:spacing w:val="-2"/>
          <w:w w:val="125"/>
          <w:sz w:val="12"/>
        </w:rPr>
        <w:t>Anti-convulsants</w:t>
      </w:r>
    </w:p>
    <w:p>
      <w:pPr>
        <w:pStyle w:val="Heading1"/>
      </w:pPr>
      <w:r>
        <w:rPr/>
        <w:br w:type="column"/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b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s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2"/>
          <w:w w:val="130"/>
        </w:rPr>
        <w:t>t</w:t>
      </w:r>
      <w:r>
        <w:rPr>
          <w:color w:val="231F20"/>
          <w:spacing w:val="-12"/>
          <w:w w:val="130"/>
        </w:rPr>
        <w:t> 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2627998</wp:posOffset>
                </wp:positionH>
                <wp:positionV relativeFrom="paragraph">
                  <wp:posOffset>102401</wp:posOffset>
                </wp:positionV>
                <wp:extent cx="4504055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03597" y="360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63083pt;width:354.614pt;height:.28348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49"/>
        <w:ind w:left="284" w:right="100" w:firstLine="0"/>
        <w:jc w:val="both"/>
        <w:rPr>
          <w:sz w:val="14"/>
        </w:rPr>
      </w:pPr>
      <w:r>
        <w:rPr>
          <w:color w:val="231F20"/>
          <w:w w:val="115"/>
          <w:sz w:val="14"/>
        </w:rPr>
        <w:t>Patients with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mutations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in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POLG-1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gene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often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are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afﬂicted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with drug-resistant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seizures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at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an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early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age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and have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an increased risk of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valproic acid-induced acute liver failure.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Severe valproate hepatotoxicity most com- monly arises in children within the ﬁrst 3 months of treatment with an overall estimated incidence of 1 in </w:t>
      </w:r>
      <w:r>
        <w:rPr>
          <w:color w:val="231F20"/>
          <w:spacing w:val="-2"/>
          <w:w w:val="115"/>
          <w:sz w:val="14"/>
        </w:rPr>
        <w:t>40,000 treated patients. Due to high mortality rates among transplanted children, many experts consider valproic</w:t>
      </w:r>
      <w:r>
        <w:rPr>
          <w:color w:val="231F20"/>
          <w:w w:val="115"/>
          <w:sz w:val="14"/>
        </w:rPr>
        <w:t> acid-induced acute liver failure in patients with</w:t>
      </w:r>
      <w:r>
        <w:rPr>
          <w:color w:val="231F20"/>
          <w:w w:val="115"/>
          <w:sz w:val="14"/>
        </w:rPr>
        <w:t> mitochondrial disorders</w:t>
      </w:r>
      <w:r>
        <w:rPr>
          <w:color w:val="231F20"/>
          <w:w w:val="115"/>
          <w:sz w:val="14"/>
        </w:rPr>
        <w:t> to be a contraindication to liver transplant. We report the successful use of liver transplantation in a young man with valproic acid-associated acute liver failure harboring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previously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unrecognized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POLG-1 mutation.</w:t>
      </w:r>
    </w:p>
    <w:p>
      <w:pPr>
        <w:spacing w:line="159" w:lineRule="exact" w:before="0"/>
        <w:ind w:left="0" w:right="110" w:firstLine="0"/>
        <w:jc w:val="right"/>
        <w:rPr>
          <w:sz w:val="14"/>
        </w:rPr>
      </w:pPr>
      <w:r>
        <w:rPr>
          <w:color w:val="231F20"/>
          <w:spacing w:val="-2"/>
          <w:w w:val="110"/>
          <w:sz w:val="14"/>
        </w:rPr>
        <w:t>©</w:t>
      </w:r>
      <w:r>
        <w:rPr>
          <w:color w:val="231F20"/>
          <w:spacing w:val="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2019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The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Authors.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Published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by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Elsevier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Inc.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This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is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an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open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access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article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under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the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CC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BY-NC-ND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license</w:t>
      </w:r>
    </w:p>
    <w:p>
      <w:pPr>
        <w:spacing w:before="31"/>
        <w:ind w:left="0" w:right="110" w:firstLine="0"/>
        <w:jc w:val="right"/>
        <w:rPr>
          <w:sz w:val="14"/>
        </w:rPr>
      </w:pPr>
      <w:r>
        <w:rPr>
          <w:color w:val="231F20"/>
          <w:spacing w:val="-2"/>
          <w:w w:val="115"/>
          <w:sz w:val="14"/>
        </w:rPr>
        <w:t>(</w:t>
      </w:r>
      <w:hyperlink r:id="rId14">
        <w:r>
          <w:rPr>
            <w:color w:val="2E3092"/>
            <w:spacing w:val="-2"/>
            <w:w w:val="115"/>
            <w:sz w:val="14"/>
          </w:rPr>
          <w:t>http://creativecommons.org/licenses/by-nc-nd/4.0/</w:t>
        </w:r>
      </w:hyperlink>
      <w:r>
        <w:rPr>
          <w:color w:val="231F20"/>
          <w:spacing w:val="-2"/>
          <w:w w:val="11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640" w:bottom="280" w:left="566" w:right="566"/>
          <w:cols w:num="2" w:equalWidth="0">
            <w:col w:w="2705" w:space="584"/>
            <w:col w:w="7489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0" w:lineRule="exact"/>
        <w:ind w:left="2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9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592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7994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592" y="2870"/>
                                </a:lnTo>
                                <a:lnTo>
                                  <a:pt x="65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10" coordorigin="0,0" coordsize="10381,5">
                <v:shape style="position:absolute;left:0;top:0;width:10381;height:5" id="docshape11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09" w:after="0"/>
        <w:ind w:left="454" w:right="0" w:hanging="170"/>
        <w:jc w:val="left"/>
        <w:rPr>
          <w:sz w:val="16"/>
        </w:rPr>
      </w:pPr>
      <w:bookmarkStart w:name="1. Introduction" w:id="6"/>
      <w:bookmarkEnd w:id="6"/>
      <w:r>
        <w:rPr/>
      </w:r>
      <w:r>
        <w:rPr>
          <w:color w:val="231F20"/>
          <w:spacing w:val="-2"/>
          <w:w w:val="125"/>
          <w:sz w:val="16"/>
        </w:rPr>
        <w:t>Introduction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284" w:right="6" w:firstLine="239"/>
        <w:jc w:val="both"/>
      </w:pPr>
      <w:r>
        <w:rPr>
          <w:color w:val="231F20"/>
          <w:w w:val="110"/>
        </w:rPr>
        <w:t>Valproic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(VPA)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widely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branched,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medium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chain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fatty </w:t>
      </w:r>
      <w:r>
        <w:rPr>
          <w:color w:val="231F20"/>
          <w:w w:val="115"/>
        </w:rPr>
        <w:t>acid that was approved as a treatment for patients with epilepsy in 1978.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Due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its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other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beneﬁts,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VPA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received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United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States Food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Drug</w:t>
      </w:r>
      <w:r>
        <w:rPr>
          <w:color w:val="231F20"/>
          <w:w w:val="115"/>
        </w:rPr>
        <w:t> Administration</w:t>
      </w:r>
      <w:r>
        <w:rPr>
          <w:color w:val="231F20"/>
          <w:w w:val="115"/>
        </w:rPr>
        <w:t> approval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use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patients</w:t>
      </w:r>
      <w:r>
        <w:rPr>
          <w:color w:val="231F20"/>
          <w:w w:val="115"/>
        </w:rPr>
        <w:t> with bipolar disorders and recurrent migraine headaches [</w:t>
      </w:r>
      <w:hyperlink w:history="true" w:anchor="_bookmark7">
        <w:r>
          <w:rPr>
            <w:color w:val="2E3092"/>
            <w:w w:val="115"/>
          </w:rPr>
          <w:t>1</w:t>
        </w:r>
      </w:hyperlink>
      <w:r>
        <w:rPr>
          <w:color w:val="231F20"/>
          <w:w w:val="115"/>
        </w:rPr>
        <w:t>]. The use of </w:t>
      </w:r>
      <w:r>
        <w:rPr>
          <w:color w:val="231F20"/>
          <w:w w:val="110"/>
        </w:rPr>
        <w:t>VPA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epilepsy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patients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guided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response,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blood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levels, </w:t>
      </w:r>
      <w:r>
        <w:rPr>
          <w:color w:val="231F20"/>
          <w:w w:val="115"/>
        </w:rPr>
        <w:t>and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dose-dependent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side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effects.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VPA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can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cause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several</w:t>
      </w:r>
      <w:r>
        <w:rPr>
          <w:color w:val="231F20"/>
          <w:spacing w:val="6"/>
          <w:w w:val="115"/>
        </w:rPr>
        <w:t> </w:t>
      </w:r>
      <w:r>
        <w:rPr>
          <w:color w:val="231F20"/>
          <w:spacing w:val="-2"/>
          <w:w w:val="115"/>
        </w:rPr>
        <w:t>distinctive</w:t>
      </w:r>
    </w:p>
    <w:p>
      <w:pPr>
        <w:pStyle w:val="BodyText"/>
        <w:spacing w:line="185" w:lineRule="exact"/>
        <w:ind w:left="284"/>
        <w:jc w:val="both"/>
      </w:pPr>
      <w:r>
        <w:rPr>
          <w:color w:val="231F20"/>
          <w:w w:val="115"/>
        </w:rPr>
        <w:t>forms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acute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chronic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hepatic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injury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treated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patients</w:t>
      </w:r>
      <w:r>
        <w:rPr>
          <w:color w:val="231F20"/>
          <w:spacing w:val="13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8">
        <w:r>
          <w:rPr>
            <w:color w:val="2E3092"/>
            <w:spacing w:val="-2"/>
            <w:w w:val="115"/>
          </w:rPr>
          <w:t>2</w:t>
        </w:r>
        <w:r>
          <w:rPr>
            <w:rFonts w:ascii="Geneva" w:hAnsi="Geneva"/>
            <w:color w:val="2E3092"/>
            <w:spacing w:val="-2"/>
            <w:w w:val="115"/>
          </w:rPr>
          <w:t>–</w:t>
        </w:r>
        <w:r>
          <w:rPr>
            <w:color w:val="2E3092"/>
            <w:spacing w:val="-2"/>
            <w:w w:val="115"/>
          </w:rPr>
          <w:t>5</w:t>
        </w:r>
      </w:hyperlink>
      <w:r>
        <w:rPr>
          <w:color w:val="231F20"/>
          <w:spacing w:val="-2"/>
          <w:w w:val="115"/>
        </w:rPr>
        <w:t>].</w:t>
      </w:r>
    </w:p>
    <w:p>
      <w:pPr>
        <w:pStyle w:val="BodyText"/>
        <w:spacing w:line="273" w:lineRule="auto" w:before="21"/>
        <w:ind w:left="284" w:right="5"/>
        <w:jc w:val="both"/>
      </w:pPr>
      <w:r>
        <w:rPr>
          <w:color w:val="231F20"/>
          <w:w w:val="115"/>
        </w:rPr>
        <w:t>The</w:t>
      </w:r>
      <w:r>
        <w:rPr>
          <w:color w:val="231F20"/>
          <w:w w:val="115"/>
        </w:rPr>
        <w:t> most</w:t>
      </w:r>
      <w:r>
        <w:rPr>
          <w:color w:val="231F20"/>
          <w:w w:val="115"/>
        </w:rPr>
        <w:t> common</w:t>
      </w:r>
      <w:r>
        <w:rPr>
          <w:color w:val="231F20"/>
          <w:w w:val="115"/>
        </w:rPr>
        <w:t> form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injury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liver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mild</w:t>
      </w:r>
      <w:r>
        <w:rPr>
          <w:color w:val="231F20"/>
          <w:w w:val="115"/>
        </w:rPr>
        <w:t> elevation</w:t>
      </w:r>
      <w:r>
        <w:rPr>
          <w:color w:val="231F20"/>
          <w:w w:val="115"/>
        </w:rPr>
        <w:t> in </w:t>
      </w:r>
      <w:r>
        <w:rPr>
          <w:color w:val="231F20"/>
          <w:spacing w:val="-2"/>
          <w:w w:val="110"/>
        </w:rPr>
        <w:t>serum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levels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occur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up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5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10%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treated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patients </w:t>
      </w:r>
      <w:r>
        <w:rPr>
          <w:color w:val="231F20"/>
          <w:w w:val="110"/>
        </w:rPr>
        <w:t>within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12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months.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frequency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severity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self-limited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ami- </w:t>
      </w:r>
      <w:r>
        <w:rPr>
          <w:color w:val="231F20"/>
          <w:spacing w:val="-4"/>
          <w:w w:val="115"/>
        </w:rPr>
        <w:t>notransferase elevations do not appear to be related to subject age, gen- </w:t>
      </w:r>
      <w:r>
        <w:rPr>
          <w:color w:val="231F20"/>
          <w:w w:val="110"/>
        </w:rPr>
        <w:t>der,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race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dose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VPA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administered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peak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VPA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level. </w:t>
      </w:r>
      <w:bookmarkStart w:name="2. Case" w:id="7"/>
      <w:bookmarkEnd w:id="7"/>
      <w:r>
        <w:rPr>
          <w:color w:val="231F20"/>
          <w:w w:val="110"/>
        </w:rPr>
        <w:t>VP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interfere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intracellular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ammonia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metabolism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lead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systemic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hyperammonemia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syndrome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associated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mental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sta- </w:t>
      </w:r>
      <w:r>
        <w:rPr>
          <w:color w:val="231F20"/>
          <w:w w:val="115"/>
        </w:rPr>
        <w:t>tus</w:t>
      </w:r>
      <w:r>
        <w:rPr>
          <w:color w:val="231F20"/>
          <w:w w:val="115"/>
        </w:rPr>
        <w:t> changes</w:t>
      </w:r>
      <w:r>
        <w:rPr>
          <w:color w:val="231F20"/>
          <w:w w:val="115"/>
        </w:rPr>
        <w:t> despite</w:t>
      </w:r>
      <w:r>
        <w:rPr>
          <w:color w:val="231F20"/>
          <w:w w:val="115"/>
        </w:rPr>
        <w:t> normal</w:t>
      </w:r>
      <w:r>
        <w:rPr>
          <w:color w:val="231F20"/>
          <w:w w:val="115"/>
        </w:rPr>
        <w:t> hepatic</w:t>
      </w:r>
      <w:r>
        <w:rPr>
          <w:color w:val="231F20"/>
          <w:w w:val="115"/>
        </w:rPr>
        <w:t> enzymes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bilirubin</w:t>
      </w:r>
      <w:r>
        <w:rPr>
          <w:color w:val="231F20"/>
          <w:w w:val="115"/>
        </w:rPr>
        <w:t> levels. Hyperammonemia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commonly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seen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during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ﬁrst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6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months of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therapy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can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occur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later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treatment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dose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escalations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and </w:t>
      </w:r>
      <w:r>
        <w:rPr>
          <w:color w:val="231F20"/>
          <w:spacing w:val="-2"/>
          <w:w w:val="115"/>
        </w:rPr>
        <w:t>usually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resolves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either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holding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reducing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dose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VPA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by </w:t>
      </w:r>
      <w:r>
        <w:rPr>
          <w:color w:val="231F20"/>
          <w:w w:val="115"/>
        </w:rPr>
        <w:t>giving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  <w:sz w:val="12"/>
        </w:rPr>
        <w:t>L</w:t>
      </w:r>
      <w:r>
        <w:rPr>
          <w:color w:val="231F20"/>
          <w:w w:val="115"/>
        </w:rPr>
        <w:t>-carnitine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supplementation [</w:t>
      </w:r>
      <w:hyperlink w:history="true" w:anchor="_bookmark11">
        <w:r>
          <w:rPr>
            <w:color w:val="2E3092"/>
            <w:w w:val="115"/>
          </w:rPr>
          <w:t>6</w:t>
        </w:r>
      </w:hyperlink>
      <w:r>
        <w:rPr>
          <w:color w:val="231F20"/>
          <w:w w:val="115"/>
        </w:rPr>
        <w:t>].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 third and least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common </w:t>
      </w:r>
      <w:r>
        <w:rPr>
          <w:color w:val="231F20"/>
          <w:w w:val="110"/>
        </w:rPr>
        <w:t>phenotype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VPA-mediated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injury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liver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acute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hepatocellular</w:t>
      </w:r>
    </w:p>
    <w:p>
      <w:pPr>
        <w:pStyle w:val="BodyText"/>
        <w:spacing w:before="4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542163</wp:posOffset>
                </wp:positionH>
                <wp:positionV relativeFrom="paragraph">
                  <wp:posOffset>190037</wp:posOffset>
                </wp:positionV>
                <wp:extent cx="45402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690002pt;margin-top:14.963596pt;width:35.717002pt;height:.226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97" w:lineRule="auto" w:before="49"/>
        <w:ind w:left="287" w:right="0" w:firstLine="249"/>
        <w:jc w:val="left"/>
        <w:rPr>
          <w:sz w:val="12"/>
        </w:rPr>
      </w:pPr>
      <w:r>
        <w:rPr>
          <w:i/>
          <w:color w:val="231F20"/>
          <w:spacing w:val="-2"/>
          <w:w w:val="115"/>
          <w:sz w:val="12"/>
        </w:rPr>
        <w:t>Abbreviations:</w:t>
      </w:r>
      <w:r>
        <w:rPr>
          <w:i/>
          <w:color w:val="231F20"/>
          <w:spacing w:val="-12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ALF,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acute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liver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failure;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DILI,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drug-induced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liver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injury;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ULN,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upper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limit</w:t>
      </w:r>
      <w:r>
        <w:rPr>
          <w:color w:val="231F20"/>
          <w:spacing w:val="40"/>
          <w:w w:val="115"/>
          <w:sz w:val="12"/>
        </w:rPr>
        <w:t> </w:t>
      </w:r>
      <w:bookmarkStart w:name="_bookmark4" w:id="8"/>
      <w:bookmarkEnd w:id="8"/>
      <w:r>
        <w:rPr>
          <w:color w:val="231F20"/>
          <w:w w:val="115"/>
          <w:sz w:val="12"/>
        </w:rPr>
        <w:t>of</w:t>
      </w:r>
      <w:r>
        <w:rPr>
          <w:color w:val="231F20"/>
          <w:w w:val="115"/>
          <w:sz w:val="12"/>
        </w:rPr>
        <w:t> normal; VPA, valproic acid.</w:t>
      </w:r>
    </w:p>
    <w:p>
      <w:pPr>
        <w:spacing w:line="142" w:lineRule="exact" w:before="0"/>
        <w:ind w:left="396" w:right="0" w:firstLine="0"/>
        <w:jc w:val="left"/>
        <w:rPr>
          <w:sz w:val="12"/>
        </w:rPr>
      </w:pPr>
      <w:r>
        <w:rPr>
          <w:rFonts w:ascii="Geneva" w:hAnsi="Geneva"/>
          <w:color w:val="231F20"/>
          <w:w w:val="110"/>
          <w:sz w:val="12"/>
        </w:rPr>
        <w:t>⁎</w:t>
      </w:r>
      <w:r>
        <w:rPr>
          <w:rFonts w:ascii="Geneva" w:hAnsi="Geneva"/>
          <w:color w:val="231F20"/>
          <w:spacing w:val="53"/>
          <w:w w:val="110"/>
          <w:sz w:val="12"/>
        </w:rPr>
        <w:t> </w:t>
      </w:r>
      <w:r>
        <w:rPr>
          <w:color w:val="231F20"/>
          <w:w w:val="110"/>
          <w:sz w:val="12"/>
        </w:rPr>
        <w:t>Corresponding</w:t>
      </w:r>
      <w:r>
        <w:rPr>
          <w:color w:val="231F20"/>
          <w:spacing w:val="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author.</w:t>
      </w:r>
    </w:p>
    <w:p>
      <w:pPr>
        <w:spacing w:before="30"/>
        <w:ind w:left="527" w:right="0" w:firstLine="0"/>
        <w:jc w:val="left"/>
        <w:rPr>
          <w:sz w:val="12"/>
        </w:rPr>
      </w:pPr>
      <w:r>
        <w:rPr>
          <w:i/>
          <w:color w:val="231F20"/>
          <w:spacing w:val="-2"/>
          <w:w w:val="115"/>
          <w:sz w:val="12"/>
        </w:rPr>
        <w:t>E-mail</w:t>
      </w:r>
      <w:r>
        <w:rPr>
          <w:i/>
          <w:color w:val="231F20"/>
          <w:spacing w:val="2"/>
          <w:w w:val="115"/>
          <w:sz w:val="12"/>
        </w:rPr>
        <w:t> </w:t>
      </w:r>
      <w:r>
        <w:rPr>
          <w:i/>
          <w:color w:val="231F20"/>
          <w:spacing w:val="-2"/>
          <w:w w:val="115"/>
          <w:sz w:val="12"/>
        </w:rPr>
        <w:t>address:</w:t>
      </w:r>
      <w:r>
        <w:rPr>
          <w:i/>
          <w:color w:val="231F20"/>
          <w:spacing w:val="2"/>
          <w:w w:val="115"/>
          <w:sz w:val="12"/>
        </w:rPr>
        <w:t> </w:t>
      </w:r>
      <w:hyperlink r:id="rId15">
        <w:r>
          <w:rPr>
            <w:color w:val="2E3092"/>
            <w:spacing w:val="-2"/>
            <w:w w:val="115"/>
            <w:sz w:val="12"/>
          </w:rPr>
          <w:t>john.bassett@sanfordhealth.org</w:t>
        </w:r>
      </w:hyperlink>
      <w:r>
        <w:rPr>
          <w:color w:val="2E3092"/>
          <w:spacing w:val="1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(J.T.</w:t>
      </w:r>
      <w:r>
        <w:rPr>
          <w:color w:val="231F20"/>
          <w:spacing w:val="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Bassett).</w:t>
      </w:r>
    </w:p>
    <w:p>
      <w:pPr>
        <w:pStyle w:val="BodyText"/>
        <w:spacing w:line="273" w:lineRule="auto" w:before="109"/>
        <w:ind w:left="284" w:right="104"/>
        <w:jc w:val="both"/>
      </w:pPr>
      <w:r>
        <w:rPr/>
        <w:br w:type="column"/>
      </w:r>
      <w:r>
        <w:rPr>
          <w:color w:val="231F20"/>
          <w:w w:val="115"/>
        </w:rPr>
        <w:t>injury with jaundice and/or coagulopathy. The liver biopsy in these </w:t>
      </w:r>
      <w:r>
        <w:rPr>
          <w:color w:val="231F20"/>
          <w:spacing w:val="-2"/>
          <w:w w:val="115"/>
        </w:rPr>
        <w:t>cases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typically shows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microvesicular steatosis and varying degrees </w:t>
      </w:r>
      <w:r>
        <w:rPr>
          <w:color w:val="231F20"/>
          <w:spacing w:val="-2"/>
          <w:w w:val="115"/>
        </w:rPr>
        <w:t>of </w:t>
      </w:r>
      <w:r>
        <w:rPr>
          <w:color w:val="231F20"/>
          <w:w w:val="110"/>
        </w:rPr>
        <w:t>centrolobular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inﬂammation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necrosis.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demonstrate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chil- </w:t>
      </w:r>
      <w:r>
        <w:rPr>
          <w:color w:val="231F20"/>
          <w:w w:val="115"/>
        </w:rPr>
        <w:t>dren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under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age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two,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patients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multiple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antiseizure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drugs,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and </w:t>
      </w:r>
      <w:r>
        <w:rPr>
          <w:color w:val="231F20"/>
          <w:spacing w:val="-2"/>
          <w:w w:val="115"/>
        </w:rPr>
        <w:t>those with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inherited mitochondrial disorders are particularly suscepti- </w:t>
      </w:r>
      <w:r>
        <w:rPr>
          <w:color w:val="231F20"/>
          <w:w w:val="110"/>
        </w:rPr>
        <w:t>ble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potentially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severe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liver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injury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100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fatalities</w:t>
      </w:r>
    </w:p>
    <w:p>
      <w:pPr>
        <w:pStyle w:val="BodyText"/>
        <w:spacing w:line="186" w:lineRule="exact"/>
        <w:ind w:left="284"/>
        <w:jc w:val="both"/>
      </w:pPr>
      <w:r>
        <w:rPr>
          <w:color w:val="231F20"/>
          <w:w w:val="115"/>
        </w:rPr>
        <w:t>reported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literature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[</w:t>
      </w:r>
      <w:hyperlink w:history="true" w:anchor="_bookmark8">
        <w:r>
          <w:rPr>
            <w:color w:val="2E3092"/>
            <w:w w:val="115"/>
          </w:rPr>
          <w:t>2</w:t>
        </w:r>
        <w:r>
          <w:rPr>
            <w:rFonts w:ascii="Geneva" w:hAnsi="Geneva"/>
            <w:color w:val="2E3092"/>
            <w:w w:val="115"/>
          </w:rPr>
          <w:t>–</w:t>
        </w:r>
        <w:r>
          <w:rPr>
            <w:color w:val="2E3092"/>
            <w:w w:val="115"/>
          </w:rPr>
          <w:t>5</w:t>
        </w:r>
      </w:hyperlink>
      <w:r>
        <w:rPr>
          <w:color w:val="231F20"/>
          <w:w w:val="115"/>
        </w:rPr>
        <w:t>].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Patients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mutations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"/>
          <w:w w:val="115"/>
        </w:rPr>
        <w:t> </w:t>
      </w:r>
      <w:r>
        <w:rPr>
          <w:color w:val="231F20"/>
          <w:spacing w:val="-2"/>
          <w:w w:val="115"/>
        </w:rPr>
        <w:t>mito-</w:t>
      </w:r>
    </w:p>
    <w:p>
      <w:pPr>
        <w:pStyle w:val="BodyText"/>
        <w:spacing w:line="273" w:lineRule="auto" w:before="18"/>
        <w:ind w:left="284" w:right="104"/>
        <w:jc w:val="both"/>
      </w:pPr>
      <w:r>
        <w:rPr>
          <w:color w:val="231F20"/>
          <w:spacing w:val="-2"/>
          <w:w w:val="110"/>
        </w:rPr>
        <w:t>chondrial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DNA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(mtDNA)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polymerase</w:t>
      </w:r>
      <w:r>
        <w:rPr>
          <w:color w:val="231F20"/>
          <w:spacing w:val="-9"/>
          <w:w w:val="110"/>
        </w:rPr>
        <w:t> </w:t>
      </w:r>
      <w:r>
        <w:rPr>
          <w:rFonts w:ascii="Arial" w:hAnsi="Arial"/>
          <w:color w:val="231F20"/>
          <w:spacing w:val="-2"/>
          <w:w w:val="110"/>
        </w:rPr>
        <w:t>Ɣ</w:t>
      </w:r>
      <w:r>
        <w:rPr>
          <w:rFonts w:ascii="Arial" w:hAnsi="Arial"/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(POLG-1)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gene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appear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par- </w:t>
      </w:r>
      <w:r>
        <w:rPr>
          <w:color w:val="231F20"/>
          <w:w w:val="110"/>
        </w:rPr>
        <w:t>ticularly</w:t>
      </w:r>
      <w:r>
        <w:rPr>
          <w:color w:val="231F20"/>
          <w:w w:val="110"/>
        </w:rPr>
        <w:t> susceptible</w:t>
      </w:r>
      <w:r>
        <w:rPr>
          <w:color w:val="231F20"/>
          <w:w w:val="110"/>
        </w:rPr>
        <w:t> to severe hepatic</w:t>
      </w:r>
      <w:r>
        <w:rPr>
          <w:color w:val="231F20"/>
          <w:w w:val="110"/>
        </w:rPr>
        <w:t> injury [</w:t>
      </w:r>
      <w:hyperlink w:history="true" w:anchor="_bookmark12">
        <w:r>
          <w:rPr>
            <w:color w:val="2E3092"/>
            <w:w w:val="110"/>
          </w:rPr>
          <w:t>7</w:t>
        </w:r>
      </w:hyperlink>
      <w:r>
        <w:rPr>
          <w:color w:val="231F20"/>
          <w:w w:val="110"/>
        </w:rPr>
        <w:t>].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result, the </w:t>
      </w:r>
      <w:r>
        <w:rPr>
          <w:color w:val="231F20"/>
        </w:rPr>
        <w:t>prescribing information for VPA contains a BLACK-BOX warning stating</w:t>
      </w:r>
      <w:r>
        <w:rPr>
          <w:color w:val="231F20"/>
          <w:w w:val="110"/>
        </w:rPr>
        <w:t> that the medication is contraindicated in patients with known mito- chondrial</w:t>
      </w:r>
      <w:r>
        <w:rPr>
          <w:color w:val="231F20"/>
          <w:w w:val="110"/>
        </w:rPr>
        <w:t> disorders</w:t>
      </w:r>
      <w:r>
        <w:rPr>
          <w:color w:val="231F20"/>
          <w:w w:val="110"/>
        </w:rPr>
        <w:t> caused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POLG</w:t>
      </w:r>
      <w:r>
        <w:rPr>
          <w:color w:val="231F20"/>
          <w:w w:val="110"/>
        </w:rPr>
        <w:t> mutations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children</w:t>
      </w:r>
      <w:r>
        <w:rPr>
          <w:color w:val="231F20"/>
          <w:w w:val="110"/>
        </w:rPr>
        <w:t> under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years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age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who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clinically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suspected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having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mitochondrial disorder. When the drug is used in children less than 2 years of age it should be given with extreme caution and as a sole agent [</w:t>
      </w:r>
      <w:hyperlink w:history="true" w:anchor="_bookmark9">
        <w:r>
          <w:rPr>
            <w:color w:val="2E3092"/>
            <w:w w:val="110"/>
          </w:rPr>
          <w:t>3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169"/>
        <w:jc w:val="left"/>
        <w:rPr>
          <w:sz w:val="16"/>
        </w:rPr>
      </w:pPr>
      <w:r>
        <w:rPr>
          <w:color w:val="231F20"/>
          <w:spacing w:val="-4"/>
          <w:w w:val="110"/>
          <w:sz w:val="16"/>
        </w:rPr>
        <w:t>Case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284" w:right="104" w:firstLine="239"/>
        <w:jc w:val="both"/>
      </w:pP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20-year-old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previously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healthy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caucasian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experienced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multi- </w:t>
      </w:r>
      <w:r>
        <w:rPr>
          <w:color w:val="231F20"/>
          <w:w w:val="115"/>
        </w:rPr>
        <w:t>ple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focal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aware-motor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seizures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involving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left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upper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lower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ex- tremity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July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2017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after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initiating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boot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camp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exercises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military recruit. He subsequently developed generalized motor seizures. His </w:t>
      </w:r>
      <w:r>
        <w:rPr>
          <w:color w:val="231F20"/>
          <w:spacing w:val="-2"/>
          <w:w w:val="115"/>
        </w:rPr>
        <w:t>past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medical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history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family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history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were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negative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epilepsy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and 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receiving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no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antiseizure medication.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patient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underwent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an </w:t>
      </w:r>
      <w:r>
        <w:rPr>
          <w:color w:val="231F20"/>
          <w:w w:val="110"/>
        </w:rPr>
        <w:t>extensive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medical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evaluation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including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MRI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brain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showed </w:t>
      </w:r>
      <w:r>
        <w:rPr>
          <w:color w:val="231F20"/>
          <w:spacing w:val="-2"/>
          <w:w w:val="115"/>
        </w:rPr>
        <w:t>bilateral multifocal areas of gyriform-restricted diffusion with </w:t>
      </w:r>
      <w:r>
        <w:rPr>
          <w:color w:val="231F20"/>
          <w:spacing w:val="-2"/>
          <w:w w:val="115"/>
        </w:rPr>
        <w:t>associ- </w:t>
      </w:r>
      <w:r>
        <w:rPr>
          <w:color w:val="231F20"/>
          <w:w w:val="110"/>
        </w:rPr>
        <w:t>ated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cortical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thickening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T2/FLAIR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hyperintensity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pronounced </w:t>
      </w:r>
      <w:r>
        <w:rPr>
          <w:color w:val="231F20"/>
          <w:w w:val="115"/>
        </w:rPr>
        <w:t>in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posterior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right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frontal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lobe.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He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had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an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EEG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performed</w:t>
      </w:r>
      <w:r>
        <w:rPr>
          <w:color w:val="231F20"/>
          <w:spacing w:val="17"/>
          <w:w w:val="115"/>
        </w:rPr>
        <w:t> </w:t>
      </w:r>
      <w:r>
        <w:rPr>
          <w:color w:val="231F20"/>
          <w:spacing w:val="-4"/>
          <w:w w:val="115"/>
        </w:rPr>
        <w:t>that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316" w:space="44"/>
            <w:col w:w="541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284" w:right="0" w:firstLine="0"/>
        <w:jc w:val="left"/>
        <w:rPr>
          <w:sz w:val="12"/>
        </w:rPr>
      </w:pPr>
      <w:hyperlink r:id="rId11">
        <w:r>
          <w:rPr>
            <w:color w:val="2E3092"/>
            <w:spacing w:val="-2"/>
            <w:w w:val="120"/>
            <w:sz w:val="12"/>
          </w:rPr>
          <w:t>https://doi.org/10.1016/j.ebr.2019.100342</w:t>
        </w:r>
      </w:hyperlink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2589-9864/©</w:t>
      </w:r>
      <w:r>
        <w:rPr>
          <w:color w:val="231F20"/>
          <w:spacing w:val="7"/>
          <w:w w:val="115"/>
          <w:sz w:val="12"/>
        </w:rPr>
        <w:t> </w:t>
      </w:r>
      <w:r>
        <w:rPr>
          <w:color w:val="231F20"/>
          <w:w w:val="115"/>
          <w:sz w:val="12"/>
        </w:rPr>
        <w:t>2019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Authors. Published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by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Elsevier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Inc.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This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is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an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open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access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article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under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CC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BY-NC-ND license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(</w:t>
      </w:r>
      <w:hyperlink r:id="rId14">
        <w:r>
          <w:rPr>
            <w:color w:val="2E3092"/>
            <w:w w:val="115"/>
            <w:sz w:val="12"/>
          </w:rPr>
          <w:t>http://creativecommons.org/licenses/by-nc-</w:t>
        </w:r>
        <w:r>
          <w:rPr>
            <w:color w:val="2E3092"/>
            <w:spacing w:val="-2"/>
            <w:w w:val="115"/>
            <w:sz w:val="12"/>
          </w:rPr>
          <w:t>nd/4.0/</w:t>
        </w:r>
      </w:hyperlink>
      <w:r>
        <w:rPr>
          <w:color w:val="231F20"/>
          <w:spacing w:val="-2"/>
          <w:w w:val="115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640" w:bottom="280" w:left="566" w:right="566"/>
        </w:sectPr>
      </w:pPr>
    </w:p>
    <w:p>
      <w:pPr>
        <w:tabs>
          <w:tab w:pos="3535" w:val="left" w:leader="none"/>
        </w:tabs>
        <w:spacing w:before="90"/>
        <w:ind w:left="108" w:right="0" w:firstLine="0"/>
        <w:jc w:val="left"/>
        <w:rPr>
          <w:i/>
          <w:sz w:val="12"/>
        </w:rPr>
      </w:pPr>
      <w:bookmarkStart w:name="3. Discussion" w:id="9"/>
      <w:bookmarkEnd w:id="9"/>
      <w:r>
        <w:rPr/>
      </w:r>
      <w:r>
        <w:rPr>
          <w:color w:val="231F20"/>
          <w:spacing w:val="-10"/>
          <w:w w:val="110"/>
          <w:sz w:val="12"/>
        </w:rPr>
        <w:t>2</w:t>
      </w:r>
      <w:r>
        <w:rPr>
          <w:color w:val="231F20"/>
          <w:sz w:val="12"/>
        </w:rPr>
        <w:tab/>
      </w:r>
      <w:r>
        <w:rPr>
          <w:i/>
          <w:color w:val="231F20"/>
          <w:w w:val="110"/>
          <w:sz w:val="12"/>
        </w:rPr>
        <w:t>J.T.</w:t>
      </w:r>
      <w:r>
        <w:rPr>
          <w:i/>
          <w:color w:val="231F20"/>
          <w:spacing w:val="-7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Bassett</w:t>
      </w:r>
      <w:r>
        <w:rPr>
          <w:i/>
          <w:color w:val="231F20"/>
          <w:spacing w:val="-6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et</w:t>
      </w:r>
      <w:r>
        <w:rPr>
          <w:i/>
          <w:color w:val="231F20"/>
          <w:spacing w:val="-7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al.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/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Epilepsy</w:t>
      </w:r>
      <w:r>
        <w:rPr>
          <w:i/>
          <w:color w:val="231F20"/>
          <w:spacing w:val="-7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&amp;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Behavior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Reports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12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(2019)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100342</w:t>
      </w:r>
    </w:p>
    <w:p>
      <w:pPr>
        <w:pStyle w:val="BodyText"/>
        <w:spacing w:before="8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line="273" w:lineRule="auto" w:before="107"/>
        <w:ind w:left="108" w:right="38"/>
        <w:jc w:val="right"/>
      </w:pPr>
      <w:r>
        <w:rPr>
          <w:color w:val="231F20"/>
          <w:w w:val="110"/>
        </w:rPr>
        <w:t>showed focal motor status epilepticus emanating from the right frontal region associated wtih myoclonic jerks. The patient underwent a lum- bar puncture that showed elevated protein and B2 microglobulin. </w:t>
      </w:r>
      <w:r>
        <w:rPr>
          <w:color w:val="231F20"/>
          <w:w w:val="110"/>
        </w:rPr>
        <w:t>For the diagnosis of focal motor status epilepticus, the patient was treated with a series of antiseizure medications including levetiracetam, phe- nytoin,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lacosamide.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progressive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neurological symptoms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including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persistent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upper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lower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extremity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focal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sei- zures,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mental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status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ﬂuctuations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weakness,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required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hospitaliza- tion and was diagnosed with presumed autoimmune encephalopathy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PET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scan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showed large areas of hypermetabolic activity in the right parietal lobe, thala- mus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cerebellum.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cerebral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angiogram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unremarkable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with- out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evidence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vasculitis.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immunoglobulin,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plasma exchange, cyclophosphamide, mycophenolate mofetil and rituximab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infusions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well 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high dose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corticosteroids.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CSF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testing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pres- ence of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anti-NMDA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antibodies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negative. The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patient's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seizures eventually were controlled with the addition of valproic acid that was initiated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October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2017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dose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1000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mg/day.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note,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pretreat- ment liver biochemical analyses were normal. Follow-up lab work in December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2017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demonstrated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AST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28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IU/L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ALT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of 73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IU/L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bilirubin 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0.6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mg/dl 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valproate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dose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in- creased to 1500 mg per day due to a low serum concentration (</w:t>
      </w:r>
      <w:hyperlink w:history="true" w:anchor="_bookmark5">
        <w:r>
          <w:rPr>
            <w:color w:val="2E3092"/>
            <w:w w:val="110"/>
          </w:rPr>
          <w:t>Fig. 1</w:t>
        </w:r>
      </w:hyperlink>
      <w:r>
        <w:rPr>
          <w:color w:val="231F20"/>
          <w:w w:val="110"/>
        </w:rPr>
        <w:t>). In January 2018 the patient developed extreme fatigue, lethargy, and nausea with vomiting and subsequent jaundice, mental status changes and coagulopathy. At the time of hospitalization he had a serum AST </w:t>
      </w:r>
      <w:r>
        <w:rPr>
          <w:color w:val="231F20"/>
        </w:rPr>
        <w:t>161 IU/L, ALT 283 IU/L bilirubin 4.5 mg/dl and INR of 3.1 with no eosin-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ophilia.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initial NH</w:t>
      </w:r>
      <w:r>
        <w:rPr>
          <w:color w:val="231F20"/>
          <w:w w:val="110"/>
          <w:vertAlign w:val="subscript"/>
        </w:rPr>
        <w:t>3</w:t>
      </w:r>
      <w:r>
        <w:rPr>
          <w:color w:val="231F20"/>
          <w:w w:val="110"/>
          <w:vertAlign w:val="baseline"/>
        </w:rPr>
        <w:t> level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elevated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70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Arial" w:hAnsi="Arial"/>
          <w:color w:val="231F20"/>
          <w:w w:val="110"/>
          <w:vertAlign w:val="baseline"/>
        </w:rPr>
        <w:t>μ</w:t>
      </w:r>
      <w:r>
        <w:rPr>
          <w:color w:val="231F20"/>
          <w:w w:val="110"/>
          <w:vertAlign w:val="baseline"/>
        </w:rPr>
        <w:t>g/dl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Nov 2017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remained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elevated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60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Arial" w:hAnsi="Arial"/>
          <w:color w:val="231F20"/>
          <w:w w:val="110"/>
          <w:vertAlign w:val="baseline"/>
        </w:rPr>
        <w:t>μ</w:t>
      </w:r>
      <w:r>
        <w:rPr>
          <w:color w:val="231F20"/>
          <w:w w:val="110"/>
          <w:vertAlign w:val="baseline"/>
        </w:rPr>
        <w:t>g/dl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January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2018.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Evaluation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hepatitis A,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CMV/EBV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infection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negative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liver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imaging.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liver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biopsy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microvascular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steatosis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associated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ne- crosis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consistent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drug-induced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hepatotoxicity.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Despite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discontinu- ation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VPA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-acetylcysteine,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his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liver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continued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decline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underwent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emergency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orthotopic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liver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transplantation</w:t>
      </w:r>
    </w:p>
    <w:p>
      <w:pPr>
        <w:pStyle w:val="BodyText"/>
        <w:spacing w:line="273" w:lineRule="auto" w:before="107"/>
        <w:ind w:left="108" w:right="282"/>
        <w:jc w:val="both"/>
      </w:pPr>
      <w:r>
        <w:rPr/>
        <w:br w:type="column"/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February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2018.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explanted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liver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weighed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1332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demonstrated </w:t>
      </w:r>
      <w:r>
        <w:rPr>
          <w:color w:val="231F20"/>
          <w:w w:val="115"/>
        </w:rPr>
        <w:t>regenerative nodules with extensive necrosis and early cirrhosis on </w:t>
      </w:r>
      <w:r>
        <w:rPr>
          <w:color w:val="231F20"/>
          <w:spacing w:val="-2"/>
          <w:w w:val="115"/>
        </w:rPr>
        <w:t>trichrome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stain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(</w:t>
      </w:r>
      <w:hyperlink w:history="true" w:anchor="_bookmark6">
        <w:r>
          <w:rPr>
            <w:color w:val="2E3092"/>
            <w:spacing w:val="-2"/>
            <w:w w:val="115"/>
          </w:rPr>
          <w:t>Fig.</w:t>
        </w:r>
        <w:r>
          <w:rPr>
            <w:color w:val="2E3092"/>
            <w:spacing w:val="-3"/>
            <w:w w:val="115"/>
          </w:rPr>
          <w:t> </w:t>
        </w:r>
        <w:r>
          <w:rPr>
            <w:color w:val="2E3092"/>
            <w:spacing w:val="-2"/>
            <w:w w:val="115"/>
          </w:rPr>
          <w:t>2</w:t>
        </w:r>
      </w:hyperlink>
      <w:r>
        <w:rPr>
          <w:color w:val="231F20"/>
          <w:spacing w:val="-2"/>
          <w:w w:val="115"/>
        </w:rPr>
        <w:t>).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Post-operative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genetic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testing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demonstrated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 homozygous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pathogenic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variant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POLG-1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gene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(A467T).</w:t>
      </w: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w w:val="115"/>
        </w:rPr>
        <w:t>Early in the course following transplantation the patient experi- enced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several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focal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aware-motor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seizures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involved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left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upper and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lower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extremity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successfully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managed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combina- </w:t>
      </w:r>
      <w:r>
        <w:rPr>
          <w:color w:val="231F20"/>
          <w:w w:val="110"/>
        </w:rPr>
        <w:t>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levetiracetam,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lacosamide,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pregabalin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topiramate.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Oc- </w:t>
      </w:r>
      <w:r>
        <w:rPr>
          <w:color w:val="231F20"/>
          <w:w w:val="115"/>
        </w:rPr>
        <w:t>tober 2019, he continues to have preserved allograft function with normal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liver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enzyme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tests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while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receiving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tacrolimus,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prednisone,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  <w:sz w:val="12"/>
        </w:rPr>
        <w:t>L</w:t>
      </w:r>
      <w:r>
        <w:rPr>
          <w:color w:val="231F20"/>
          <w:w w:val="115"/>
        </w:rPr>
        <w:t>- carnitine and Co-enzyme Q-10.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7" w:right="0" w:hanging="169"/>
        <w:jc w:val="left"/>
        <w:rPr>
          <w:sz w:val="16"/>
        </w:rPr>
      </w:pPr>
      <w:r>
        <w:rPr>
          <w:color w:val="231F20"/>
          <w:spacing w:val="-2"/>
          <w:w w:val="115"/>
          <w:sz w:val="16"/>
        </w:rPr>
        <w:t>Discussion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108" w:right="280" w:firstLine="239"/>
        <w:jc w:val="both"/>
      </w:pPr>
      <w:r>
        <w:rPr>
          <w:color w:val="231F20"/>
          <w:w w:val="110"/>
        </w:rPr>
        <w:t>Patients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POLG-1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gene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encoding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mitochondrial </w:t>
      </w:r>
      <w:r>
        <w:rPr>
          <w:color w:val="231F20"/>
          <w:w w:val="115"/>
        </w:rPr>
        <w:t>DNA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polymerase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often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afﬂicted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drug-resistant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seizures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and </w:t>
      </w:r>
      <w:r>
        <w:rPr>
          <w:color w:val="231F20"/>
          <w:w w:val="110"/>
        </w:rPr>
        <w:t>progressive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neurological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dysfunction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young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age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3">
        <w:r>
          <w:rPr>
            <w:color w:val="2E3092"/>
            <w:w w:val="110"/>
          </w:rPr>
          <w:t>8</w:t>
        </w:r>
      </w:hyperlink>
      <w:r>
        <w:rPr>
          <w:color w:val="231F20"/>
          <w:w w:val="110"/>
        </w:rPr>
        <w:t>,</w:t>
      </w:r>
      <w:hyperlink w:history="true" w:anchor="_bookmark14">
        <w:r>
          <w:rPr>
            <w:color w:val="2E3092"/>
            <w:w w:val="110"/>
          </w:rPr>
          <w:t>9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hetero- zygotes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homozygotes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point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POLG-1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gene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are 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increased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risk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developing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injury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liver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VPA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espe- </w:t>
      </w:r>
      <w:r>
        <w:rPr>
          <w:color w:val="231F20"/>
          <w:w w:val="115"/>
        </w:rPr>
        <w:t>cially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patients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given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drug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tends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develop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within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ﬁrst 3</w:t>
      </w:r>
      <w:r>
        <w:rPr>
          <w:color w:val="231F20"/>
          <w:w w:val="115"/>
        </w:rPr>
        <w:t> months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treatment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those</w:t>
      </w:r>
      <w:r>
        <w:rPr>
          <w:color w:val="231F20"/>
          <w:w w:val="115"/>
        </w:rPr>
        <w:t> receiving</w:t>
      </w:r>
      <w:r>
        <w:rPr>
          <w:color w:val="231F20"/>
          <w:w w:val="115"/>
        </w:rPr>
        <w:t> multiple</w:t>
      </w:r>
      <w:r>
        <w:rPr>
          <w:color w:val="231F20"/>
          <w:w w:val="115"/>
        </w:rPr>
        <w:t> antiseizure drugs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[</w:t>
      </w:r>
      <w:hyperlink w:history="true" w:anchor="_bookmark8">
        <w:r>
          <w:rPr>
            <w:color w:val="2E3092"/>
            <w:w w:val="115"/>
          </w:rPr>
          <w:t>2</w:t>
        </w:r>
      </w:hyperlink>
      <w:r>
        <w:rPr>
          <w:color w:val="231F20"/>
          <w:w w:val="115"/>
        </w:rPr>
        <w:t>].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VPA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may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inhibit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mitochondrial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beta-oxidation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through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 </w:t>
      </w:r>
      <w:r>
        <w:rPr>
          <w:color w:val="231F20"/>
          <w:spacing w:val="-2"/>
          <w:w w:val="115"/>
        </w:rPr>
        <w:t>microsomal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production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toxic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metabolites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via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direct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effects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mi- tochondrial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function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15">
        <w:r>
          <w:rPr>
            <w:color w:val="2E3092"/>
            <w:spacing w:val="-2"/>
            <w:w w:val="115"/>
          </w:rPr>
          <w:t>10</w:t>
        </w:r>
      </w:hyperlink>
      <w:r>
        <w:rPr>
          <w:color w:val="231F20"/>
          <w:spacing w:val="-2"/>
          <w:w w:val="115"/>
        </w:rPr>
        <w:t>,</w:t>
      </w:r>
      <w:hyperlink w:history="true" w:anchor="_bookmark15">
        <w:r>
          <w:rPr>
            <w:color w:val="2E3092"/>
            <w:spacing w:val="-2"/>
            <w:w w:val="115"/>
          </w:rPr>
          <w:t>11</w:t>
        </w:r>
      </w:hyperlink>
      <w:r>
        <w:rPr>
          <w:color w:val="231F20"/>
          <w:spacing w:val="-2"/>
          <w:w w:val="115"/>
        </w:rPr>
        <w:t>].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estimated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prevalence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nuclear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and </w:t>
      </w:r>
      <w:r>
        <w:rPr>
          <w:color w:val="231F20"/>
          <w:w w:val="115"/>
        </w:rPr>
        <w:t>mitochondrial</w:t>
      </w:r>
      <w:r>
        <w:rPr>
          <w:color w:val="231F20"/>
          <w:w w:val="115"/>
        </w:rPr>
        <w:t> disorders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adult</w:t>
      </w:r>
      <w:r>
        <w:rPr>
          <w:color w:val="231F20"/>
          <w:w w:val="115"/>
        </w:rPr>
        <w:t> general</w:t>
      </w:r>
      <w:r>
        <w:rPr>
          <w:color w:val="231F20"/>
          <w:w w:val="115"/>
        </w:rPr>
        <w:t> population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7</w:t>
      </w:r>
      <w:r>
        <w:rPr>
          <w:color w:val="231F20"/>
          <w:w w:val="115"/>
        </w:rPr>
        <w:t> per 100,000.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Prior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case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series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report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1-year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survival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rate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low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18% </w:t>
      </w:r>
      <w:r>
        <w:rPr>
          <w:color w:val="231F20"/>
          <w:w w:val="110"/>
        </w:rPr>
        <w:t>in children transplanted for VPA-induced ALF who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have 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known mi- </w:t>
      </w:r>
      <w:r>
        <w:rPr>
          <w:color w:val="231F20"/>
          <w:spacing w:val="-2"/>
          <w:w w:val="115"/>
        </w:rPr>
        <w:t>tochondrial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disorder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15">
        <w:r>
          <w:rPr>
            <w:color w:val="2E3092"/>
            <w:spacing w:val="-2"/>
            <w:w w:val="115"/>
          </w:rPr>
          <w:t>12</w:t>
        </w:r>
      </w:hyperlink>
      <w:r>
        <w:rPr>
          <w:color w:val="231F20"/>
          <w:spacing w:val="-2"/>
          <w:w w:val="115"/>
        </w:rPr>
        <w:t>].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result,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many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experts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advise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against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pro- </w:t>
      </w:r>
      <w:r>
        <w:rPr>
          <w:color w:val="231F20"/>
          <w:w w:val="115"/>
        </w:rPr>
        <w:t>ceeding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liver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transplantation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children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VPA-related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ALF </w:t>
      </w:r>
      <w:r>
        <w:rPr>
          <w:color w:val="231F20"/>
          <w:spacing w:val="-2"/>
          <w:w w:val="110"/>
        </w:rPr>
        <w:t>who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have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known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POLG1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mutations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15">
        <w:r>
          <w:rPr>
            <w:color w:val="2E3092"/>
            <w:spacing w:val="-2"/>
            <w:w w:val="110"/>
          </w:rPr>
          <w:t>13</w:t>
        </w:r>
      </w:hyperlink>
      <w:r>
        <w:rPr>
          <w:color w:val="231F20"/>
          <w:spacing w:val="-2"/>
          <w:w w:val="110"/>
        </w:rPr>
        <w:t>,</w:t>
      </w:r>
      <w:hyperlink w:history="true" w:anchor="_bookmark15">
        <w:r>
          <w:rPr>
            <w:color w:val="2E3092"/>
            <w:spacing w:val="-2"/>
            <w:w w:val="110"/>
          </w:rPr>
          <w:t>14</w:t>
        </w:r>
      </w:hyperlink>
      <w:r>
        <w:rPr>
          <w:color w:val="231F20"/>
          <w:spacing w:val="-2"/>
          <w:w w:val="110"/>
        </w:rPr>
        <w:t>].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patient's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POLG-1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muta- tion,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A467T is 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most common mutation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POLG-1-related disorders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A467T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W748S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account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nearly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2/3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patients with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autosomal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recessive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POLG-related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disorders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3">
        <w:r>
          <w:rPr>
            <w:color w:val="2E3092"/>
            <w:w w:val="110"/>
          </w:rPr>
          <w:t>8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POLG-</w:t>
      </w:r>
      <w:r>
        <w:rPr>
          <w:color w:val="231F20"/>
          <w:spacing w:val="-12"/>
          <w:w w:val="110"/>
        </w:rPr>
        <w:t>1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172" w:space="188"/>
            <w:col w:w="54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98"/>
        <w:rPr>
          <w:sz w:val="20"/>
        </w:rPr>
      </w:pPr>
    </w:p>
    <w:p>
      <w:pPr>
        <w:pStyle w:val="BodyText"/>
        <w:ind w:left="1310"/>
        <w:rPr>
          <w:sz w:val="20"/>
        </w:rPr>
      </w:pPr>
      <w:r>
        <w:rPr>
          <w:sz w:val="20"/>
        </w:rPr>
        <w:drawing>
          <wp:inline distT="0" distB="0" distL="0" distR="0">
            <wp:extent cx="5064637" cy="3689604"/>
            <wp:effectExtent l="0" t="0" r="0" b="0"/>
            <wp:docPr id="16" name="Image 16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637" cy="36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6"/>
        <w:rPr>
          <w:sz w:val="12"/>
        </w:rPr>
      </w:pPr>
    </w:p>
    <w:p>
      <w:pPr>
        <w:spacing w:before="0"/>
        <w:ind w:left="175" w:right="347" w:firstLine="0"/>
        <w:jc w:val="center"/>
        <w:rPr>
          <w:sz w:val="12"/>
        </w:rPr>
      </w:pPr>
      <w:bookmarkStart w:name="_bookmark5" w:id="10"/>
      <w:bookmarkEnd w:id="10"/>
      <w:r>
        <w:rPr/>
      </w:r>
      <w:r>
        <w:rPr>
          <w:color w:val="231F20"/>
          <w:w w:val="115"/>
          <w:sz w:val="12"/>
        </w:rPr>
        <w:t>Fig. 1.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Serial serum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ALT and</w:t>
      </w:r>
      <w:r>
        <w:rPr>
          <w:color w:val="231F20"/>
          <w:spacing w:val="3"/>
          <w:w w:val="115"/>
          <w:sz w:val="12"/>
        </w:rPr>
        <w:t> </w:t>
      </w:r>
      <w:r>
        <w:rPr>
          <w:color w:val="231F20"/>
          <w:w w:val="115"/>
          <w:sz w:val="12"/>
        </w:rPr>
        <w:t>bilirubin levels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20-year-old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caucasian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man with</w:t>
      </w:r>
      <w:r>
        <w:rPr>
          <w:color w:val="231F20"/>
          <w:spacing w:val="2"/>
          <w:w w:val="115"/>
          <w:sz w:val="12"/>
        </w:rPr>
        <w:t> </w:t>
      </w:r>
      <w:r>
        <w:rPr>
          <w:color w:val="231F20"/>
          <w:w w:val="115"/>
          <w:sz w:val="12"/>
        </w:rPr>
        <w:t>new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onset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seizures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who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started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VPA</w:t>
      </w:r>
      <w:r>
        <w:rPr>
          <w:color w:val="231F20"/>
          <w:spacing w:val="2"/>
          <w:w w:val="115"/>
          <w:sz w:val="12"/>
        </w:rPr>
        <w:t> </w:t>
      </w:r>
      <w:r>
        <w:rPr>
          <w:color w:val="231F20"/>
          <w:w w:val="115"/>
          <w:sz w:val="12"/>
        </w:rPr>
        <w:t>in October</w:t>
      </w:r>
      <w:r>
        <w:rPr>
          <w:color w:val="231F20"/>
          <w:spacing w:val="3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2017.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top="640" w:bottom="280" w:left="566" w:right="566"/>
        </w:sectPr>
      </w:pPr>
    </w:p>
    <w:p>
      <w:pPr>
        <w:tabs>
          <w:tab w:pos="10665" w:val="right" w:leader="none"/>
        </w:tabs>
        <w:spacing w:before="90"/>
        <w:ind w:left="3710" w:right="0" w:firstLine="0"/>
        <w:jc w:val="left"/>
        <w:rPr>
          <w:sz w:val="12"/>
        </w:rPr>
      </w:pPr>
      <w:bookmarkStart w:name="Ethics statement" w:id="11"/>
      <w:bookmarkEnd w:id="11"/>
      <w:r>
        <w:rPr/>
      </w:r>
      <w:bookmarkStart w:name="_bookmark6" w:id="12"/>
      <w:bookmarkEnd w:id="12"/>
      <w:r>
        <w:rPr/>
      </w:r>
      <w:r>
        <w:rPr>
          <w:i/>
          <w:color w:val="231F20"/>
          <w:w w:val="110"/>
          <w:sz w:val="12"/>
        </w:rPr>
        <w:t>J.T.</w:t>
      </w:r>
      <w:r>
        <w:rPr>
          <w:i/>
          <w:color w:val="231F20"/>
          <w:spacing w:val="-7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Bassett</w:t>
      </w:r>
      <w:r>
        <w:rPr>
          <w:i/>
          <w:color w:val="231F20"/>
          <w:spacing w:val="-6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et</w:t>
      </w:r>
      <w:r>
        <w:rPr>
          <w:i/>
          <w:color w:val="231F20"/>
          <w:spacing w:val="-7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al.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/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Epilepsy</w:t>
      </w:r>
      <w:r>
        <w:rPr>
          <w:i/>
          <w:color w:val="231F20"/>
          <w:spacing w:val="-7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&amp;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Behavior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Reports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12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(2019)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100342</w:t>
      </w:r>
      <w:r>
        <w:rPr>
          <w:color w:val="231F20"/>
          <w:sz w:val="12"/>
        </w:rPr>
        <w:tab/>
      </w:r>
      <w:r>
        <w:rPr>
          <w:color w:val="231F20"/>
          <w:spacing w:val="-10"/>
          <w:w w:val="110"/>
          <w:sz w:val="12"/>
        </w:rPr>
        <w:t>3</w:t>
      </w:r>
    </w:p>
    <w:p>
      <w:pPr>
        <w:pStyle w:val="BodyText"/>
        <w:spacing w:before="3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1314062</wp:posOffset>
                </wp:positionH>
                <wp:positionV relativeFrom="paragraph">
                  <wp:posOffset>127559</wp:posOffset>
                </wp:positionV>
                <wp:extent cx="5044440" cy="266573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044440" cy="2665730"/>
                          <a:chExt cx="5044440" cy="2665730"/>
                        </a:xfrm>
                      </wpg:grpSpPr>
                      <pic:pic>
                        <pic:nvPicPr>
                          <pic:cNvPr id="18" name="Image 18">
                            <a:hlinkClick r:id="rId19"/>
                          </pic:cNvPr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474" y="91128"/>
                            <a:ext cx="4852403" cy="2182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>
                          <a:hlinkClick r:id="rId19"/>
                        </wps:cNvPr>
                        <wps:cNvSpPr/>
                        <wps:spPr>
                          <a:xfrm>
                            <a:off x="2063" y="2063"/>
                            <a:ext cx="5039995" cy="266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2661285">
                                <a:moveTo>
                                  <a:pt x="0" y="0"/>
                                </a:moveTo>
                                <a:lnTo>
                                  <a:pt x="5039969" y="0"/>
                                </a:lnTo>
                                <a:lnTo>
                                  <a:pt x="5039969" y="2661005"/>
                                </a:lnTo>
                                <a:lnTo>
                                  <a:pt x="0" y="2661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>
                          <a:hlinkClick r:id="rId19"/>
                        </wps:cNvPr>
                        <wps:cNvSpPr/>
                        <wps:spPr>
                          <a:xfrm>
                            <a:off x="841368" y="440022"/>
                            <a:ext cx="2674620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375410">
                                <a:moveTo>
                                  <a:pt x="61696" y="1374241"/>
                                </a:moveTo>
                                <a:lnTo>
                                  <a:pt x="19316" y="1106690"/>
                                </a:lnTo>
                                <a:lnTo>
                                  <a:pt x="19202" y="1106030"/>
                                </a:lnTo>
                                <a:lnTo>
                                  <a:pt x="33223" y="1103731"/>
                                </a:lnTo>
                                <a:lnTo>
                                  <a:pt x="30810" y="1100340"/>
                                </a:lnTo>
                                <a:lnTo>
                                  <a:pt x="11531" y="1073226"/>
                                </a:lnTo>
                                <a:lnTo>
                                  <a:pt x="0" y="1109154"/>
                                </a:lnTo>
                                <a:lnTo>
                                  <a:pt x="15125" y="1106690"/>
                                </a:lnTo>
                                <a:lnTo>
                                  <a:pt x="14236" y="1101013"/>
                                </a:lnTo>
                                <a:lnTo>
                                  <a:pt x="15024" y="1106030"/>
                                </a:lnTo>
                                <a:lnTo>
                                  <a:pt x="15125" y="1106690"/>
                                </a:lnTo>
                                <a:lnTo>
                                  <a:pt x="57518" y="1374241"/>
                                </a:lnTo>
                                <a:lnTo>
                                  <a:pt x="57632" y="1374914"/>
                                </a:lnTo>
                                <a:lnTo>
                                  <a:pt x="61696" y="1374241"/>
                                </a:lnTo>
                                <a:close/>
                              </a:path>
                              <a:path w="2674620" h="1375410">
                                <a:moveTo>
                                  <a:pt x="315937" y="133565"/>
                                </a:moveTo>
                                <a:lnTo>
                                  <a:pt x="311873" y="131533"/>
                                </a:lnTo>
                                <a:lnTo>
                                  <a:pt x="154165" y="475678"/>
                                </a:lnTo>
                                <a:lnTo>
                                  <a:pt x="141033" y="469836"/>
                                </a:lnTo>
                                <a:lnTo>
                                  <a:pt x="142379" y="507123"/>
                                </a:lnTo>
                                <a:lnTo>
                                  <a:pt x="171538" y="483387"/>
                                </a:lnTo>
                                <a:lnTo>
                                  <a:pt x="170014" y="482714"/>
                                </a:lnTo>
                                <a:lnTo>
                                  <a:pt x="158318" y="477520"/>
                                </a:lnTo>
                                <a:lnTo>
                                  <a:pt x="315937" y="133565"/>
                                </a:lnTo>
                                <a:close/>
                              </a:path>
                              <a:path w="2674620" h="1375410">
                                <a:moveTo>
                                  <a:pt x="1135595" y="98983"/>
                                </a:moveTo>
                                <a:lnTo>
                                  <a:pt x="1129893" y="94234"/>
                                </a:lnTo>
                                <a:lnTo>
                                  <a:pt x="1107122" y="75260"/>
                                </a:lnTo>
                                <a:lnTo>
                                  <a:pt x="1103922" y="88938"/>
                                </a:lnTo>
                                <a:lnTo>
                                  <a:pt x="730173" y="0"/>
                                </a:lnTo>
                                <a:lnTo>
                                  <a:pt x="729500" y="4064"/>
                                </a:lnTo>
                                <a:lnTo>
                                  <a:pt x="1102982" y="92938"/>
                                </a:lnTo>
                                <a:lnTo>
                                  <a:pt x="1099667" y="107124"/>
                                </a:lnTo>
                                <a:lnTo>
                                  <a:pt x="1135595" y="98983"/>
                                </a:lnTo>
                                <a:close/>
                              </a:path>
                              <a:path w="2674620" h="1375410">
                                <a:moveTo>
                                  <a:pt x="2674569" y="313220"/>
                                </a:moveTo>
                                <a:lnTo>
                                  <a:pt x="2660065" y="314134"/>
                                </a:lnTo>
                                <a:lnTo>
                                  <a:pt x="2646121" y="37973"/>
                                </a:lnTo>
                                <a:lnTo>
                                  <a:pt x="2646095" y="37287"/>
                                </a:lnTo>
                                <a:lnTo>
                                  <a:pt x="2642031" y="37973"/>
                                </a:lnTo>
                                <a:lnTo>
                                  <a:pt x="2655951" y="313220"/>
                                </a:lnTo>
                                <a:lnTo>
                                  <a:pt x="2656014" y="314388"/>
                                </a:lnTo>
                                <a:lnTo>
                                  <a:pt x="2642031" y="315252"/>
                                </a:lnTo>
                                <a:lnTo>
                                  <a:pt x="2659646" y="347116"/>
                                </a:lnTo>
                                <a:lnTo>
                                  <a:pt x="2671876" y="319316"/>
                                </a:lnTo>
                                <a:lnTo>
                                  <a:pt x="2674569" y="313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A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>
                            <a:hlinkClick r:id="rId19"/>
                          </pic:cNvPr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9329" y="320706"/>
                            <a:ext cx="132194" cy="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1191214" y="306970"/>
                            <a:ext cx="34544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6"/>
                                <w:ind w:left="0" w:right="18" w:firstLine="0"/>
                                <w:jc w:val="left"/>
                                <w:rPr>
                                  <w:rFonts w:ascii="Geneva"/>
                                  <w:sz w:val="15"/>
                                </w:rPr>
                              </w:pPr>
                              <w:hyperlink r:id="rId19">
                                <w:r>
                                  <w:rPr>
                                    <w:rFonts w:ascii="Geneva"/>
                                    <w:spacing w:val="-4"/>
                                    <w:w w:val="90"/>
                                    <w:sz w:val="15"/>
                                  </w:rPr>
                                  <w:t>Areas</w:t>
                                </w:r>
                                <w:r>
                                  <w:rPr>
                                    <w:rFonts w:ascii="Geneva"/>
                                    <w:spacing w:val="-10"/>
                                    <w:w w:val="90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Geneva"/>
                                    <w:spacing w:val="-4"/>
                                    <w:w w:val="90"/>
                                    <w:sz w:val="15"/>
                                  </w:rPr>
                                  <w:t>of necrosis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415598" y="203919"/>
                            <a:ext cx="79819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0" w:right="18" w:firstLine="0"/>
                                <w:jc w:val="left"/>
                                <w:rPr>
                                  <w:rFonts w:ascii="Geneva"/>
                                  <w:sz w:val="15"/>
                                </w:rPr>
                              </w:pPr>
                              <w:hyperlink r:id="rId19">
                                <w:r>
                                  <w:rPr>
                                    <w:rFonts w:ascii="Geneva"/>
                                    <w:w w:val="85"/>
                                    <w:sz w:val="15"/>
                                  </w:rPr>
                                  <w:t>PAS</w:t>
                                </w:r>
                                <w:r>
                                  <w:rPr>
                                    <w:rFonts w:ascii="Geneva"/>
                                    <w:spacing w:val="-8"/>
                                    <w:w w:val="85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Geneva"/>
                                    <w:w w:val="85"/>
                                    <w:sz w:val="15"/>
                                  </w:rPr>
                                  <w:t>stain</w:t>
                                </w:r>
                                <w:r>
                                  <w:rPr>
                                    <w:rFonts w:ascii="Geneva"/>
                                    <w:spacing w:val="-7"/>
                                    <w:w w:val="85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Geneva"/>
                                    <w:w w:val="85"/>
                                    <w:sz w:val="15"/>
                                  </w:rPr>
                                  <w:t>highlights </w:t>
                                </w:r>
                                <w:r>
                                  <w:rPr>
                                    <w:rFonts w:ascii="Geneva"/>
                                    <w:w w:val="95"/>
                                    <w:sz w:val="15"/>
                                  </w:rPr>
                                  <w:t>areas of necrosis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65448" y="1873724"/>
                            <a:ext cx="101600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7"/>
                                <w:ind w:left="0" w:right="18" w:firstLine="0"/>
                                <w:jc w:val="left"/>
                                <w:rPr>
                                  <w:rFonts w:ascii="Geneva" w:hAnsi="Geneva"/>
                                  <w:sz w:val="15"/>
                                </w:rPr>
                              </w:pPr>
                              <w:hyperlink r:id="rId19">
                                <w:r>
                                  <w:rPr>
                                    <w:rFonts w:ascii="Geneva" w:hAnsi="Geneva"/>
                                    <w:w w:val="85"/>
                                    <w:sz w:val="15"/>
                                  </w:rPr>
                                  <w:t>Hepatocytes</w:t>
                                </w:r>
                                <w:r>
                                  <w:rPr>
                                    <w:rFonts w:ascii="Geneva" w:hAnsi="Geneva"/>
                                    <w:spacing w:val="-2"/>
                                    <w:w w:val="85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Geneva" w:hAnsi="Geneva"/>
                                    <w:w w:val="85"/>
                                    <w:sz w:val="15"/>
                                  </w:rPr>
                                  <w:t>with</w:t>
                                </w:r>
                                <w:r>
                                  <w:rPr>
                                    <w:rFonts w:ascii="Geneva" w:hAnsi="Geneva"/>
                                    <w:spacing w:val="-2"/>
                                    <w:w w:val="85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Geneva" w:hAnsi="Geneva"/>
                                    <w:w w:val="85"/>
                                    <w:sz w:val="15"/>
                                  </w:rPr>
                                  <w:t>diﬀuse </w:t>
                                </w:r>
                                <w:r>
                                  <w:rPr>
                                    <w:rFonts w:ascii="Geneva" w:hAnsi="Geneva"/>
                                    <w:spacing w:val="-2"/>
                                    <w:sz w:val="15"/>
                                  </w:rPr>
                                  <w:t>microvesicular</w:t>
                                </w:r>
                                <w:r>
                                  <w:rPr>
                                    <w:rFonts w:ascii="Geneva" w:hAnsi="Geneva"/>
                                    <w:spacing w:val="-14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Geneva" w:hAnsi="Geneva"/>
                                    <w:spacing w:val="-2"/>
                                    <w:sz w:val="15"/>
                                  </w:rPr>
                                  <w:t>change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30199" y="2395417"/>
                            <a:ext cx="22466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hyperlink r:id="rId19"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Image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1:</w:t>
                                </w:r>
                                <w:r>
                                  <w:rPr>
                                    <w:rFonts w:ascii="Arial"/>
                                    <w:spacing w:val="6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Liver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biopsy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with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Hematoxylin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Eosin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stain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demonstrating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areas</w:t>
                                </w:r>
                              </w:hyperlink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hyperlink r:id="rId19"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necrosis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hepatocytes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with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diffuse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microvesicular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change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662399" y="2385932"/>
                            <a:ext cx="213296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hyperlink r:id="rId19"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Image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2: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Liver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biopsy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with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Periodic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Acid-Schiff</w:t>
                                </w:r>
                                <w:r>
                                  <w:rPr>
                                    <w:rFonts w:ascii="Arial"/>
                                    <w:spacing w:val="6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stain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highlighting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areas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05"/>
                                    <w:sz w:val="10"/>
                                  </w:rPr>
                                  <w:t>of</w:t>
                                </w:r>
                              </w:hyperlink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hyperlink r:id="rId19"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necrosis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(identified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by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w w:val="105"/>
                                    <w:sz w:val="1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0"/>
                                  </w:rPr>
                                  <w:t>arrows)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469498pt;margin-top:10.044086pt;width:397.2pt;height:209.9pt;mso-position-horizontal-relative:page;mso-position-vertical-relative:paragraph;z-index:-15722496;mso-wrap-distance-left:0;mso-wrap-distance-right:0" id="docshapegroup13" coordorigin="2069,201" coordsize="7944,4198">
                <v:shape style="position:absolute;left:2208;top:344;width:7642;height:3437" type="#_x0000_t75" id="docshape14" href="Image%20of%20Fig.%202" stroked="false">
                  <v:imagedata r:id="rId18" o:title=""/>
                </v:shape>
                <v:rect style="position:absolute;left:2072;top:204;width:7937;height:4191" id="docshape15" href="Image%20of%20Fig.%202" filled="false" stroked="true" strokeweight=".325pt" strokecolor="#000000">
                  <v:stroke dashstyle="solid"/>
                </v:rect>
                <v:shape style="position:absolute;left:3394;top:893;width:4212;height:2166" id="docshape16" href="Image%20of%20Fig.%202" coordorigin="3394,894" coordsize="4212,2166" path="m3492,3058l3425,2637,3425,2636,3447,2632,3443,2627,3413,2584,3394,2641,3418,2637,3417,2628,3418,2636,3418,2637,3485,3058,3485,3059,3492,3058xm3892,1104l3886,1101,3637,1643,3616,1634,3619,1692,3665,1655,3662,1654,3644,1646,3892,1104xm5183,1050l5174,1042,5138,1012,5133,1034,4544,894,4543,900,5131,1040,5126,1063,5183,1050xm7606,1387l7583,1389,7562,954,7561,953,7555,954,7577,1387,7577,1389,7555,1390,7583,1440,7602,1397,7606,1387xe" filled="true" fillcolor="#5a9ad4" stroked="false">
                  <v:path arrowok="t"/>
                  <v:fill type="solid"/>
                </v:shape>
                <v:shape style="position:absolute;left:8745;top:705;width:209;height:119" type="#_x0000_t75" id="docshape17" href="Image%20of%20Fig.%202" stroked="false">
                  <v:imagedata r:id="rId20" o:title=""/>
                </v:shape>
                <v:shape style="position:absolute;left:3945;top:684;width:544;height:399" type="#_x0000_t202" id="docshape18" filled="false" stroked="false">
                  <v:textbox inset="0,0,0,0">
                    <w:txbxContent>
                      <w:p>
                        <w:pPr>
                          <w:spacing w:line="228" w:lineRule="auto" w:before="6"/>
                          <w:ind w:left="0" w:right="18" w:firstLine="0"/>
                          <w:jc w:val="left"/>
                          <w:rPr>
                            <w:rFonts w:ascii="Geneva"/>
                            <w:sz w:val="15"/>
                          </w:rPr>
                        </w:pPr>
                        <w:hyperlink r:id="rId19">
                          <w:r>
                            <w:rPr>
                              <w:rFonts w:ascii="Geneva"/>
                              <w:spacing w:val="-4"/>
                              <w:w w:val="90"/>
                              <w:sz w:val="15"/>
                            </w:rPr>
                            <w:t>Areas</w:t>
                          </w:r>
                          <w:r>
                            <w:rPr>
                              <w:rFonts w:ascii="Geneva"/>
                              <w:spacing w:val="-10"/>
                              <w:w w:val="9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Geneva"/>
                              <w:spacing w:val="-4"/>
                              <w:w w:val="90"/>
                              <w:sz w:val="15"/>
                            </w:rPr>
                            <w:t>of necrosis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7448;top:522;width:1257;height:401" type="#_x0000_t202" id="docshape19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0" w:right="18" w:firstLine="0"/>
                          <w:jc w:val="left"/>
                          <w:rPr>
                            <w:rFonts w:ascii="Geneva"/>
                            <w:sz w:val="15"/>
                          </w:rPr>
                        </w:pPr>
                        <w:hyperlink r:id="rId19">
                          <w:r>
                            <w:rPr>
                              <w:rFonts w:ascii="Geneva"/>
                              <w:w w:val="85"/>
                              <w:sz w:val="15"/>
                            </w:rPr>
                            <w:t>PAS</w:t>
                          </w:r>
                          <w:r>
                            <w:rPr>
                              <w:rFonts w:ascii="Geneva"/>
                              <w:spacing w:val="-8"/>
                              <w:w w:val="8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Geneva"/>
                              <w:w w:val="85"/>
                              <w:sz w:val="15"/>
                            </w:rPr>
                            <w:t>stain</w:t>
                          </w:r>
                          <w:r>
                            <w:rPr>
                              <w:rFonts w:ascii="Geneva"/>
                              <w:spacing w:val="-7"/>
                              <w:w w:val="8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Geneva"/>
                              <w:w w:val="85"/>
                              <w:sz w:val="15"/>
                            </w:rPr>
                            <w:t>highlights </w:t>
                          </w:r>
                          <w:r>
                            <w:rPr>
                              <w:rFonts w:ascii="Geneva"/>
                              <w:w w:val="95"/>
                              <w:sz w:val="15"/>
                            </w:rPr>
                            <w:t>areas of necrosis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274;top:3151;width:1600;height:398" type="#_x0000_t202" id="docshape20" filled="false" stroked="false">
                  <v:textbox inset="0,0,0,0">
                    <w:txbxContent>
                      <w:p>
                        <w:pPr>
                          <w:spacing w:line="225" w:lineRule="auto" w:before="7"/>
                          <w:ind w:left="0" w:right="18" w:firstLine="0"/>
                          <w:jc w:val="left"/>
                          <w:rPr>
                            <w:rFonts w:ascii="Geneva" w:hAnsi="Geneva"/>
                            <w:sz w:val="15"/>
                          </w:rPr>
                        </w:pPr>
                        <w:hyperlink r:id="rId19">
                          <w:r>
                            <w:rPr>
                              <w:rFonts w:ascii="Geneva" w:hAnsi="Geneva"/>
                              <w:w w:val="85"/>
                              <w:sz w:val="15"/>
                            </w:rPr>
                            <w:t>Hepatocytes</w:t>
                          </w:r>
                          <w:r>
                            <w:rPr>
                              <w:rFonts w:ascii="Geneva" w:hAnsi="Geneva"/>
                              <w:spacing w:val="-2"/>
                              <w:w w:val="8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Geneva" w:hAnsi="Geneva"/>
                              <w:w w:val="85"/>
                              <w:sz w:val="15"/>
                            </w:rPr>
                            <w:t>with</w:t>
                          </w:r>
                          <w:r>
                            <w:rPr>
                              <w:rFonts w:ascii="Geneva" w:hAnsi="Geneva"/>
                              <w:spacing w:val="-2"/>
                              <w:w w:val="8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Geneva" w:hAnsi="Geneva"/>
                              <w:w w:val="85"/>
                              <w:sz w:val="15"/>
                            </w:rPr>
                            <w:t>diﬀuse </w:t>
                          </w:r>
                          <w:r>
                            <w:rPr>
                              <w:rFonts w:ascii="Geneva" w:hAnsi="Geneva"/>
                              <w:spacing w:val="-2"/>
                              <w:sz w:val="15"/>
                            </w:rPr>
                            <w:t>microvesicular</w:t>
                          </w:r>
                          <w:r>
                            <w:rPr>
                              <w:rFonts w:ascii="Geneva" w:hAnsi="Geneva"/>
                              <w:spacing w:val="-1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Geneva" w:hAnsi="Geneva"/>
                              <w:spacing w:val="-2"/>
                              <w:sz w:val="15"/>
                            </w:rPr>
                            <w:t>change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274;top:3973;width:3538;height:252" type="#_x0000_t202" id="docshape2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hyperlink r:id="rId19"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Image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1:</w:t>
                          </w:r>
                          <w:r>
                            <w:rPr>
                              <w:rFonts w:ascii="Arial"/>
                              <w:spacing w:val="6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Liver</w:t>
                          </w:r>
                          <w:r>
                            <w:rPr>
                              <w:rFonts w:ascii="Arial"/>
                              <w:spacing w:val="2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biopsy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with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Hematoxylin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Eosin</w:t>
                          </w:r>
                          <w:r>
                            <w:rPr>
                              <w:rFonts w:ascii="Arial"/>
                              <w:spacing w:val="2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stain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demonstrating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areas</w:t>
                          </w:r>
                        </w:hyperlink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hyperlink r:id="rId19"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5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necrosis</w:t>
                          </w:r>
                          <w:r>
                            <w:rPr>
                              <w:rFonts w:ascii="Arial"/>
                              <w:spacing w:val="5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5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hepatocytes</w:t>
                          </w:r>
                          <w:r>
                            <w:rPr>
                              <w:rFonts w:ascii="Arial"/>
                              <w:spacing w:val="5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with</w:t>
                          </w:r>
                          <w:r>
                            <w:rPr>
                              <w:rFonts w:ascii="Arial"/>
                              <w:spacing w:val="5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diffuse</w:t>
                          </w:r>
                          <w:r>
                            <w:rPr>
                              <w:rFonts w:ascii="Arial"/>
                              <w:spacing w:val="4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microvesicular</w:t>
                          </w:r>
                          <w:r>
                            <w:rPr>
                              <w:rFonts w:ascii="Arial"/>
                              <w:spacing w:val="5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change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262;top:3958;width:3359;height:228" type="#_x0000_t202" id="docshape22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hyperlink r:id="rId19"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Image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2:</w:t>
                          </w:r>
                          <w:r>
                            <w:rPr>
                              <w:rFonts w:ascii="Arial"/>
                              <w:spacing w:val="5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Liver</w:t>
                          </w:r>
                          <w:r>
                            <w:rPr>
                              <w:rFonts w:ascii="Arial"/>
                              <w:spacing w:val="5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biopsy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with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Periodic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Acid-Schiff</w:t>
                          </w:r>
                          <w:r>
                            <w:rPr>
                              <w:rFonts w:ascii="Arial"/>
                              <w:spacing w:val="6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stain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highlighting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areas</w:t>
                          </w:r>
                          <w:r>
                            <w:rPr>
                              <w:rFonts w:ascii="Arial"/>
                              <w:spacing w:val="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w w:val="105"/>
                              <w:sz w:val="10"/>
                            </w:rPr>
                            <w:t>of</w:t>
                          </w:r>
                        </w:hyperlink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hyperlink r:id="rId19"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necrosis</w:t>
                          </w:r>
                          <w:r>
                            <w:rPr>
                              <w:rFonts w:ascii="Arial"/>
                              <w:spacing w:val="4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(identified</w:t>
                          </w:r>
                          <w:r>
                            <w:rPr>
                              <w:rFonts w:ascii="Arial"/>
                              <w:spacing w:val="5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by</w:t>
                          </w:r>
                          <w:r>
                            <w:rPr>
                              <w:rFonts w:ascii="Arial"/>
                              <w:spacing w:val="4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05"/>
                              <w:sz w:val="10"/>
                            </w:rPr>
                            <w:t>arrows)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1"/>
        <w:rPr>
          <w:sz w:val="12"/>
        </w:rPr>
      </w:pPr>
    </w:p>
    <w:p>
      <w:pPr>
        <w:spacing w:before="0"/>
        <w:ind w:left="347" w:right="172" w:firstLine="0"/>
        <w:jc w:val="center"/>
        <w:rPr>
          <w:sz w:val="12"/>
        </w:rPr>
      </w:pPr>
      <w:r>
        <w:rPr>
          <w:color w:val="231F20"/>
          <w:w w:val="115"/>
          <w:sz w:val="12"/>
        </w:rPr>
        <w:t>Fig.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2.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Liver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biopsy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with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Hematoxylin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Eosin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stain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(image 1)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as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well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as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Periodic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Acid-Schiff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stain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(image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spacing w:val="-5"/>
          <w:w w:val="115"/>
          <w:sz w:val="12"/>
        </w:rPr>
        <w:t>2).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line="256" w:lineRule="auto" w:before="83"/>
        <w:ind w:left="284"/>
        <w:jc w:val="both"/>
      </w:pPr>
      <w:r>
        <w:rPr>
          <w:color w:val="231F20"/>
          <w:w w:val="115"/>
        </w:rPr>
        <w:t>mutations</w:t>
      </w:r>
      <w:r>
        <w:rPr>
          <w:color w:val="231F20"/>
          <w:w w:val="115"/>
        </w:rPr>
        <w:t> are</w:t>
      </w:r>
      <w:r>
        <w:rPr>
          <w:color w:val="231F20"/>
          <w:w w:val="115"/>
        </w:rPr>
        <w:t> associated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ataxia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neuropathy</w:t>
      </w:r>
      <w:r>
        <w:rPr>
          <w:color w:val="231F20"/>
          <w:w w:val="115"/>
        </w:rPr>
        <w:t> syndrome</w:t>
      </w:r>
      <w:r>
        <w:rPr>
          <w:color w:val="231F20"/>
          <w:w w:val="115"/>
        </w:rPr>
        <w:t> and </w:t>
      </w:r>
      <w:r>
        <w:rPr>
          <w:color w:val="231F20"/>
          <w:spacing w:val="-2"/>
          <w:w w:val="115"/>
        </w:rPr>
        <w:t>Alpers</w:t>
      </w:r>
      <w:r>
        <w:rPr>
          <w:rFonts w:ascii="Geneva" w:hAnsi="Geneva"/>
          <w:color w:val="231F20"/>
          <w:spacing w:val="-2"/>
          <w:w w:val="115"/>
        </w:rPr>
        <w:t>–</w:t>
      </w:r>
      <w:r>
        <w:rPr>
          <w:color w:val="231F20"/>
          <w:spacing w:val="-2"/>
          <w:w w:val="115"/>
        </w:rPr>
        <w:t>Huttenlocher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syndrome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manifests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seizures,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liver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dis- ease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impaired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cognitive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ability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young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age.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Prior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studies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ani- </w:t>
      </w:r>
      <w:r>
        <w:rPr>
          <w:color w:val="231F20"/>
          <w:w w:val="115"/>
        </w:rPr>
        <w:t>mals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human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studies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historical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controls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2"/>
          <w:w w:val="115"/>
        </w:rPr>
        <w:t> </w:t>
      </w:r>
      <w:r>
        <w:rPr>
          <w:color w:val="231F20"/>
          <w:spacing w:val="-2"/>
          <w:w w:val="115"/>
        </w:rPr>
        <w:t>demonstrated</w:t>
      </w:r>
    </w:p>
    <w:p>
      <w:pPr>
        <w:pStyle w:val="BodyText"/>
        <w:spacing w:line="273" w:lineRule="auto" w:before="11"/>
        <w:ind w:left="284"/>
        <w:jc w:val="both"/>
      </w:pPr>
      <w:r>
        <w:rPr>
          <w:color w:val="231F20"/>
          <w:w w:val="110"/>
        </w:rPr>
        <w:t>that prompt administration of </w:t>
      </w:r>
      <w:r>
        <w:rPr>
          <w:color w:val="231F20"/>
          <w:w w:val="110"/>
          <w:sz w:val="12"/>
        </w:rPr>
        <w:t>L</w:t>
      </w:r>
      <w:r>
        <w:rPr>
          <w:color w:val="231F20"/>
          <w:w w:val="110"/>
        </w:rPr>
        <w:t>-carnitine which is frequently depleted in patients on chronic VPA therapy may rescue some patients with se- vere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acute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VPA-induced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liver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injury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5">
        <w:r>
          <w:rPr>
            <w:color w:val="2E3092"/>
            <w:w w:val="110"/>
          </w:rPr>
          <w:t>15</w:t>
        </w:r>
      </w:hyperlink>
      <w:r>
        <w:rPr>
          <w:color w:val="231F20"/>
          <w:w w:val="110"/>
        </w:rPr>
        <w:t>,</w:t>
      </w:r>
      <w:hyperlink w:history="true" w:anchor="_bookmark15">
        <w:r>
          <w:rPr>
            <w:color w:val="2E3092"/>
            <w:w w:val="110"/>
          </w:rPr>
          <w:t>16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Unfortunately,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  <w:sz w:val="12"/>
        </w:rPr>
        <w:t>L</w:t>
      </w:r>
      <w:r>
        <w:rPr>
          <w:color w:val="231F20"/>
          <w:w w:val="110"/>
        </w:rPr>
        <w:t>-carnitine was not instituted prior to transplant in our patient due to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difﬁculty 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establishing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diagnosis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idiosyncratic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drug-induced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hepatic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injury due to VPA.</w:t>
      </w:r>
    </w:p>
    <w:p>
      <w:pPr>
        <w:pStyle w:val="BodyText"/>
        <w:spacing w:line="273" w:lineRule="auto"/>
        <w:ind w:left="284" w:firstLine="239"/>
        <w:jc w:val="both"/>
      </w:pPr>
      <w:r>
        <w:rPr>
          <w:color w:val="231F20"/>
          <w:w w:val="110"/>
        </w:rPr>
        <w:t>Due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side-effect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proﬁle,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VPA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often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second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anti- </w:t>
      </w:r>
      <w:bookmarkStart w:name="Declaration of competing interest" w:id="13"/>
      <w:bookmarkEnd w:id="13"/>
      <w:r>
        <w:rPr>
          <w:color w:val="231F20"/>
          <w:w w:val="110"/>
        </w:rPr>
        <w:t>s</w:t>
      </w:r>
      <w:r>
        <w:rPr>
          <w:color w:val="231F20"/>
          <w:w w:val="110"/>
        </w:rPr>
        <w:t>eizure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drug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adults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children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epilepsies.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Nonetheless,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 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9"/>
          <w:w w:val="110"/>
        </w:rPr>
        <w:t> </w:t>
      </w:r>
      <w:hyperlink r:id="rId21">
        <w:r>
          <w:rPr>
            <w:color w:val="2E3092"/>
            <w:w w:val="110"/>
          </w:rPr>
          <w:t>ClinCalc.com</w:t>
        </w:r>
      </w:hyperlink>
      <w:r>
        <w:rPr>
          <w:color w:val="2E3092"/>
          <w:spacing w:val="-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2016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5,484,270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pre- </w:t>
      </w:r>
      <w:r>
        <w:rPr>
          <w:color w:val="231F20"/>
          <w:w w:val="115"/>
        </w:rPr>
        <w:t>scriptions of divalproex sodium identiﬁed in the United States. The </w:t>
      </w:r>
      <w:r>
        <w:rPr>
          <w:color w:val="231F20"/>
          <w:spacing w:val="-4"/>
          <w:w w:val="115"/>
        </w:rPr>
        <w:t>incidence of mitochondrial diseases in the United Kingdom population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1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4000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1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5000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15">
        <w:r>
          <w:rPr>
            <w:color w:val="2E3092"/>
            <w:spacing w:val="-2"/>
            <w:w w:val="115"/>
          </w:rPr>
          <w:t>17</w:t>
        </w:r>
      </w:hyperlink>
      <w:r>
        <w:rPr>
          <w:color w:val="231F20"/>
          <w:spacing w:val="-2"/>
          <w:w w:val="115"/>
        </w:rPr>
        <w:t>].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Some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authors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have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advocated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testing </w:t>
      </w:r>
      <w:r>
        <w:rPr>
          <w:color w:val="231F20"/>
          <w:spacing w:val="-4"/>
          <w:w w:val="115"/>
        </w:rPr>
        <w:t>for POLG mutations in all children under 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age of 2 prior to initiating </w:t>
      </w:r>
      <w:r>
        <w:rPr>
          <w:color w:val="231F20"/>
          <w:w w:val="115"/>
        </w:rPr>
        <w:t>VPA</w:t>
      </w:r>
      <w:r>
        <w:rPr>
          <w:color w:val="231F20"/>
          <w:w w:val="115"/>
        </w:rPr>
        <w:t> therapy</w:t>
      </w:r>
      <w:r>
        <w:rPr>
          <w:color w:val="231F20"/>
          <w:w w:val="115"/>
        </w:rPr>
        <w:t> although</w:t>
      </w:r>
      <w:r>
        <w:rPr>
          <w:color w:val="231F20"/>
          <w:w w:val="115"/>
        </w:rPr>
        <w:t> this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not</w:t>
      </w:r>
      <w:r>
        <w:rPr>
          <w:color w:val="231F20"/>
          <w:w w:val="115"/>
        </w:rPr>
        <w:t> routinely</w:t>
      </w:r>
      <w:r>
        <w:rPr>
          <w:color w:val="231F20"/>
          <w:w w:val="115"/>
        </w:rPr>
        <w:t> done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most</w:t>
      </w:r>
      <w:r>
        <w:rPr>
          <w:color w:val="231F20"/>
          <w:w w:val="115"/>
        </w:rPr>
        <w:t> medical </w:t>
      </w:r>
      <w:r>
        <w:rPr>
          <w:color w:val="231F20"/>
          <w:spacing w:val="-2"/>
          <w:w w:val="115"/>
        </w:rPr>
        <w:t>centers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United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States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15">
        <w:r>
          <w:rPr>
            <w:color w:val="2E3092"/>
            <w:spacing w:val="-2"/>
            <w:w w:val="115"/>
          </w:rPr>
          <w:t>18</w:t>
        </w:r>
      </w:hyperlink>
      <w:r>
        <w:rPr>
          <w:color w:val="231F20"/>
          <w:spacing w:val="-2"/>
          <w:w w:val="115"/>
        </w:rPr>
        <w:t>].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Furthermore,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overall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incidence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of </w:t>
      </w:r>
      <w:r>
        <w:rPr>
          <w:color w:val="231F20"/>
          <w:w w:val="110"/>
        </w:rPr>
        <w:t>severe idiosyncratic drug-induced hepatic injury from VPA </w:t>
      </w:r>
      <w:r>
        <w:rPr>
          <w:color w:val="231F20"/>
          <w:w w:val="110"/>
        </w:rPr>
        <w:t>decreases </w:t>
      </w:r>
      <w:r>
        <w:rPr>
          <w:color w:val="231F20"/>
          <w:w w:val="115"/>
        </w:rPr>
        <w:t>with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age and among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adults the overall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incidence is estimated at 1 in </w:t>
      </w:r>
      <w:bookmarkStart w:name="References" w:id="14"/>
      <w:bookmarkEnd w:id="14"/>
      <w:r>
        <w:rPr>
          <w:color w:val="231F20"/>
          <w:w w:val="115"/>
        </w:rPr>
        <w:t>40,0</w:t>
      </w:r>
      <w:r>
        <w:rPr>
          <w:color w:val="231F20"/>
          <w:w w:val="115"/>
        </w:rPr>
        <w:t>00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[</w:t>
      </w:r>
      <w:hyperlink w:history="true" w:anchor="_bookmark9">
        <w:r>
          <w:rPr>
            <w:color w:val="2E3092"/>
            <w:w w:val="115"/>
          </w:rPr>
          <w:t>3</w:t>
        </w:r>
      </w:hyperlink>
      <w:r>
        <w:rPr>
          <w:color w:val="231F20"/>
          <w:w w:val="115"/>
        </w:rPr>
        <w:t>,</w:t>
      </w:r>
      <w:hyperlink w:history="true" w:anchor="_bookmark10">
        <w:r>
          <w:rPr>
            <w:color w:val="2E3092"/>
            <w:w w:val="115"/>
          </w:rPr>
          <w:t>4</w:t>
        </w:r>
      </w:hyperlink>
      <w:r>
        <w:rPr>
          <w:color w:val="231F20"/>
          <w:w w:val="115"/>
        </w:rPr>
        <w:t>].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However,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notable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exception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would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adult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patient presenting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focal</w:t>
      </w:r>
      <w:r>
        <w:rPr>
          <w:color w:val="231F20"/>
          <w:w w:val="115"/>
        </w:rPr>
        <w:t> status</w:t>
      </w:r>
      <w:r>
        <w:rPr>
          <w:color w:val="231F20"/>
          <w:w w:val="115"/>
        </w:rPr>
        <w:t> epilepticus</w:t>
      </w:r>
      <w:r>
        <w:rPr>
          <w:color w:val="231F20"/>
          <w:w w:val="115"/>
        </w:rPr>
        <w:t> without</w:t>
      </w:r>
      <w:r>
        <w:rPr>
          <w:color w:val="231F20"/>
          <w:w w:val="115"/>
        </w:rPr>
        <w:t> other</w:t>
      </w:r>
      <w:r>
        <w:rPr>
          <w:color w:val="231F20"/>
          <w:w w:val="115"/>
        </w:rPr>
        <w:t> explanation </w:t>
      </w:r>
      <w:bookmarkStart w:name="_bookmark7" w:id="15"/>
      <w:bookmarkEnd w:id="15"/>
      <w:r>
        <w:rPr>
          <w:color w:val="231F20"/>
          <w:spacing w:val="-2"/>
          <w:w w:val="115"/>
        </w:rPr>
        <w:t>si</w:t>
      </w:r>
      <w:r>
        <w:rPr>
          <w:color w:val="231F20"/>
          <w:spacing w:val="-2"/>
          <w:w w:val="115"/>
        </w:rPr>
        <w:t>nce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this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could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be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ﬁrst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clinical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manifestation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subclinical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con- </w:t>
      </w:r>
      <w:r>
        <w:rPr>
          <w:color w:val="231F20"/>
          <w:w w:val="110"/>
        </w:rPr>
        <w:t>genital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disorder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seen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5">
        <w:r>
          <w:rPr>
            <w:color w:val="2E3092"/>
            <w:w w:val="110"/>
          </w:rPr>
          <w:t>18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those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in- </w:t>
      </w:r>
      <w:bookmarkStart w:name="_bookmark8" w:id="16"/>
      <w:bookmarkEnd w:id="16"/>
      <w:r>
        <w:rPr>
          <w:color w:val="231F20"/>
          <w:w w:val="115"/>
        </w:rPr>
        <w:t>s</w:t>
      </w:r>
      <w:r>
        <w:rPr>
          <w:color w:val="231F20"/>
          <w:w w:val="115"/>
        </w:rPr>
        <w:t>tances, whole exome sequencing to identify the entire POLG gene </w:t>
      </w:r>
      <w:bookmarkStart w:name="_bookmark9" w:id="17"/>
      <w:bookmarkEnd w:id="17"/>
      <w:r>
        <w:rPr>
          <w:color w:val="231F20"/>
          <w:w w:val="110"/>
        </w:rPr>
        <w:t>w</w:t>
      </w:r>
      <w:r>
        <w:rPr>
          <w:color w:val="231F20"/>
          <w:w w:val="110"/>
        </w:rPr>
        <w:t>ould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helpful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patients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independent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ethnicity.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Epilepsy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pa- </w:t>
      </w:r>
      <w:bookmarkStart w:name="_bookmark10" w:id="18"/>
      <w:bookmarkEnd w:id="18"/>
      <w:r>
        <w:rPr>
          <w:color w:val="231F20"/>
          <w:w w:val="115"/>
        </w:rPr>
        <w:t>t</w:t>
      </w:r>
      <w:r>
        <w:rPr>
          <w:color w:val="231F20"/>
          <w:w w:val="115"/>
        </w:rPr>
        <w:t>ients that harbor an unrecognized POLG-1 mutation may be at in- </w:t>
      </w:r>
      <w:r>
        <w:rPr>
          <w:color w:val="231F20"/>
          <w:spacing w:val="-2"/>
          <w:w w:val="115"/>
        </w:rPr>
        <w:t>creased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risk for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severe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VPA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hepatotoxicity [</w:t>
      </w:r>
      <w:hyperlink w:history="true" w:anchor="_bookmark15">
        <w:r>
          <w:rPr>
            <w:color w:val="2E3092"/>
            <w:spacing w:val="-2"/>
            <w:w w:val="115"/>
          </w:rPr>
          <w:t>19</w:t>
        </w:r>
      </w:hyperlink>
      <w:r>
        <w:rPr>
          <w:color w:val="231F20"/>
          <w:spacing w:val="-2"/>
          <w:w w:val="115"/>
        </w:rPr>
        <w:t>,</w:t>
      </w:r>
      <w:hyperlink w:history="true" w:anchor="_bookmark15">
        <w:r>
          <w:rPr>
            <w:color w:val="2E3092"/>
            <w:spacing w:val="-2"/>
            <w:w w:val="115"/>
          </w:rPr>
          <w:t>20</w:t>
        </w:r>
      </w:hyperlink>
      <w:r>
        <w:rPr>
          <w:color w:val="231F20"/>
          <w:spacing w:val="-2"/>
          <w:w w:val="115"/>
        </w:rPr>
        <w:t>].</w:t>
      </w:r>
    </w:p>
    <w:p>
      <w:pPr>
        <w:pStyle w:val="BodyText"/>
        <w:spacing w:line="261" w:lineRule="auto"/>
        <w:ind w:left="284" w:firstLine="239"/>
        <w:jc w:val="both"/>
      </w:pPr>
      <w:r>
        <w:rPr>
          <w:color w:val="231F20"/>
          <w:spacing w:val="-2"/>
          <w:w w:val="115"/>
        </w:rPr>
        <w:t>In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past,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acute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liver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failure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attributed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VPA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therapy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patients with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known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POLG1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mutations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has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been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considered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contraindication to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liver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transplantation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among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children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15">
        <w:r>
          <w:rPr>
            <w:color w:val="2E3092"/>
            <w:spacing w:val="-2"/>
            <w:w w:val="115"/>
          </w:rPr>
          <w:t>12</w:t>
        </w:r>
        <w:r>
          <w:rPr>
            <w:rFonts w:ascii="Geneva" w:hAnsi="Geneva"/>
            <w:color w:val="2E3092"/>
            <w:spacing w:val="-2"/>
            <w:w w:val="115"/>
          </w:rPr>
          <w:t>–</w:t>
        </w:r>
        <w:r>
          <w:rPr>
            <w:color w:val="2E3092"/>
            <w:spacing w:val="-2"/>
            <w:w w:val="115"/>
          </w:rPr>
          <w:t>14</w:t>
        </w:r>
      </w:hyperlink>
      <w:r>
        <w:rPr>
          <w:color w:val="231F20"/>
          <w:spacing w:val="-2"/>
          <w:w w:val="115"/>
        </w:rPr>
        <w:t>].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However,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current </w:t>
      </w:r>
      <w:bookmarkStart w:name="_bookmark11" w:id="19"/>
      <w:bookmarkEnd w:id="19"/>
      <w:r>
        <w:rPr>
          <w:color w:val="231F20"/>
          <w:spacing w:val="-2"/>
          <w:w w:val="115"/>
        </w:rPr>
        <w:t>c</w:t>
      </w:r>
      <w:r>
        <w:rPr>
          <w:color w:val="231F20"/>
          <w:spacing w:val="-2"/>
          <w:w w:val="115"/>
        </w:rPr>
        <w:t>ase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illustrates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liver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transplantation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can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result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favorable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clinical outcomes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among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adult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patients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presumably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milder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forms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mito- </w:t>
      </w:r>
      <w:bookmarkStart w:name="_bookmark12" w:id="20"/>
      <w:bookmarkEnd w:id="20"/>
      <w:r>
        <w:rPr>
          <w:color w:val="231F20"/>
          <w:spacing w:val="-2"/>
          <w:w w:val="115"/>
        </w:rPr>
        <w:t>c</w:t>
      </w:r>
      <w:r>
        <w:rPr>
          <w:color w:val="231F20"/>
          <w:spacing w:val="-2"/>
          <w:w w:val="115"/>
        </w:rPr>
        <w:t>hondrial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disorders.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possible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our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patient's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older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age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presen- </w:t>
      </w:r>
      <w:r>
        <w:rPr>
          <w:color w:val="231F20"/>
          <w:w w:val="110"/>
        </w:rPr>
        <w:t>tation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lack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features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suggestive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Alpers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Huttenlocher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syndrome </w:t>
      </w:r>
      <w:bookmarkStart w:name="_bookmark13" w:id="21"/>
      <w:bookmarkEnd w:id="21"/>
      <w:r>
        <w:rPr>
          <w:color w:val="231F20"/>
          <w:w w:val="115"/>
        </w:rPr>
        <w:t>m</w:t>
      </w:r>
      <w:r>
        <w:rPr>
          <w:color w:val="231F20"/>
          <w:w w:val="115"/>
        </w:rPr>
        <w:t>ay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contributed to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his more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favorable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outcome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[</w:t>
      </w:r>
      <w:hyperlink w:history="true" w:anchor="_bookmark14">
        <w:r>
          <w:rPr>
            <w:color w:val="2E3092"/>
            <w:w w:val="115"/>
          </w:rPr>
          <w:t>9</w:t>
        </w:r>
      </w:hyperlink>
      <w:r>
        <w:rPr>
          <w:color w:val="231F20"/>
          <w:w w:val="115"/>
        </w:rPr>
        <w:t>].</w:t>
      </w:r>
    </w:p>
    <w:p>
      <w:pPr>
        <w:pStyle w:val="BodyText"/>
        <w:spacing w:before="17"/>
      </w:pPr>
    </w:p>
    <w:p>
      <w:pPr>
        <w:pStyle w:val="BodyText"/>
        <w:spacing w:before="1"/>
        <w:ind w:left="284"/>
        <w:jc w:val="both"/>
      </w:pPr>
      <w:bookmarkStart w:name="Disclaimer statement" w:id="22"/>
      <w:bookmarkEnd w:id="22"/>
      <w:r>
        <w:rPr/>
      </w:r>
      <w:r>
        <w:rPr>
          <w:color w:val="231F20"/>
          <w:spacing w:val="-2"/>
          <w:w w:val="115"/>
        </w:rPr>
        <w:t>Disclaimer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25"/>
        </w:rPr>
        <w:t>statement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284" w:firstLine="239"/>
        <w:jc w:val="both"/>
      </w:pPr>
      <w:bookmarkStart w:name="_bookmark14" w:id="23"/>
      <w:bookmarkEnd w:id="23"/>
      <w:r>
        <w:rPr/>
      </w:r>
      <w:r>
        <w:rPr>
          <w:color w:val="231F20"/>
          <w:w w:val="110"/>
        </w:rPr>
        <w:t>Some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authors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manuscript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duty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U.S.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Navy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ser- </w:t>
      </w:r>
      <w:r>
        <w:rPr>
          <w:color w:val="231F20"/>
          <w:w w:val="115"/>
        </w:rPr>
        <w:t>vice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members.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work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prepared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part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their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ofﬁcial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duties. </w:t>
      </w:r>
      <w:r>
        <w:rPr>
          <w:color w:val="231F20"/>
          <w:w w:val="110"/>
        </w:rPr>
        <w:t>Title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17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U.S.C.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105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provides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copyright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protection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title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7"/>
          <w:w w:val="110"/>
        </w:rPr>
        <w:t>is</w:t>
      </w:r>
    </w:p>
    <w:p>
      <w:pPr>
        <w:pStyle w:val="BodyText"/>
        <w:spacing w:before="107"/>
        <w:ind w:left="284"/>
        <w:jc w:val="both"/>
      </w:pPr>
      <w:r>
        <w:rPr/>
        <w:br w:type="column"/>
      </w:r>
      <w:r>
        <w:rPr>
          <w:color w:val="231F20"/>
          <w:w w:val="115"/>
        </w:rPr>
        <w:t>not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available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any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work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United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States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Government.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Title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5"/>
          <w:w w:val="115"/>
        </w:rPr>
        <w:t>17</w:t>
      </w:r>
    </w:p>
    <w:p>
      <w:pPr>
        <w:pStyle w:val="BodyText"/>
        <w:spacing w:line="273" w:lineRule="auto" w:before="25"/>
        <w:ind w:left="284" w:right="104"/>
        <w:jc w:val="both"/>
      </w:pPr>
      <w:r>
        <w:rPr>
          <w:color w:val="231F20"/>
          <w:w w:val="110"/>
        </w:rPr>
        <w:t>U.S.C.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101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deﬁnes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United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States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Government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prepared by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military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service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member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employee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United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States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Govern- </w:t>
      </w:r>
      <w:r>
        <w:rPr>
          <w:color w:val="231F20"/>
          <w:w w:val="115"/>
        </w:rPr>
        <w:t>ment as part of that person's ofﬁcial duties.</w:t>
      </w:r>
    </w:p>
    <w:p>
      <w:pPr>
        <w:pStyle w:val="BodyText"/>
        <w:spacing w:before="129"/>
      </w:pPr>
    </w:p>
    <w:p>
      <w:pPr>
        <w:pStyle w:val="BodyText"/>
        <w:ind w:left="284"/>
      </w:pPr>
      <w:r>
        <w:rPr>
          <w:color w:val="231F20"/>
          <w:spacing w:val="-2"/>
          <w:w w:val="115"/>
        </w:rPr>
        <w:t>Ethics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25"/>
        </w:rPr>
        <w:t>statement</w:t>
      </w:r>
    </w:p>
    <w:p>
      <w:pPr>
        <w:pStyle w:val="BodyText"/>
        <w:spacing w:before="26"/>
      </w:pPr>
    </w:p>
    <w:p>
      <w:pPr>
        <w:pStyle w:val="BodyText"/>
        <w:spacing w:line="254" w:lineRule="auto"/>
        <w:ind w:left="284" w:right="106" w:firstLine="239"/>
        <w:jc w:val="both"/>
      </w:pPr>
      <w:r>
        <w:rPr>
          <w:color w:val="231F20"/>
          <w:w w:val="110"/>
        </w:rPr>
        <w:t>Our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manuscript</w:t>
      </w:r>
      <w:r>
        <w:rPr>
          <w:color w:val="231F20"/>
          <w:spacing w:val="-11"/>
          <w:w w:val="110"/>
        </w:rPr>
        <w:t> </w:t>
      </w:r>
      <w:r>
        <w:rPr>
          <w:rFonts w:ascii="Geneva" w:hAnsi="Geneva"/>
          <w:color w:val="231F20"/>
          <w:w w:val="110"/>
        </w:rPr>
        <w:t>“</w:t>
      </w:r>
      <w:r>
        <w:rPr>
          <w:color w:val="231F20"/>
          <w:w w:val="110"/>
        </w:rPr>
        <w:t>Acute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Liver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failure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military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recruit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treated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 </w:t>
      </w:r>
      <w:r>
        <w:rPr>
          <w:color w:val="231F20"/>
          <w:w w:val="115"/>
        </w:rPr>
        <w:t>valproic</w:t>
      </w:r>
      <w:r>
        <w:rPr>
          <w:color w:val="231F20"/>
          <w:w w:val="115"/>
        </w:rPr>
        <w:t> acid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harboring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previously</w:t>
      </w:r>
      <w:r>
        <w:rPr>
          <w:color w:val="231F20"/>
          <w:w w:val="115"/>
        </w:rPr>
        <w:t> unrecognized</w:t>
      </w:r>
      <w:r>
        <w:rPr>
          <w:color w:val="231F20"/>
          <w:w w:val="115"/>
        </w:rPr>
        <w:t> POLG-1 mutation</w:t>
      </w:r>
      <w:r>
        <w:rPr>
          <w:rFonts w:ascii="Geneva" w:hAnsi="Geneva"/>
          <w:color w:val="231F20"/>
          <w:w w:val="115"/>
        </w:rPr>
        <w:t>”</w:t>
      </w:r>
      <w:r>
        <w:rPr>
          <w:rFonts w:ascii="Geneva" w:hAnsi="Geneva"/>
          <w:color w:val="231F20"/>
          <w:spacing w:val="-16"/>
          <w:w w:val="115"/>
        </w:rPr>
        <w:t> </w:t>
      </w:r>
      <w:r>
        <w:rPr>
          <w:color w:val="231F20"/>
          <w:w w:val="115"/>
        </w:rPr>
        <w:t>does adhere to ethics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in publishing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and ethical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guidelines for journal publication.</w:t>
      </w:r>
    </w:p>
    <w:p>
      <w:pPr>
        <w:pStyle w:val="BodyText"/>
        <w:spacing w:before="138"/>
      </w:pPr>
    </w:p>
    <w:p>
      <w:pPr>
        <w:pStyle w:val="BodyText"/>
        <w:spacing w:before="1"/>
        <w:ind w:left="284"/>
      </w:pPr>
      <w:r>
        <w:rPr>
          <w:color w:val="231F20"/>
          <w:w w:val="115"/>
        </w:rPr>
        <w:t>Declaration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of competing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-2"/>
          <w:w w:val="115"/>
        </w:rPr>
        <w:t>interest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284" w:right="104" w:firstLine="239"/>
        <w:jc w:val="both"/>
      </w:pPr>
      <w:r>
        <w:rPr>
          <w:color w:val="231F20"/>
          <w:w w:val="110"/>
        </w:rPr>
        <w:t>The authors John T. Bassett, Sanford Health, Fargo, ND; Benjamin Rodriguez, Naval Hospital Jacksonville, FL; and Lisa Mulligan, Naval Medical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Center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Portsmouth, Portsmouth,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declare 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they have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 conﬂicts of interest/disclosures.</w:t>
      </w:r>
    </w:p>
    <w:p>
      <w:pPr>
        <w:pStyle w:val="BodyText"/>
        <w:spacing w:line="273" w:lineRule="auto"/>
        <w:ind w:left="284" w:right="104" w:firstLine="239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author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Robert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J.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Fontana,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University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Michigan,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Arbor,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MI </w:t>
      </w:r>
      <w:r>
        <w:rPr>
          <w:color w:val="231F20"/>
          <w:w w:val="110"/>
        </w:rPr>
        <w:t>has received research grants from Abbvie, Gilead and Bristol-Myers Squibb. He also consults for Sanoﬁ.</w:t>
      </w:r>
    </w:p>
    <w:p>
      <w:pPr>
        <w:pStyle w:val="BodyText"/>
        <w:spacing w:before="21"/>
      </w:pPr>
    </w:p>
    <w:p>
      <w:pPr>
        <w:pStyle w:val="BodyText"/>
        <w:ind w:left="284"/>
      </w:pPr>
      <w:r>
        <w:rPr>
          <w:color w:val="231F20"/>
          <w:spacing w:val="-2"/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73" w:after="0"/>
        <w:ind w:left="581" w:right="0" w:hanging="226"/>
        <w:jc w:val="both"/>
        <w:rPr>
          <w:sz w:val="12"/>
        </w:rPr>
      </w:pPr>
      <w:r>
        <w:rPr>
          <w:color w:val="231F20"/>
          <w:w w:val="115"/>
          <w:sz w:val="12"/>
        </w:rPr>
        <w:t>Accessdata.fda.gov.</w:t>
      </w:r>
      <w:r>
        <w:rPr>
          <w:color w:val="231F20"/>
          <w:spacing w:val="73"/>
          <w:w w:val="150"/>
          <w:sz w:val="12"/>
        </w:rPr>
        <w:t>  </w:t>
      </w:r>
      <w:hyperlink r:id="rId22">
        <w:r>
          <w:rPr>
            <w:color w:val="2E3092"/>
            <w:spacing w:val="-2"/>
            <w:w w:val="115"/>
            <w:sz w:val="12"/>
          </w:rPr>
          <w:t>https://www.accessdata.fda.gov/drugsatfda_docs/label/2011/</w:t>
        </w:r>
      </w:hyperlink>
    </w:p>
    <w:p>
      <w:pPr>
        <w:spacing w:before="21"/>
        <w:ind w:left="582" w:right="0" w:firstLine="0"/>
        <w:jc w:val="both"/>
        <w:rPr>
          <w:sz w:val="12"/>
        </w:rPr>
      </w:pPr>
      <w:hyperlink r:id="rId22">
        <w:r>
          <w:rPr>
            <w:color w:val="2E3092"/>
            <w:w w:val="115"/>
            <w:sz w:val="12"/>
          </w:rPr>
          <w:t>018081s046_18082s031lbl.pdf</w:t>
        </w:r>
      </w:hyperlink>
      <w:r>
        <w:rPr>
          <w:color w:val="231F20"/>
          <w:w w:val="115"/>
          <w:sz w:val="12"/>
        </w:rPr>
        <w:t>.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Published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2019.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Accessed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July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5,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2019.</w:t>
      </w:r>
    </w:p>
    <w:p>
      <w:pPr>
        <w:pStyle w:val="ListParagraph"/>
        <w:numPr>
          <w:ilvl w:val="0"/>
          <w:numId w:val="2"/>
        </w:numPr>
        <w:tabs>
          <w:tab w:pos="577" w:val="left" w:leader="none"/>
          <w:tab w:pos="579" w:val="left" w:leader="none"/>
        </w:tabs>
        <w:spacing w:line="244" w:lineRule="auto" w:before="22" w:after="0"/>
        <w:ind w:left="579" w:right="104" w:hanging="224"/>
        <w:jc w:val="both"/>
        <w:rPr>
          <w:sz w:val="12"/>
        </w:rPr>
      </w:pPr>
      <w:r>
        <w:rPr>
          <w:color w:val="231F20"/>
          <w:w w:val="115"/>
          <w:sz w:val="12"/>
        </w:rPr>
        <w:t>Bryant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Dreifuss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F.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Valproic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acid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hepatic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fatalities.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III.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U.S.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experience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since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1986.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Neurology 1996;46(2):465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9. </w:t>
      </w:r>
      <w:hyperlink r:id="rId23">
        <w:r>
          <w:rPr>
            <w:color w:val="2E3092"/>
            <w:w w:val="115"/>
            <w:sz w:val="12"/>
          </w:rPr>
          <w:t>https://doi.org/10.1212/wnl.46.2.465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  <w:tab w:pos="586" w:val="left" w:leader="none"/>
        </w:tabs>
        <w:spacing w:line="244" w:lineRule="auto" w:before="15" w:after="0"/>
        <w:ind w:left="586" w:right="107" w:hanging="231"/>
        <w:jc w:val="both"/>
        <w:rPr>
          <w:sz w:val="12"/>
        </w:rPr>
      </w:pPr>
      <w:r>
        <w:rPr>
          <w:color w:val="231F20"/>
          <w:w w:val="115"/>
          <w:sz w:val="12"/>
        </w:rPr>
        <w:t>Dreifuss</w:t>
      </w:r>
      <w:r>
        <w:rPr>
          <w:color w:val="231F20"/>
          <w:w w:val="115"/>
          <w:sz w:val="12"/>
        </w:rPr>
        <w:t> F,</w:t>
      </w:r>
      <w:r>
        <w:rPr>
          <w:color w:val="231F20"/>
          <w:w w:val="115"/>
          <w:sz w:val="12"/>
        </w:rPr>
        <w:t> Langer</w:t>
      </w:r>
      <w:r>
        <w:rPr>
          <w:color w:val="231F20"/>
          <w:w w:val="115"/>
          <w:sz w:val="12"/>
        </w:rPr>
        <w:t> D.</w:t>
      </w:r>
      <w:r>
        <w:rPr>
          <w:color w:val="231F20"/>
          <w:w w:val="115"/>
          <w:sz w:val="12"/>
        </w:rPr>
        <w:t> Hepatic</w:t>
      </w:r>
      <w:r>
        <w:rPr>
          <w:color w:val="231F20"/>
          <w:w w:val="115"/>
          <w:sz w:val="12"/>
        </w:rPr>
        <w:t> considerations</w:t>
      </w:r>
      <w:r>
        <w:rPr>
          <w:color w:val="231F20"/>
          <w:w w:val="115"/>
          <w:sz w:val="12"/>
        </w:rPr>
        <w:t> in</w:t>
      </w:r>
      <w:r>
        <w:rPr>
          <w:color w:val="231F20"/>
          <w:w w:val="115"/>
          <w:sz w:val="12"/>
        </w:rPr>
        <w:t> the</w:t>
      </w:r>
      <w:r>
        <w:rPr>
          <w:color w:val="231F20"/>
          <w:w w:val="115"/>
          <w:sz w:val="12"/>
        </w:rPr>
        <w:t> use</w:t>
      </w:r>
      <w:r>
        <w:rPr>
          <w:color w:val="231F20"/>
          <w:w w:val="115"/>
          <w:sz w:val="12"/>
        </w:rPr>
        <w:t> of</w:t>
      </w:r>
      <w:r>
        <w:rPr>
          <w:color w:val="231F20"/>
          <w:w w:val="115"/>
          <w:sz w:val="12"/>
        </w:rPr>
        <w:t> antiepileptic</w:t>
      </w:r>
      <w:r>
        <w:rPr>
          <w:color w:val="231F20"/>
          <w:w w:val="115"/>
          <w:sz w:val="12"/>
        </w:rPr>
        <w:t> drugs.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Epilepsia 1987;28(s2):S23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9. </w:t>
      </w:r>
      <w:hyperlink r:id="rId15">
        <w:r>
          <w:rPr>
            <w:color w:val="2E3092"/>
            <w:w w:val="115"/>
            <w:sz w:val="12"/>
          </w:rPr>
          <w:t>https://doi.org/10.1111/j.1528-1157.1987.tb05768.x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76" w:lineRule="auto" w:before="15" w:after="0"/>
        <w:ind w:left="576" w:right="106" w:hanging="222"/>
        <w:jc w:val="both"/>
        <w:rPr>
          <w:sz w:val="12"/>
        </w:rPr>
      </w:pPr>
      <w:r>
        <w:rPr>
          <w:color w:val="231F20"/>
          <w:spacing w:val="-2"/>
          <w:w w:val="115"/>
          <w:sz w:val="12"/>
        </w:rPr>
        <w:t>Dreifuss F, Santilli N,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Langer D,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Sweeney K, Moline K,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Menander K.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Valproic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acid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he-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patic fatalities: a retrospective review. Neurology 1987;37(3):379. </w:t>
      </w:r>
      <w:hyperlink r:id="rId24">
        <w:r>
          <w:rPr>
            <w:color w:val="2E3092"/>
            <w:w w:val="115"/>
            <w:sz w:val="12"/>
          </w:rPr>
          <w:t>https://doi.org/</w:t>
        </w:r>
      </w:hyperlink>
      <w:r>
        <w:rPr>
          <w:color w:val="2E3092"/>
          <w:spacing w:val="40"/>
          <w:w w:val="115"/>
          <w:sz w:val="12"/>
        </w:rPr>
        <w:t> </w:t>
      </w:r>
      <w:hyperlink r:id="rId24">
        <w:r>
          <w:rPr>
            <w:color w:val="2E3092"/>
            <w:spacing w:val="-2"/>
            <w:w w:val="115"/>
            <w:sz w:val="12"/>
          </w:rPr>
          <w:t>10.1212/wnl.37.3.379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  <w:tab w:pos="586" w:val="left" w:leader="none"/>
        </w:tabs>
        <w:spacing w:line="261" w:lineRule="auto" w:before="2" w:after="0"/>
        <w:ind w:left="586" w:right="106" w:hanging="231"/>
        <w:jc w:val="both"/>
        <w:rPr>
          <w:sz w:val="12"/>
        </w:rPr>
      </w:pPr>
      <w:hyperlink r:id="rId25">
        <w:r>
          <w:rPr>
            <w:color w:val="2E3092"/>
            <w:w w:val="120"/>
            <w:sz w:val="12"/>
          </w:rPr>
          <w:t>Mindikoglu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AL,</w:t>
        </w:r>
        <w:r>
          <w:rPr>
            <w:color w:val="2E3092"/>
            <w:spacing w:val="-2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Magder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LS,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Regev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A.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Outcome</w:t>
        </w:r>
        <w:r>
          <w:rPr>
            <w:color w:val="2E3092"/>
            <w:spacing w:val="-2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of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liver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transplantation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for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drug-</w:t>
        </w:r>
      </w:hyperlink>
      <w:r>
        <w:rPr>
          <w:color w:val="2E3092"/>
          <w:spacing w:val="40"/>
          <w:w w:val="120"/>
          <w:sz w:val="12"/>
        </w:rPr>
        <w:t> </w:t>
      </w:r>
      <w:hyperlink r:id="rId25">
        <w:r>
          <w:rPr>
            <w:color w:val="2E3092"/>
            <w:w w:val="120"/>
            <w:sz w:val="12"/>
          </w:rPr>
          <w:t>induced</w:t>
        </w:r>
        <w:r>
          <w:rPr>
            <w:color w:val="2E3092"/>
            <w:spacing w:val="-4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acute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liver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failure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in</w:t>
        </w:r>
        <w:r>
          <w:rPr>
            <w:color w:val="2E3092"/>
            <w:spacing w:val="-7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the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United</w:t>
        </w:r>
        <w:r>
          <w:rPr>
            <w:color w:val="2E3092"/>
            <w:spacing w:val="-7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States: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analysis</w:t>
        </w:r>
        <w:r>
          <w:rPr>
            <w:color w:val="2E3092"/>
            <w:spacing w:val="-6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of</w:t>
        </w:r>
        <w:r>
          <w:rPr>
            <w:color w:val="2E3092"/>
            <w:spacing w:val="-7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the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United</w:t>
        </w:r>
        <w:r>
          <w:rPr>
            <w:color w:val="2E3092"/>
            <w:spacing w:val="-7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Network</w:t>
        </w:r>
        <w:r>
          <w:rPr>
            <w:color w:val="2E3092"/>
            <w:spacing w:val="-7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for</w:t>
        </w:r>
      </w:hyperlink>
      <w:r>
        <w:rPr>
          <w:color w:val="2E3092"/>
          <w:spacing w:val="40"/>
          <w:w w:val="120"/>
          <w:sz w:val="12"/>
        </w:rPr>
        <w:t> </w:t>
      </w:r>
      <w:hyperlink r:id="rId25">
        <w:r>
          <w:rPr>
            <w:color w:val="2E3092"/>
            <w:w w:val="120"/>
            <w:sz w:val="12"/>
          </w:rPr>
          <w:t>Organ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Sharing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database.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Liver</w:t>
        </w:r>
        <w:r>
          <w:rPr>
            <w:color w:val="2E3092"/>
            <w:spacing w:val="-4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Transpl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2009;15:719</w:t>
        </w:r>
        <w:r>
          <w:rPr>
            <w:rFonts w:ascii="Geneva" w:hAnsi="Geneva"/>
            <w:color w:val="2E3092"/>
            <w:w w:val="120"/>
            <w:sz w:val="12"/>
          </w:rPr>
          <w:t>–</w:t>
        </w:r>
        <w:r>
          <w:rPr>
            <w:color w:val="2E3092"/>
            <w:w w:val="120"/>
            <w:sz w:val="12"/>
          </w:rPr>
          <w:t>29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[PubMed: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19562705].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44" w:lineRule="auto" w:before="3" w:after="0"/>
        <w:ind w:left="576" w:right="106" w:hanging="222"/>
        <w:jc w:val="both"/>
        <w:rPr>
          <w:sz w:val="12"/>
        </w:rPr>
      </w:pPr>
      <w:r>
        <w:rPr>
          <w:color w:val="231F20"/>
          <w:w w:val="115"/>
          <w:sz w:val="12"/>
        </w:rPr>
        <w:t>Nanau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R,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Neuman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M.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Adverse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drug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reactions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induced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by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valproic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acid.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Clin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Biochem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2013;46(15):1323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38.</w:t>
      </w:r>
      <w:r>
        <w:rPr>
          <w:color w:val="231F20"/>
          <w:spacing w:val="-3"/>
          <w:w w:val="115"/>
          <w:sz w:val="12"/>
        </w:rPr>
        <w:t> </w:t>
      </w:r>
      <w:hyperlink r:id="rId26">
        <w:r>
          <w:rPr>
            <w:color w:val="2E3092"/>
            <w:w w:val="115"/>
            <w:sz w:val="12"/>
          </w:rPr>
          <w:t>https://doi.org/10.1016/j.clinbiochem.2013.06.012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77" w:val="left" w:leader="none"/>
          <w:tab w:pos="579" w:val="left" w:leader="none"/>
        </w:tabs>
        <w:spacing w:line="276" w:lineRule="auto" w:before="15" w:after="0"/>
        <w:ind w:left="579" w:right="105" w:hanging="224"/>
        <w:jc w:val="both"/>
        <w:rPr>
          <w:sz w:val="12"/>
        </w:rPr>
      </w:pPr>
      <w:r>
        <w:rPr>
          <w:color w:val="231F20"/>
          <w:spacing w:val="-2"/>
          <w:w w:val="120"/>
          <w:sz w:val="12"/>
        </w:rPr>
        <w:t>McFarland R, Hudson G, Taylor R, et al. Reversible valproate hepatotoxicity due to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mutations in mitochondrial DNA polymerase (POLG1). Case Reports 2009. </w:t>
      </w:r>
      <w:hyperlink r:id="rId27">
        <w:r>
          <w:rPr>
            <w:color w:val="2E3092"/>
            <w:spacing w:val="-2"/>
            <w:w w:val="120"/>
            <w:sz w:val="12"/>
          </w:rPr>
          <w:t>https://</w:t>
        </w:r>
      </w:hyperlink>
      <w:r>
        <w:rPr>
          <w:color w:val="2E3092"/>
          <w:spacing w:val="40"/>
          <w:w w:val="120"/>
          <w:sz w:val="12"/>
        </w:rPr>
        <w:t> </w:t>
      </w:r>
      <w:hyperlink r:id="rId27">
        <w:r>
          <w:rPr>
            <w:color w:val="2E3092"/>
            <w:spacing w:val="-2"/>
            <w:w w:val="120"/>
            <w:sz w:val="12"/>
          </w:rPr>
          <w:t>doi.org/10.1136/bcr.12.2008.1303</w:t>
        </w:r>
      </w:hyperlink>
      <w:r>
        <w:rPr>
          <w:color w:val="2E3092"/>
          <w:spacing w:val="-2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2009(may10 1):bcr1220081303-bcr1220081303.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  <w:tab w:pos="578" w:val="left" w:leader="none"/>
        </w:tabs>
        <w:spacing w:line="264" w:lineRule="auto" w:before="1" w:after="0"/>
        <w:ind w:left="578" w:right="104" w:hanging="223"/>
        <w:jc w:val="both"/>
        <w:rPr>
          <w:sz w:val="12"/>
        </w:rPr>
      </w:pPr>
      <w:r>
        <w:rPr>
          <w:color w:val="231F20"/>
          <w:w w:val="115"/>
          <w:sz w:val="12"/>
        </w:rPr>
        <w:t>Hynynen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J,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Komulainen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T,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Tukiainen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E,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Nordin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A,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Arola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J,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Kälviäinen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R,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al.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Acute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liver failure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after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valproate exposure in patients with POLG1mutations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and the prog-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nosis after liver transplantation. Liver Transpl 2014;20(11):1402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12. </w:t>
      </w:r>
      <w:hyperlink r:id="rId28">
        <w:r>
          <w:rPr>
            <w:color w:val="2E3092"/>
            <w:w w:val="115"/>
            <w:sz w:val="12"/>
          </w:rPr>
          <w:t>https://doi.</w:t>
        </w:r>
      </w:hyperlink>
      <w:r>
        <w:rPr>
          <w:color w:val="2E3092"/>
          <w:spacing w:val="40"/>
          <w:w w:val="115"/>
          <w:sz w:val="12"/>
        </w:rPr>
        <w:t> </w:t>
      </w:r>
      <w:hyperlink r:id="rId28">
        <w:r>
          <w:rPr>
            <w:color w:val="2E3092"/>
            <w:spacing w:val="-2"/>
            <w:w w:val="115"/>
            <w:sz w:val="12"/>
          </w:rPr>
          <w:t>org/10.1002/lt.23965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56" w:lineRule="auto" w:before="7" w:after="0"/>
        <w:ind w:left="576" w:right="105" w:hanging="222"/>
        <w:jc w:val="both"/>
        <w:rPr>
          <w:sz w:val="12"/>
        </w:rPr>
      </w:pPr>
      <w:r>
        <w:rPr>
          <w:color w:val="231F20"/>
          <w:spacing w:val="-2"/>
          <w:w w:val="120"/>
          <w:sz w:val="12"/>
        </w:rPr>
        <w:t>McKiernan P. Acute liver failure after valproate exposure: liver transplantation may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be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w w:val="120"/>
          <w:sz w:val="12"/>
        </w:rPr>
        <w:t>indicated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beyond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childhood.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Liver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Transpl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2014;20(11):1287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9.</w:t>
      </w:r>
      <w:r>
        <w:rPr>
          <w:color w:val="231F20"/>
          <w:spacing w:val="-9"/>
          <w:w w:val="120"/>
          <w:sz w:val="12"/>
        </w:rPr>
        <w:t> </w:t>
      </w:r>
      <w:hyperlink r:id="rId29">
        <w:r>
          <w:rPr>
            <w:color w:val="2E3092"/>
            <w:w w:val="120"/>
            <w:sz w:val="12"/>
          </w:rPr>
          <w:t>https://doi.org/</w:t>
        </w:r>
      </w:hyperlink>
      <w:r>
        <w:rPr>
          <w:color w:val="2E3092"/>
          <w:spacing w:val="40"/>
          <w:w w:val="125"/>
          <w:sz w:val="12"/>
        </w:rPr>
        <w:t> </w:t>
      </w:r>
      <w:hyperlink r:id="rId29">
        <w:r>
          <w:rPr>
            <w:color w:val="2E3092"/>
            <w:spacing w:val="-2"/>
            <w:w w:val="125"/>
            <w:sz w:val="12"/>
          </w:rPr>
          <w:t>10.1002/lt.23988</w:t>
        </w:r>
      </w:hyperlink>
      <w:r>
        <w:rPr>
          <w:color w:val="231F20"/>
          <w:spacing w:val="-2"/>
          <w:w w:val="125"/>
          <w:sz w:val="12"/>
        </w:rPr>
        <w:t>.</w:t>
      </w:r>
    </w:p>
    <w:p>
      <w:pPr>
        <w:pStyle w:val="ListParagraph"/>
        <w:spacing w:after="0" w:line="256" w:lineRule="auto"/>
        <w:jc w:val="both"/>
        <w:rPr>
          <w:sz w:val="12"/>
        </w:rPr>
        <w:sectPr>
          <w:type w:val="continuous"/>
          <w:pgSz w:w="11910" w:h="15880"/>
          <w:pgMar w:top="640" w:bottom="280" w:left="566" w:right="566"/>
          <w:cols w:num="2" w:equalWidth="0">
            <w:col w:w="5308" w:space="52"/>
            <w:col w:w="5418"/>
          </w:cols>
        </w:sectPr>
      </w:pPr>
    </w:p>
    <w:p>
      <w:pPr>
        <w:tabs>
          <w:tab w:pos="3535" w:val="left" w:leader="none"/>
        </w:tabs>
        <w:spacing w:before="90"/>
        <w:ind w:left="108" w:right="0" w:firstLine="0"/>
        <w:jc w:val="left"/>
        <w:rPr>
          <w:i/>
          <w:sz w:val="12"/>
        </w:rPr>
      </w:pPr>
      <w:bookmarkStart w:name="_bookmark15" w:id="24"/>
      <w:bookmarkEnd w:id="24"/>
      <w:r>
        <w:rPr/>
      </w:r>
      <w:r>
        <w:rPr>
          <w:color w:val="231F20"/>
          <w:spacing w:val="-10"/>
          <w:w w:val="110"/>
          <w:sz w:val="12"/>
        </w:rPr>
        <w:t>4</w:t>
      </w:r>
      <w:r>
        <w:rPr>
          <w:color w:val="231F20"/>
          <w:sz w:val="12"/>
        </w:rPr>
        <w:tab/>
      </w:r>
      <w:r>
        <w:rPr>
          <w:i/>
          <w:color w:val="231F20"/>
          <w:w w:val="110"/>
          <w:sz w:val="12"/>
        </w:rPr>
        <w:t>J.T.</w:t>
      </w:r>
      <w:r>
        <w:rPr>
          <w:i/>
          <w:color w:val="231F20"/>
          <w:spacing w:val="-7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Bassett</w:t>
      </w:r>
      <w:r>
        <w:rPr>
          <w:i/>
          <w:color w:val="231F20"/>
          <w:spacing w:val="-6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et</w:t>
      </w:r>
      <w:r>
        <w:rPr>
          <w:i/>
          <w:color w:val="231F20"/>
          <w:spacing w:val="-7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al.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/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Epilepsy</w:t>
      </w:r>
      <w:r>
        <w:rPr>
          <w:i/>
          <w:color w:val="231F20"/>
          <w:spacing w:val="-7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&amp;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Behavior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Reports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12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(2019)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100342</w:t>
      </w:r>
    </w:p>
    <w:p>
      <w:pPr>
        <w:pStyle w:val="BodyText"/>
        <w:spacing w:before="1"/>
        <w:rPr>
          <w:i/>
          <w:sz w:val="10"/>
        </w:rPr>
      </w:pPr>
    </w:p>
    <w:p>
      <w:pPr>
        <w:pStyle w:val="BodyText"/>
        <w:spacing w:after="0"/>
        <w:rPr>
          <w:i/>
          <w:sz w:val="10"/>
        </w:rPr>
        <w:sectPr>
          <w:pgSz w:w="11910" w:h="15880"/>
          <w:pgMar w:top="640" w:bottom="280" w:left="566" w:right="566"/>
        </w:sectPr>
      </w:pP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56" w:lineRule="auto" w:before="113" w:after="0"/>
        <w:ind w:left="401" w:right="38" w:hanging="293"/>
        <w:jc w:val="both"/>
        <w:rPr>
          <w:sz w:val="12"/>
        </w:rPr>
      </w:pPr>
      <w:r>
        <w:rPr>
          <w:color w:val="231F20"/>
          <w:w w:val="110"/>
          <w:sz w:val="12"/>
        </w:rPr>
        <w:t>Ishikura H, Matsuo N, Matsubara M, Ishihara T, Takeyama N, Tanaka T. Valproic acid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overdose and </w:t>
      </w:r>
      <w:r>
        <w:rPr>
          <w:color w:val="231F20"/>
          <w:w w:val="110"/>
          <w:sz w:val="9"/>
        </w:rPr>
        <w:t>L</w:t>
      </w:r>
      <w:r>
        <w:rPr>
          <w:color w:val="231F20"/>
          <w:w w:val="110"/>
          <w:sz w:val="12"/>
        </w:rPr>
        <w:t>-carnitine therapy. J Anal Toxicol 1996;20(1):55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8. </w:t>
      </w:r>
      <w:hyperlink r:id="rId30">
        <w:r>
          <w:rPr>
            <w:color w:val="2E3092"/>
            <w:w w:val="110"/>
            <w:sz w:val="12"/>
          </w:rPr>
          <w:t>https://doi.org/</w:t>
        </w:r>
      </w:hyperlink>
      <w:r>
        <w:rPr>
          <w:color w:val="2E3092"/>
          <w:spacing w:val="40"/>
          <w:w w:val="110"/>
          <w:sz w:val="12"/>
        </w:rPr>
        <w:t> </w:t>
      </w:r>
      <w:hyperlink r:id="rId30">
        <w:r>
          <w:rPr>
            <w:color w:val="2E3092"/>
            <w:spacing w:val="-2"/>
            <w:w w:val="110"/>
            <w:sz w:val="12"/>
          </w:rPr>
          <w:t>10.1093/jat/20.1.55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1" w:lineRule="auto" w:before="12" w:after="0"/>
        <w:ind w:left="401" w:right="38" w:hanging="293"/>
        <w:jc w:val="both"/>
        <w:rPr>
          <w:sz w:val="12"/>
        </w:rPr>
      </w:pPr>
      <w:r>
        <w:rPr>
          <w:color w:val="231F20"/>
          <w:w w:val="115"/>
          <w:sz w:val="12"/>
        </w:rPr>
        <w:t>Aires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C,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Ruiter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J,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Luis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P,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al.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Studies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on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extra-mitochondrial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CoA-ester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formation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valproic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-3"/>
          <w:w w:val="115"/>
          <w:sz w:val="12"/>
        </w:rPr>
        <w:t> </w:t>
      </w:r>
      <w:r>
        <w:rPr>
          <w:rFonts w:ascii="Arial" w:hAnsi="Arial"/>
          <w:color w:val="231F20"/>
          <w:w w:val="115"/>
          <w:sz w:val="12"/>
        </w:rPr>
        <w:t>Δ</w:t>
      </w:r>
      <w:r>
        <w:rPr>
          <w:color w:val="231F20"/>
          <w:w w:val="115"/>
          <w:sz w:val="12"/>
        </w:rPr>
        <w:t>4-valproic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acids.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Biochimica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Biophysica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Acta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(BBA)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-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Molecular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and Cell Biology of Lipids 2007;1771(4):533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43. </w:t>
      </w:r>
      <w:hyperlink r:id="rId31">
        <w:r>
          <w:rPr>
            <w:color w:val="2E3092"/>
            <w:w w:val="115"/>
            <w:sz w:val="12"/>
          </w:rPr>
          <w:t>https://doi.org/10.1016/j.bbalip.</w:t>
        </w:r>
      </w:hyperlink>
      <w:r>
        <w:rPr>
          <w:color w:val="2E3092"/>
          <w:spacing w:val="40"/>
          <w:w w:val="115"/>
          <w:sz w:val="12"/>
        </w:rPr>
        <w:t> </w:t>
      </w:r>
      <w:hyperlink r:id="rId31">
        <w:r>
          <w:rPr>
            <w:color w:val="2E3092"/>
            <w:spacing w:val="-2"/>
            <w:w w:val="115"/>
            <w:sz w:val="12"/>
          </w:rPr>
          <w:t>2007.01.010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64" w:lineRule="auto" w:before="11" w:after="0"/>
        <w:ind w:left="402" w:right="38" w:hanging="294"/>
        <w:jc w:val="both"/>
        <w:rPr>
          <w:sz w:val="12"/>
        </w:rPr>
      </w:pPr>
      <w:r>
        <w:rPr>
          <w:color w:val="231F20"/>
          <w:w w:val="110"/>
          <w:sz w:val="12"/>
        </w:rPr>
        <w:t>Mindikoglu A, King D, Magder L, Ozolek J, Mazariegos G, Shneider B. Valproic acid-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associated acute liver failure in children: case report and analysis of liver transplan-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tation outcomes in the United States. J Pediatr 2011;158(5):802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7. </w:t>
      </w:r>
      <w:hyperlink r:id="rId32">
        <w:r>
          <w:rPr>
            <w:color w:val="2E3092"/>
            <w:w w:val="110"/>
            <w:sz w:val="12"/>
          </w:rPr>
          <w:t>https://doi.org/</w:t>
        </w:r>
      </w:hyperlink>
      <w:r>
        <w:rPr>
          <w:color w:val="2E3092"/>
          <w:spacing w:val="40"/>
          <w:w w:val="110"/>
          <w:sz w:val="12"/>
        </w:rPr>
        <w:t> </w:t>
      </w:r>
      <w:hyperlink r:id="rId32">
        <w:r>
          <w:rPr>
            <w:color w:val="2E3092"/>
            <w:spacing w:val="-2"/>
            <w:w w:val="110"/>
            <w:sz w:val="12"/>
          </w:rPr>
          <w:t>10.1016/j.jpeds.2010.10.033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56" w:lineRule="auto" w:before="6" w:after="0"/>
        <w:ind w:left="401" w:right="38" w:hanging="293"/>
        <w:jc w:val="both"/>
        <w:rPr>
          <w:sz w:val="12"/>
        </w:rPr>
      </w:pPr>
      <w:r>
        <w:rPr>
          <w:color w:val="231F20"/>
          <w:w w:val="110"/>
          <w:sz w:val="12"/>
        </w:rPr>
        <w:t>Lee W, Sokol R. Mitochondrial hepatopathies: advances in genetics, therapeutic ap-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proaches, and outcomes. J Pediatr 2013;163(4):942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8. </w:t>
      </w:r>
      <w:hyperlink r:id="rId33">
        <w:r>
          <w:rPr>
            <w:color w:val="2E3092"/>
            <w:w w:val="110"/>
            <w:sz w:val="12"/>
          </w:rPr>
          <w:t>https://doi.org/10.1016/j.</w:t>
        </w:r>
      </w:hyperlink>
      <w:r>
        <w:rPr>
          <w:color w:val="2E3092"/>
          <w:spacing w:val="40"/>
          <w:w w:val="110"/>
          <w:sz w:val="12"/>
        </w:rPr>
        <w:t> </w:t>
      </w:r>
      <w:hyperlink r:id="rId33">
        <w:r>
          <w:rPr>
            <w:color w:val="2E3092"/>
            <w:spacing w:val="-2"/>
            <w:w w:val="110"/>
            <w:sz w:val="12"/>
          </w:rPr>
          <w:t>jpeds.2013.05.036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56" w:lineRule="auto" w:before="12" w:after="0"/>
        <w:ind w:left="403" w:right="38" w:hanging="295"/>
        <w:jc w:val="both"/>
        <w:rPr>
          <w:sz w:val="12"/>
        </w:rPr>
      </w:pPr>
      <w:r>
        <w:rPr>
          <w:color w:val="231F20"/>
          <w:w w:val="110"/>
          <w:sz w:val="12"/>
        </w:rPr>
        <w:t>McKiernan</w:t>
      </w:r>
      <w:r>
        <w:rPr>
          <w:color w:val="231F20"/>
          <w:spacing w:val="32"/>
          <w:w w:val="110"/>
          <w:sz w:val="12"/>
        </w:rPr>
        <w:t> </w:t>
      </w:r>
      <w:r>
        <w:rPr>
          <w:color w:val="231F20"/>
          <w:w w:val="110"/>
          <w:sz w:val="12"/>
        </w:rPr>
        <w:t>P.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Liver</w:t>
      </w:r>
      <w:r>
        <w:rPr>
          <w:color w:val="231F20"/>
          <w:spacing w:val="32"/>
          <w:w w:val="110"/>
          <w:sz w:val="12"/>
        </w:rPr>
        <w:t> </w:t>
      </w:r>
      <w:r>
        <w:rPr>
          <w:color w:val="231F20"/>
          <w:w w:val="110"/>
          <w:sz w:val="12"/>
        </w:rPr>
        <w:t>transplantation</w:t>
      </w:r>
      <w:r>
        <w:rPr>
          <w:color w:val="231F20"/>
          <w:spacing w:val="32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32"/>
          <w:w w:val="110"/>
          <w:sz w:val="12"/>
        </w:rPr>
        <w:t> </w:t>
      </w:r>
      <w:r>
        <w:rPr>
          <w:color w:val="231F20"/>
          <w:w w:val="110"/>
          <w:sz w:val="12"/>
        </w:rPr>
        <w:t>cell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therapies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inborn</w:t>
      </w:r>
      <w:r>
        <w:rPr>
          <w:color w:val="231F20"/>
          <w:spacing w:val="32"/>
          <w:w w:val="110"/>
          <w:sz w:val="12"/>
        </w:rPr>
        <w:t> </w:t>
      </w:r>
      <w:r>
        <w:rPr>
          <w:color w:val="231F20"/>
          <w:w w:val="110"/>
          <w:sz w:val="12"/>
        </w:rPr>
        <w:t>errors</w:t>
      </w:r>
      <w:r>
        <w:rPr>
          <w:color w:val="231F20"/>
          <w:spacing w:val="32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metabo-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lism.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J</w:t>
      </w:r>
      <w:r>
        <w:rPr>
          <w:color w:val="231F20"/>
          <w:spacing w:val="34"/>
          <w:w w:val="110"/>
          <w:sz w:val="12"/>
        </w:rPr>
        <w:t> </w:t>
      </w:r>
      <w:r>
        <w:rPr>
          <w:color w:val="231F20"/>
          <w:w w:val="110"/>
          <w:sz w:val="12"/>
        </w:rPr>
        <w:t>Inherit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Metab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Dis</w:t>
      </w:r>
      <w:r>
        <w:rPr>
          <w:color w:val="231F20"/>
          <w:spacing w:val="35"/>
          <w:w w:val="110"/>
          <w:sz w:val="12"/>
        </w:rPr>
        <w:t> </w:t>
      </w:r>
      <w:r>
        <w:rPr>
          <w:color w:val="231F20"/>
          <w:w w:val="110"/>
          <w:sz w:val="12"/>
        </w:rPr>
        <w:t>2013;36(4):675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80.</w:t>
      </w:r>
      <w:r>
        <w:rPr>
          <w:color w:val="231F20"/>
          <w:spacing w:val="34"/>
          <w:w w:val="110"/>
          <w:sz w:val="12"/>
        </w:rPr>
        <w:t> </w:t>
      </w:r>
      <w:hyperlink r:id="rId34">
        <w:r>
          <w:rPr>
            <w:color w:val="2E3092"/>
            <w:w w:val="110"/>
            <w:sz w:val="12"/>
          </w:rPr>
          <w:t>https://doi.org/10.1007/s10545-012-</w:t>
        </w:r>
      </w:hyperlink>
      <w:r>
        <w:rPr>
          <w:color w:val="2E3092"/>
          <w:spacing w:val="40"/>
          <w:w w:val="110"/>
          <w:sz w:val="12"/>
        </w:rPr>
        <w:t> </w:t>
      </w:r>
      <w:hyperlink r:id="rId34">
        <w:r>
          <w:rPr>
            <w:color w:val="2E3092"/>
            <w:spacing w:val="-2"/>
            <w:w w:val="110"/>
            <w:sz w:val="12"/>
          </w:rPr>
          <w:t>9581-z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56" w:lineRule="auto" w:before="113" w:after="0"/>
        <w:ind w:left="402" w:right="282" w:hanging="294"/>
        <w:jc w:val="both"/>
        <w:rPr>
          <w:sz w:val="12"/>
        </w:rPr>
      </w:pPr>
      <w:r>
        <w:rPr/>
        <w:br w:type="column"/>
      </w:r>
      <w:r>
        <w:rPr>
          <w:color w:val="231F20"/>
          <w:spacing w:val="-2"/>
          <w:w w:val="115"/>
          <w:sz w:val="12"/>
        </w:rPr>
        <w:t>Mock </w:t>
      </w:r>
      <w:r>
        <w:rPr>
          <w:color w:val="231F20"/>
          <w:spacing w:val="-2"/>
          <w:w w:val="110"/>
          <w:sz w:val="12"/>
        </w:rPr>
        <w:t>C, </w:t>
      </w:r>
      <w:r>
        <w:rPr>
          <w:color w:val="231F20"/>
          <w:spacing w:val="-2"/>
          <w:w w:val="115"/>
          <w:sz w:val="12"/>
        </w:rPr>
        <w:t>Schwetschenau </w:t>
      </w:r>
      <w:r>
        <w:rPr>
          <w:color w:val="231F20"/>
          <w:spacing w:val="-2"/>
          <w:w w:val="110"/>
          <w:sz w:val="12"/>
        </w:rPr>
        <w:t>K. </w:t>
      </w:r>
      <w:r>
        <w:rPr>
          <w:color w:val="231F20"/>
          <w:spacing w:val="-2"/>
          <w:w w:val="115"/>
          <w:sz w:val="12"/>
        </w:rPr>
        <w:t>Levocarnitine for valproic-acid-induced hyperammonemic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encephalopathy. Am </w:t>
      </w:r>
      <w:r>
        <w:rPr>
          <w:color w:val="231F20"/>
          <w:w w:val="110"/>
          <w:sz w:val="12"/>
        </w:rPr>
        <w:t>J </w:t>
      </w:r>
      <w:r>
        <w:rPr>
          <w:color w:val="231F20"/>
          <w:w w:val="115"/>
          <w:sz w:val="12"/>
        </w:rPr>
        <w:t>Health Syst Pharm 2012;69(1):35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9. </w:t>
      </w:r>
      <w:hyperlink r:id="rId35">
        <w:r>
          <w:rPr>
            <w:color w:val="2E3092"/>
            <w:w w:val="115"/>
            <w:sz w:val="12"/>
          </w:rPr>
          <w:t>https://doi.org/10.2146/</w:t>
        </w:r>
      </w:hyperlink>
      <w:r>
        <w:rPr>
          <w:color w:val="2E3092"/>
          <w:spacing w:val="40"/>
          <w:w w:val="115"/>
          <w:sz w:val="12"/>
        </w:rPr>
        <w:t> </w:t>
      </w:r>
      <w:hyperlink r:id="rId35">
        <w:r>
          <w:rPr>
            <w:color w:val="2E3092"/>
            <w:spacing w:val="-2"/>
            <w:w w:val="115"/>
            <w:sz w:val="12"/>
          </w:rPr>
          <w:t>ajhp110049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56" w:lineRule="auto" w:before="12" w:after="0"/>
        <w:ind w:left="401" w:right="280" w:hanging="293"/>
        <w:jc w:val="both"/>
        <w:rPr>
          <w:sz w:val="12"/>
        </w:rPr>
      </w:pPr>
      <w:r>
        <w:rPr>
          <w:color w:val="231F20"/>
          <w:w w:val="115"/>
          <w:sz w:val="12"/>
        </w:rPr>
        <w:t>Perrott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J,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Murphy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N,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Zed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P.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9"/>
        </w:rPr>
        <w:t>L</w:t>
      </w:r>
      <w:r>
        <w:rPr>
          <w:color w:val="231F20"/>
          <w:w w:val="115"/>
          <w:sz w:val="12"/>
        </w:rPr>
        <w:t>-Carnitine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for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acute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valproic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acid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overdose: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systematic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review of published cases. Annals of Pharmacotherapy 2010;44(7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8):1287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93.</w:t>
      </w:r>
      <w:r>
        <w:rPr>
          <w:color w:val="231F20"/>
          <w:spacing w:val="40"/>
          <w:w w:val="115"/>
          <w:sz w:val="12"/>
        </w:rPr>
        <w:t> </w:t>
      </w:r>
      <w:hyperlink r:id="rId36">
        <w:r>
          <w:rPr>
            <w:color w:val="2E3092"/>
            <w:spacing w:val="-2"/>
            <w:w w:val="115"/>
            <w:sz w:val="12"/>
          </w:rPr>
          <w:t>https://doi.org/10.1345/aph.1p135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1" w:lineRule="auto" w:before="11" w:after="0"/>
        <w:ind w:left="401" w:right="281" w:hanging="293"/>
        <w:jc w:val="both"/>
        <w:rPr>
          <w:sz w:val="12"/>
        </w:rPr>
      </w:pPr>
      <w:r>
        <w:rPr>
          <w:color w:val="231F20"/>
          <w:w w:val="110"/>
          <w:sz w:val="12"/>
        </w:rPr>
        <w:t>Gorman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G,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Schaefer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Ng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Y,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Gomez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N,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Blakely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E,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Alston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C,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et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al.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Prevalence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nuclear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w w:val="115"/>
          <w:sz w:val="12"/>
        </w:rPr>
        <w:t> mitochondrial</w:t>
      </w:r>
      <w:r>
        <w:rPr>
          <w:color w:val="231F20"/>
          <w:w w:val="115"/>
          <w:sz w:val="12"/>
        </w:rPr>
        <w:t> DNA</w:t>
      </w:r>
      <w:r>
        <w:rPr>
          <w:color w:val="231F20"/>
          <w:w w:val="115"/>
          <w:sz w:val="12"/>
        </w:rPr>
        <w:t> mutations</w:t>
      </w:r>
      <w:r>
        <w:rPr>
          <w:color w:val="231F20"/>
          <w:w w:val="115"/>
          <w:sz w:val="12"/>
        </w:rPr>
        <w:t> related</w:t>
      </w:r>
      <w:r>
        <w:rPr>
          <w:color w:val="231F20"/>
          <w:w w:val="115"/>
          <w:sz w:val="12"/>
        </w:rPr>
        <w:t> to</w:t>
      </w:r>
      <w:r>
        <w:rPr>
          <w:color w:val="231F20"/>
          <w:w w:val="115"/>
          <w:sz w:val="12"/>
        </w:rPr>
        <w:t> adult</w:t>
      </w:r>
      <w:r>
        <w:rPr>
          <w:color w:val="231F20"/>
          <w:w w:val="115"/>
          <w:sz w:val="12"/>
        </w:rPr>
        <w:t> mitochondrial</w:t>
      </w:r>
      <w:r>
        <w:rPr>
          <w:color w:val="231F20"/>
          <w:w w:val="115"/>
          <w:sz w:val="12"/>
        </w:rPr>
        <w:t> disease.</w:t>
      </w:r>
      <w:r>
        <w:rPr>
          <w:color w:val="231F20"/>
          <w:w w:val="115"/>
          <w:sz w:val="12"/>
        </w:rPr>
        <w:t> Ann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Neurol 2015;77(5):753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9. </w:t>
      </w:r>
      <w:hyperlink r:id="rId37">
        <w:r>
          <w:rPr>
            <w:color w:val="2E3092"/>
            <w:w w:val="115"/>
            <w:sz w:val="12"/>
          </w:rPr>
          <w:t>https://doi.org/10.1002/ana.24362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61" w:lineRule="auto" w:before="3" w:after="0"/>
        <w:ind w:left="402" w:right="282" w:hanging="294"/>
        <w:jc w:val="both"/>
        <w:rPr>
          <w:sz w:val="12"/>
        </w:rPr>
      </w:pPr>
      <w:r>
        <w:rPr>
          <w:color w:val="231F20"/>
          <w:w w:val="115"/>
          <w:sz w:val="12"/>
        </w:rPr>
        <w:t>Saneto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R,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Lee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I,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Koenig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al.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POLG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DNA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testing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an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emerging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standard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care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before</w:t>
      </w:r>
      <w:r>
        <w:rPr>
          <w:color w:val="231F20"/>
          <w:w w:val="115"/>
          <w:sz w:val="12"/>
        </w:rPr>
        <w:t> instituting</w:t>
      </w:r>
      <w:r>
        <w:rPr>
          <w:color w:val="231F20"/>
          <w:w w:val="115"/>
          <w:sz w:val="12"/>
        </w:rPr>
        <w:t> valproic</w:t>
      </w:r>
      <w:r>
        <w:rPr>
          <w:color w:val="231F20"/>
          <w:w w:val="115"/>
          <w:sz w:val="12"/>
        </w:rPr>
        <w:t> acid</w:t>
      </w:r>
      <w:r>
        <w:rPr>
          <w:color w:val="231F20"/>
          <w:w w:val="115"/>
          <w:sz w:val="12"/>
        </w:rPr>
        <w:t> therapy</w:t>
      </w:r>
      <w:r>
        <w:rPr>
          <w:color w:val="231F20"/>
          <w:w w:val="115"/>
          <w:sz w:val="12"/>
        </w:rPr>
        <w:t> for</w:t>
      </w:r>
      <w:r>
        <w:rPr>
          <w:color w:val="231F20"/>
          <w:w w:val="115"/>
          <w:sz w:val="12"/>
        </w:rPr>
        <w:t> pediatric</w:t>
      </w:r>
      <w:r>
        <w:rPr>
          <w:color w:val="231F20"/>
          <w:w w:val="115"/>
          <w:sz w:val="12"/>
        </w:rPr>
        <w:t> seizure</w:t>
      </w:r>
      <w:r>
        <w:rPr>
          <w:color w:val="231F20"/>
          <w:w w:val="115"/>
          <w:sz w:val="12"/>
        </w:rPr>
        <w:t> disorders.</w:t>
      </w:r>
      <w:r>
        <w:rPr>
          <w:color w:val="231F20"/>
          <w:w w:val="115"/>
          <w:sz w:val="12"/>
        </w:rPr>
        <w:t> Seizure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2010;19(3):140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6.</w:t>
      </w:r>
      <w:r>
        <w:rPr>
          <w:color w:val="231F20"/>
          <w:spacing w:val="-5"/>
          <w:w w:val="115"/>
          <w:sz w:val="12"/>
        </w:rPr>
        <w:t> </w:t>
      </w:r>
      <w:hyperlink r:id="rId38">
        <w:r>
          <w:rPr>
            <w:color w:val="2E3092"/>
            <w:w w:val="115"/>
            <w:sz w:val="12"/>
          </w:rPr>
          <w:t>https://doi.org/10.1016/j.seizure.2010.01.002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47" w:lineRule="auto" w:before="3" w:after="0"/>
        <w:ind w:left="409" w:right="282" w:hanging="301"/>
        <w:jc w:val="both"/>
        <w:rPr>
          <w:sz w:val="12"/>
        </w:rPr>
      </w:pPr>
      <w:r>
        <w:rPr>
          <w:color w:val="231F20"/>
          <w:w w:val="115"/>
          <w:sz w:val="12"/>
        </w:rPr>
        <w:t>Debray F, Lambert M, Mitchell G. Disorders of mitochondrial function. Curr </w:t>
      </w:r>
      <w:r>
        <w:rPr>
          <w:color w:val="231F20"/>
          <w:w w:val="115"/>
          <w:sz w:val="12"/>
        </w:rPr>
        <w:t>Opin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Pediatr 2008;20(4):471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82. </w:t>
      </w:r>
      <w:hyperlink r:id="rId39">
        <w:r>
          <w:rPr>
            <w:color w:val="2E3092"/>
            <w:w w:val="115"/>
            <w:sz w:val="12"/>
          </w:rPr>
          <w:t>https://doi.org/10.1097/mop.0b013e328306ebb6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56" w:lineRule="auto" w:before="12" w:after="0"/>
        <w:ind w:left="401" w:right="282" w:hanging="293"/>
        <w:jc w:val="both"/>
        <w:rPr>
          <w:sz w:val="12"/>
        </w:rPr>
      </w:pPr>
      <w:r>
        <w:rPr>
          <w:color w:val="231F20"/>
          <w:w w:val="115"/>
          <w:sz w:val="12"/>
        </w:rPr>
        <w:t>Stewart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J,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Horvath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R,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Barufﬁni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al.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spacing w:val="-4"/>
          <w:w w:val="115"/>
          <w:sz w:val="12"/>
        </w:rPr>
        <w:t> </w:t>
      </w:r>
      <w:r>
        <w:rPr>
          <w:rFonts w:ascii="Arial" w:hAnsi="Arial"/>
          <w:color w:val="231F20"/>
          <w:w w:val="115"/>
          <w:sz w:val="12"/>
        </w:rPr>
        <w:t>γ</w:t>
      </w:r>
      <w:r>
        <w:rPr>
          <w:rFonts w:ascii="Arial" w:hAnsi="Arial"/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gene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POLG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determines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risk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of sodium valproate-induced liver toxicity. Hepatology 2010;52(5):1791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6. </w:t>
      </w:r>
      <w:hyperlink r:id="rId40">
        <w:r>
          <w:rPr>
            <w:color w:val="2E3092"/>
            <w:w w:val="115"/>
            <w:sz w:val="12"/>
          </w:rPr>
          <w:t>https://</w:t>
        </w:r>
      </w:hyperlink>
      <w:r>
        <w:rPr>
          <w:color w:val="2E3092"/>
          <w:spacing w:val="40"/>
          <w:w w:val="115"/>
          <w:sz w:val="12"/>
        </w:rPr>
        <w:t> </w:t>
      </w:r>
      <w:hyperlink r:id="rId40">
        <w:r>
          <w:rPr>
            <w:color w:val="2E3092"/>
            <w:spacing w:val="-2"/>
            <w:w w:val="115"/>
            <w:sz w:val="12"/>
          </w:rPr>
          <w:t>doi.org/10.1002/hep.23891</w:t>
        </w:r>
      </w:hyperlink>
      <w:r>
        <w:rPr>
          <w:color w:val="231F20"/>
          <w:spacing w:val="-2"/>
          <w:w w:val="115"/>
          <w:sz w:val="12"/>
        </w:rPr>
        <w:t>.</w:t>
      </w:r>
    </w:p>
    <w:sectPr>
      <w:type w:val="continuous"/>
      <w:pgSz w:w="11910" w:h="15880"/>
      <w:pgMar w:top="640" w:bottom="280" w:left="566" w:right="566"/>
      <w:cols w:num="2" w:equalWidth="0">
        <w:col w:w="5172" w:space="188"/>
        <w:col w:w="54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neva">
    <w:altName w:val="Genev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82" w:hanging="22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7" w:hanging="2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1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284"/>
      <w:outlineLvl w:val="1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0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401" w:right="38" w:hanging="29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Journal%20logo" TargetMode="External"/><Relationship Id="rId6" Type="http://schemas.openxmlformats.org/officeDocument/2006/relationships/image" Target="media/image1.jpeg"/><Relationship Id="rId7" Type="http://schemas.openxmlformats.org/officeDocument/2006/relationships/hyperlink" Target="Unlabelled%20image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5899864" TargetMode="External"/><Relationship Id="rId10" Type="http://schemas.openxmlformats.org/officeDocument/2006/relationships/hyperlink" Target="http://www.elsevier.com/locate/ebcr" TargetMode="External"/><Relationship Id="rId11" Type="http://schemas.openxmlformats.org/officeDocument/2006/relationships/hyperlink" Target="https://doi.org/10.1016/j.ebr.2019.100342" TargetMode="External"/><Relationship Id="rId12" Type="http://schemas.openxmlformats.org/officeDocument/2006/relationships/hyperlink" Target="http://crossmark.crossref.org/dialog/?doi=10.1016/j.ebr.2019.100342&amp;domain=pdf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mailto:john.bassett@sanfordhealth.org" TargetMode="External"/><Relationship Id="rId16" Type="http://schemas.openxmlformats.org/officeDocument/2006/relationships/hyperlink" Target="Image%20of%20Fig.%201" TargetMode="Externa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hyperlink" Target="Image%20of%20Fig.%202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://ClinCalc.com/" TargetMode="External"/><Relationship Id="rId22" Type="http://schemas.openxmlformats.org/officeDocument/2006/relationships/hyperlink" Target="https://www.accessdata.fda.gov/drugsatfda_docs/label/2011/018081s046_18082s031lbl.pdf" TargetMode="External"/><Relationship Id="rId23" Type="http://schemas.openxmlformats.org/officeDocument/2006/relationships/hyperlink" Target="https://doi.org/10.1212/wnl.46.2.465" TargetMode="External"/><Relationship Id="rId24" Type="http://schemas.openxmlformats.org/officeDocument/2006/relationships/hyperlink" Target="https://doi.org/10.1212/wnl.37.3.379" TargetMode="External"/><Relationship Id="rId25" Type="http://schemas.openxmlformats.org/officeDocument/2006/relationships/hyperlink" Target="http://refhub.elsevier.com/S2589-9864(19)30136-4/rf0020" TargetMode="External"/><Relationship Id="rId26" Type="http://schemas.openxmlformats.org/officeDocument/2006/relationships/hyperlink" Target="https://doi.org/10.1016/j.clinbiochem.2013.06.012" TargetMode="External"/><Relationship Id="rId27" Type="http://schemas.openxmlformats.org/officeDocument/2006/relationships/hyperlink" Target="https://doi.org/10.1136/bcr.12.2008.1303" TargetMode="External"/><Relationship Id="rId28" Type="http://schemas.openxmlformats.org/officeDocument/2006/relationships/hyperlink" Target="https://doi.org/10.1002/lt.23965" TargetMode="External"/><Relationship Id="rId29" Type="http://schemas.openxmlformats.org/officeDocument/2006/relationships/hyperlink" Target="https://doi.org/10.1002/lt.23988" TargetMode="External"/><Relationship Id="rId30" Type="http://schemas.openxmlformats.org/officeDocument/2006/relationships/hyperlink" Target="https://doi.org/10.1093/jat/20.1.55" TargetMode="External"/><Relationship Id="rId31" Type="http://schemas.openxmlformats.org/officeDocument/2006/relationships/hyperlink" Target="https://doi.org/10.1016/j.bbalip.2007.01.010" TargetMode="External"/><Relationship Id="rId32" Type="http://schemas.openxmlformats.org/officeDocument/2006/relationships/hyperlink" Target="https://doi.org/10.1016/j.jpeds.2010.10.033" TargetMode="External"/><Relationship Id="rId33" Type="http://schemas.openxmlformats.org/officeDocument/2006/relationships/hyperlink" Target="https://doi.org/10.1016/j.jpeds.2013.05.036" TargetMode="External"/><Relationship Id="rId34" Type="http://schemas.openxmlformats.org/officeDocument/2006/relationships/hyperlink" Target="https://doi.org/10.1007/s10545-012-9581-z" TargetMode="External"/><Relationship Id="rId35" Type="http://schemas.openxmlformats.org/officeDocument/2006/relationships/hyperlink" Target="https://doi.org/10.2146/ajhp110049" TargetMode="External"/><Relationship Id="rId36" Type="http://schemas.openxmlformats.org/officeDocument/2006/relationships/hyperlink" Target="https://doi.org/10.1345/aph.1p135" TargetMode="External"/><Relationship Id="rId37" Type="http://schemas.openxmlformats.org/officeDocument/2006/relationships/hyperlink" Target="https://doi.org/10.1002/ana.24362" TargetMode="External"/><Relationship Id="rId38" Type="http://schemas.openxmlformats.org/officeDocument/2006/relationships/hyperlink" Target="https://doi.org/10.1016/j.seizure.2010.01.002" TargetMode="External"/><Relationship Id="rId39" Type="http://schemas.openxmlformats.org/officeDocument/2006/relationships/hyperlink" Target="https://doi.org/10.1097/mop.0b013e328306ebb6" TargetMode="External"/><Relationship Id="rId40" Type="http://schemas.openxmlformats.org/officeDocument/2006/relationships/hyperlink" Target="https://doi.org/10.1002/hep.23891" TargetMode="External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Liver transplantation;  Drug hepatotoxicity;  Anti-convulsants</cp:keywords>
  <dc:title>Acute liver failure in a military recruit treated with valproic acid and harboring a previously unrecognized POLG-1 mutation</dc:title>
  <dcterms:created xsi:type="dcterms:W3CDTF">2025-07-04T17:06:50Z</dcterms:created>
  <dcterms:modified xsi:type="dcterms:W3CDTF">2025-07-04T17:06:50Z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2019-12-07T00:00:00Z</vt:filetime>
  </property>
  <property fmtid="{D5CDD505-2E9C-101B-9397-08002B2CF9AE}" pid="3" name="Creator">
    <vt:lpwstr>Elsevier</vt:lpwstr>
  </property>
  <property fmtid="{D5CDD505-2E9C-101B-9397-08002B2CF9AE}" pid="4" name="LastSaved">
    <vt:filetime>2025-07-04T00:00:00Z</vt:filetime>
  </property>
  <property fmtid="{D5CDD505-2E9C-101B-9397-08002B2CF9AE}" pid="5" name="Producer">
    <vt:lpwstr>Acrobat Distiller 11.0 (Windows)</vt:lpwstr>
  </property>
</Properties>
</file>