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25"/>
        <w:rPr>
          <w:sz w:val="32"/>
        </w:rPr>
      </w:pPr>
    </w:p>
    <w:p>
      <w:pPr>
        <w:pStyle w:val="Title"/>
      </w:pPr>
      <w:bookmarkStart w:name="Rod bipolar cell dysfunction in POLG ret" w:id="1"/>
      <w:bookmarkEnd w:id="1"/>
      <w:r>
        <w:rPr/>
      </w:r>
      <w:r>
        <w:rPr>
          <w:w w:val="105"/>
        </w:rPr>
        <w:t>Rod</w:t>
      </w:r>
      <w:r>
        <w:rPr>
          <w:spacing w:val="18"/>
          <w:w w:val="105"/>
        </w:rPr>
        <w:t> </w:t>
      </w:r>
      <w:r>
        <w:rPr>
          <w:w w:val="105"/>
        </w:rPr>
        <w:t>bipolar</w:t>
      </w:r>
      <w:r>
        <w:rPr>
          <w:spacing w:val="18"/>
          <w:w w:val="105"/>
        </w:rPr>
        <w:t> </w:t>
      </w:r>
      <w:r>
        <w:rPr>
          <w:w w:val="105"/>
        </w:rPr>
        <w:t>cell</w:t>
      </w:r>
      <w:r>
        <w:rPr>
          <w:spacing w:val="20"/>
          <w:w w:val="105"/>
        </w:rPr>
        <w:t> </w:t>
      </w:r>
      <w:r>
        <w:rPr>
          <w:w w:val="105"/>
        </w:rPr>
        <w:t>dysfunction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i/>
          <w:w w:val="105"/>
        </w:rPr>
        <w:t>POLG</w:t>
      </w:r>
      <w:r>
        <w:rPr>
          <w:i/>
          <w:spacing w:val="18"/>
          <w:w w:val="105"/>
        </w:rPr>
        <w:t> </w:t>
      </w:r>
      <w:r>
        <w:rPr>
          <w:spacing w:val="-2"/>
          <w:w w:val="105"/>
        </w:rPr>
        <w:t>retinopathy</w:t>
      </w:r>
    </w:p>
    <w:p>
      <w:pPr>
        <w:pStyle w:val="BodyText"/>
        <w:spacing w:line="278" w:lineRule="exact" w:before="284"/>
        <w:ind w:left="85"/>
        <w:rPr>
          <w:position w:val="5"/>
          <w:sz w:val="21"/>
        </w:rPr>
      </w:pPr>
      <w:r>
        <w:rPr>
          <w:w w:val="105"/>
        </w:rPr>
        <w:t>Kit</w:t>
      </w:r>
      <w:r>
        <w:rPr>
          <w:spacing w:val="25"/>
          <w:w w:val="105"/>
        </w:rPr>
        <w:t> </w:t>
      </w:r>
      <w:r>
        <w:rPr>
          <w:w w:val="105"/>
        </w:rPr>
        <w:t>Green</w:t>
      </w:r>
      <w:r>
        <w:rPr>
          <w:spacing w:val="25"/>
          <w:w w:val="105"/>
        </w:rPr>
        <w:t> </w:t>
      </w:r>
      <w:r>
        <w:rPr>
          <w:w w:val="105"/>
        </w:rPr>
        <w:t>Sanderson</w:t>
      </w:r>
      <w:r>
        <w:rPr>
          <w:spacing w:val="26"/>
          <w:w w:val="105"/>
        </w:rPr>
        <w:t> </w:t>
      </w:r>
      <w:r>
        <w:rPr>
          <w:w w:val="105"/>
          <w:position w:val="5"/>
          <w:sz w:val="21"/>
        </w:rPr>
        <w:t>.</w:t>
      </w:r>
      <w:r>
        <w:rPr>
          <w:spacing w:val="23"/>
          <w:w w:val="105"/>
          <w:position w:val="5"/>
          <w:sz w:val="21"/>
        </w:rPr>
        <w:t> </w:t>
      </w:r>
      <w:r>
        <w:rPr>
          <w:w w:val="105"/>
        </w:rPr>
        <w:t>Eoghan</w:t>
      </w:r>
      <w:r>
        <w:rPr>
          <w:spacing w:val="26"/>
          <w:w w:val="105"/>
        </w:rPr>
        <w:t> </w:t>
      </w:r>
      <w:r>
        <w:rPr>
          <w:w w:val="105"/>
        </w:rPr>
        <w:t>Millar</w:t>
      </w:r>
      <w:r>
        <w:rPr>
          <w:spacing w:val="28"/>
          <w:w w:val="105"/>
        </w:rPr>
        <w:t> </w:t>
      </w:r>
      <w:r>
        <w:rPr>
          <w:w w:val="105"/>
          <w:position w:val="5"/>
          <w:sz w:val="21"/>
        </w:rPr>
        <w:t>.</w:t>
      </w:r>
      <w:r>
        <w:rPr>
          <w:spacing w:val="22"/>
          <w:w w:val="105"/>
          <w:position w:val="5"/>
          <w:sz w:val="21"/>
        </w:rPr>
        <w:t> </w:t>
      </w:r>
      <w:r>
        <w:rPr>
          <w:w w:val="105"/>
        </w:rPr>
        <w:t>Anupreet</w:t>
      </w:r>
      <w:r>
        <w:rPr>
          <w:spacing w:val="25"/>
          <w:w w:val="105"/>
        </w:rPr>
        <w:t> </w:t>
      </w:r>
      <w:r>
        <w:rPr>
          <w:w w:val="105"/>
        </w:rPr>
        <w:t>Tumber</w:t>
      </w:r>
      <w:r>
        <w:rPr>
          <w:spacing w:val="25"/>
          <w:w w:val="105"/>
        </w:rPr>
        <w:t> </w:t>
      </w:r>
      <w:r>
        <w:rPr>
          <w:w w:val="105"/>
          <w:position w:val="5"/>
          <w:sz w:val="21"/>
        </w:rPr>
        <w:t>.</w:t>
      </w:r>
      <w:r>
        <w:rPr>
          <w:spacing w:val="23"/>
          <w:w w:val="105"/>
          <w:position w:val="5"/>
          <w:sz w:val="21"/>
        </w:rPr>
        <w:t> </w:t>
      </w:r>
      <w:r>
        <w:rPr>
          <w:w w:val="105"/>
        </w:rPr>
        <w:t>Regan</w:t>
      </w:r>
      <w:r>
        <w:rPr>
          <w:spacing w:val="26"/>
          <w:w w:val="105"/>
        </w:rPr>
        <w:t> </w:t>
      </w:r>
      <w:r>
        <w:rPr>
          <w:w w:val="105"/>
        </w:rPr>
        <w:t>Klatt</w:t>
      </w:r>
      <w:r>
        <w:rPr>
          <w:spacing w:val="26"/>
          <w:w w:val="105"/>
        </w:rPr>
        <w:t> </w:t>
      </w:r>
      <w:r>
        <w:rPr>
          <w:spacing w:val="-10"/>
          <w:w w:val="105"/>
          <w:position w:val="5"/>
          <w:sz w:val="21"/>
        </w:rPr>
        <w:t>.</w:t>
      </w:r>
    </w:p>
    <w:p>
      <w:pPr>
        <w:pStyle w:val="BodyText"/>
        <w:spacing w:line="278" w:lineRule="exact"/>
        <w:ind w:left="85"/>
        <w:rPr>
          <w:position w:val="-3"/>
        </w:rPr>
      </w:pPr>
      <w:r>
        <w:rPr>
          <w:w w:val="105"/>
        </w:rPr>
        <w:t>Neal</w:t>
      </w:r>
      <w:r>
        <w:rPr>
          <w:spacing w:val="10"/>
          <w:w w:val="105"/>
        </w:rPr>
        <w:t> </w:t>
      </w:r>
      <w:r>
        <w:rPr>
          <w:w w:val="105"/>
        </w:rPr>
        <w:t>Sondheimer</w:t>
      </w:r>
      <w:r>
        <w:rPr>
          <w:spacing w:val="9"/>
          <w:w w:val="105"/>
        </w:rPr>
        <w:t> </w:t>
      </w:r>
      <w:r>
        <w:rPr>
          <w:w w:val="105"/>
          <w:position w:val="5"/>
          <w:sz w:val="21"/>
        </w:rPr>
        <w:t>.</w:t>
      </w:r>
      <w:r>
        <w:rPr>
          <w:spacing w:val="7"/>
          <w:w w:val="105"/>
          <w:position w:val="5"/>
          <w:sz w:val="21"/>
        </w:rPr>
        <w:t> </w:t>
      </w:r>
      <w:r>
        <w:rPr>
          <w:w w:val="105"/>
        </w:rPr>
        <w:t>Ajoy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Vincent</w:t>
      </w:r>
      <w:r>
        <w:rPr>
          <w:spacing w:val="16"/>
          <w:position w:val="-3"/>
        </w:rPr>
        <w:drawing>
          <wp:inline distT="0" distB="0" distL="0" distR="0">
            <wp:extent cx="108000" cy="10798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3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7"/>
        <w:rPr>
          <w:sz w:val="17"/>
        </w:rPr>
      </w:pPr>
    </w:p>
    <w:p>
      <w:pPr>
        <w:spacing w:before="0"/>
        <w:ind w:left="85" w:right="0" w:firstLine="0"/>
        <w:jc w:val="left"/>
        <w:rPr>
          <w:sz w:val="17"/>
        </w:rPr>
      </w:pPr>
      <w:r>
        <w:rPr>
          <w:sz w:val="17"/>
        </w:rPr>
        <w:t>Received:</w:t>
      </w:r>
      <w:r>
        <w:rPr>
          <w:spacing w:val="5"/>
          <w:sz w:val="17"/>
        </w:rPr>
        <w:t> </w:t>
      </w:r>
      <w:r>
        <w:rPr>
          <w:sz w:val="17"/>
        </w:rPr>
        <w:t>21</w:t>
      </w:r>
      <w:r>
        <w:rPr>
          <w:spacing w:val="11"/>
          <w:sz w:val="17"/>
        </w:rPr>
        <w:t> </w:t>
      </w:r>
      <w:r>
        <w:rPr>
          <w:sz w:val="17"/>
        </w:rPr>
        <w:t>April</w:t>
      </w:r>
      <w:r>
        <w:rPr>
          <w:spacing w:val="10"/>
          <w:sz w:val="17"/>
        </w:rPr>
        <w:t> </w:t>
      </w:r>
      <w:r>
        <w:rPr>
          <w:sz w:val="17"/>
        </w:rPr>
        <w:t>2020</w:t>
      </w:r>
      <w:r>
        <w:rPr>
          <w:spacing w:val="-14"/>
          <w:sz w:val="17"/>
        </w:rPr>
        <w:t> </w:t>
      </w:r>
      <w:r>
        <w:rPr>
          <w:sz w:val="17"/>
        </w:rPr>
        <w:t>/</w:t>
      </w:r>
      <w:r>
        <w:rPr>
          <w:spacing w:val="-15"/>
          <w:sz w:val="17"/>
        </w:rPr>
        <w:t> </w:t>
      </w:r>
      <w:r>
        <w:rPr>
          <w:sz w:val="17"/>
        </w:rPr>
        <w:t>Accepted:</w:t>
      </w:r>
      <w:r>
        <w:rPr>
          <w:spacing w:val="11"/>
          <w:sz w:val="17"/>
        </w:rPr>
        <w:t> </w:t>
      </w:r>
      <w:r>
        <w:rPr>
          <w:sz w:val="17"/>
        </w:rPr>
        <w:t>9</w:t>
      </w:r>
      <w:r>
        <w:rPr>
          <w:spacing w:val="11"/>
          <w:sz w:val="17"/>
        </w:rPr>
        <w:t> </w:t>
      </w:r>
      <w:r>
        <w:rPr>
          <w:sz w:val="17"/>
        </w:rPr>
        <w:t>June</w:t>
      </w:r>
      <w:r>
        <w:rPr>
          <w:spacing w:val="11"/>
          <w:sz w:val="17"/>
        </w:rPr>
        <w:t> </w:t>
      </w:r>
      <w:r>
        <w:rPr>
          <w:sz w:val="17"/>
        </w:rPr>
        <w:t>2020</w:t>
      </w:r>
      <w:r>
        <w:rPr>
          <w:spacing w:val="-14"/>
          <w:sz w:val="17"/>
        </w:rPr>
        <w:t> </w:t>
      </w:r>
      <w:r>
        <w:rPr>
          <w:sz w:val="17"/>
        </w:rPr>
        <w:t>/</w:t>
      </w:r>
      <w:r>
        <w:rPr>
          <w:spacing w:val="-15"/>
          <w:sz w:val="17"/>
        </w:rPr>
        <w:t> </w:t>
      </w:r>
      <w:r>
        <w:rPr>
          <w:sz w:val="17"/>
        </w:rPr>
        <w:t>Published</w:t>
      </w:r>
      <w:r>
        <w:rPr>
          <w:spacing w:val="11"/>
          <w:sz w:val="17"/>
        </w:rPr>
        <w:t> </w:t>
      </w:r>
      <w:r>
        <w:rPr>
          <w:sz w:val="17"/>
        </w:rPr>
        <w:t>online:</w:t>
      </w:r>
      <w:r>
        <w:rPr>
          <w:spacing w:val="10"/>
          <w:sz w:val="17"/>
        </w:rPr>
        <w:t> </w:t>
      </w:r>
      <w:r>
        <w:rPr>
          <w:sz w:val="17"/>
        </w:rPr>
        <w:t>21</w:t>
      </w:r>
      <w:r>
        <w:rPr>
          <w:spacing w:val="11"/>
          <w:sz w:val="17"/>
        </w:rPr>
        <w:t> </w:t>
      </w:r>
      <w:r>
        <w:rPr>
          <w:sz w:val="17"/>
        </w:rPr>
        <w:t>June</w:t>
      </w:r>
      <w:r>
        <w:rPr>
          <w:spacing w:val="10"/>
          <w:sz w:val="17"/>
        </w:rPr>
        <w:t> </w:t>
      </w:r>
      <w:r>
        <w:rPr>
          <w:spacing w:val="-4"/>
          <w:sz w:val="17"/>
        </w:rPr>
        <w:t>2020</w:t>
      </w:r>
    </w:p>
    <w:p>
      <w:pPr>
        <w:spacing w:before="4"/>
        <w:ind w:left="85" w:right="0" w:firstLine="0"/>
        <w:jc w:val="left"/>
        <w:rPr>
          <w:sz w:val="17"/>
        </w:rPr>
      </w:pPr>
      <w:r>
        <w:rPr>
          <w:sz w:val="17"/>
        </w:rPr>
        <w:t>©</w:t>
      </w:r>
      <w:r>
        <w:rPr>
          <w:spacing w:val="10"/>
          <w:sz w:val="17"/>
        </w:rPr>
        <w:t> </w:t>
      </w:r>
      <w:r>
        <w:rPr>
          <w:sz w:val="17"/>
        </w:rPr>
        <w:t>Springer-Verlag</w:t>
      </w:r>
      <w:r>
        <w:rPr>
          <w:spacing w:val="10"/>
          <w:sz w:val="17"/>
        </w:rPr>
        <w:t> </w:t>
      </w:r>
      <w:r>
        <w:rPr>
          <w:sz w:val="17"/>
        </w:rPr>
        <w:t>GmbH</w:t>
      </w:r>
      <w:r>
        <w:rPr>
          <w:spacing w:val="10"/>
          <w:sz w:val="17"/>
        </w:rPr>
        <w:t> </w:t>
      </w:r>
      <w:r>
        <w:rPr>
          <w:sz w:val="17"/>
        </w:rPr>
        <w:t>Germany,</w:t>
      </w:r>
      <w:r>
        <w:rPr>
          <w:spacing w:val="11"/>
          <w:sz w:val="17"/>
        </w:rPr>
        <w:t> </w:t>
      </w:r>
      <w:r>
        <w:rPr>
          <w:sz w:val="17"/>
        </w:rPr>
        <w:t>part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Springer</w:t>
      </w:r>
      <w:r>
        <w:rPr>
          <w:spacing w:val="10"/>
          <w:sz w:val="17"/>
        </w:rPr>
        <w:t> </w:t>
      </w:r>
      <w:r>
        <w:rPr>
          <w:sz w:val="17"/>
        </w:rPr>
        <w:t>Nature</w:t>
      </w:r>
      <w:r>
        <w:rPr>
          <w:spacing w:val="11"/>
          <w:sz w:val="17"/>
        </w:rPr>
        <w:t> </w:t>
      </w:r>
      <w:r>
        <w:rPr>
          <w:spacing w:val="-4"/>
          <w:sz w:val="17"/>
        </w:rPr>
        <w:t>2020</w:t>
      </w:r>
    </w:p>
    <w:p>
      <w:pPr>
        <w:pStyle w:val="BodyText"/>
        <w:spacing w:before="59"/>
      </w:pPr>
    </w:p>
    <w:p>
      <w:pPr>
        <w:pStyle w:val="BodyText"/>
        <w:spacing w:after="0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0950" w:h="14750"/>
          <w:pgMar w:header="638" w:footer="916" w:top="820" w:bottom="1100" w:left="850" w:right="850"/>
          <w:pgNumType w:start="111"/>
        </w:sectPr>
      </w:pPr>
    </w:p>
    <w:p>
      <w:pPr>
        <w:pStyle w:val="BodyText"/>
        <w:spacing w:before="71"/>
        <w:ind w:left="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594004</wp:posOffset>
                </wp:positionH>
                <wp:positionV relativeFrom="page">
                  <wp:posOffset>352081</wp:posOffset>
                </wp:positionV>
                <wp:extent cx="5760085" cy="64833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60085" cy="648335"/>
                          <a:chExt cx="5760085" cy="648335"/>
                        </a:xfrm>
                      </wpg:grpSpPr>
                      <wps:wsp>
                        <wps:cNvPr id="9" name="Textbox 9"/>
                        <wps:cNvSpPr txBox="1"/>
                        <wps:spPr>
                          <a:xfrm>
                            <a:off x="0" y="408241"/>
                            <a:ext cx="2736215" cy="240029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113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pacing w:val="16"/>
                                  <w:sz w:val="19"/>
                                </w:rPr>
                                <w:t>CLINICAL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9"/>
                                </w:rPr>
                                <w:t>CASE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9"/>
                                </w:rPr>
                                <w:t>REPORT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398884"/>
                            <a:ext cx="57600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270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lnTo>
                                  <a:pt x="5759996" y="12239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106" y="0"/>
                            <a:ext cx="362813" cy="363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760085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hyperlink r:id="rId12">
                                <w:r>
                                  <w:rPr>
                                    <w:spacing w:val="-2"/>
                                    <w:sz w:val="17"/>
                                  </w:rPr>
                                  <w:t>https://doi.org/10.1007/s10633-020-09777-</w:t>
                                </w:r>
                                <w:r>
                                  <w:rPr>
                                    <w:spacing w:val="-10"/>
                                    <w:sz w:val="17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71999pt;margin-top:27.722984pt;width:453.55pt;height:51.05pt;mso-position-horizontal-relative:page;mso-position-vertical-relative:page;z-index:-16290816" id="docshapegroup7" coordorigin="935,554" coordsize="9071,1021">
                <v:shape style="position:absolute;left:935;top:1197;width:4309;height:378" type="#_x0000_t202" id="docshape8" filled="true" fillcolor="#b3b3b3" stroked="false">
                  <v:textbox inset="0,0,0,0">
                    <w:txbxContent>
                      <w:p>
                        <w:pPr>
                          <w:spacing w:before="72"/>
                          <w:ind w:left="113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pacing w:val="16"/>
                            <w:sz w:val="19"/>
                          </w:rPr>
                          <w:t>CLINICAL</w:t>
                        </w:r>
                        <w:r>
                          <w:rPr>
                            <w:color w:val="000000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14"/>
                            <w:sz w:val="19"/>
                          </w:rPr>
                          <w:t>CASE</w:t>
                        </w:r>
                        <w:r>
                          <w:rPr>
                            <w:color w:val="000000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14"/>
                            <w:sz w:val="19"/>
                          </w:rPr>
                          <w:t>REPORT 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935;top:1182;width:9071;height:20" id="docshape9" filled="true" fillcolor="#000000" stroked="false">
                  <v:fill type="solid"/>
                </v:rect>
                <v:shape style="position:absolute;left:9434;top:554;width:572;height:572" type="#_x0000_t75" id="docshape10" href="http://crossmark.crossref.org/dialog/?doi=10.1007/s10633-020-09777-w&amp;amp%3Bdomain=pdf" stroked="false">
                  <v:imagedata r:id="rId10" o:title=""/>
                </v:shape>
                <v:shape style="position:absolute;left:935;top:554;width:9071;height:648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1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-1" w:right="0" w:firstLine="0"/>
                          <w:jc w:val="left"/>
                          <w:rPr>
                            <w:sz w:val="17"/>
                          </w:rPr>
                        </w:pPr>
                        <w:hyperlink r:id="rId12">
                          <w:r>
                            <w:rPr>
                              <w:spacing w:val="-2"/>
                              <w:sz w:val="17"/>
                            </w:rPr>
                            <w:t>https://doi.org/10.1007/s10633-020-09777-</w:t>
                          </w:r>
                          <w:r>
                            <w:rPr>
                              <w:spacing w:val="-10"/>
                              <w:sz w:val="17"/>
                            </w:rPr>
                            <w:t>w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bstract" w:id="2"/>
      <w:bookmarkEnd w:id="2"/>
      <w:r>
        <w:rPr/>
      </w:r>
      <w:bookmarkStart w:name="Objective" w:id="3"/>
      <w:bookmarkEnd w:id="3"/>
      <w:r>
        <w:rPr/>
      </w:r>
      <w:r>
        <w:rPr>
          <w:spacing w:val="-2"/>
          <w:w w:val="110"/>
        </w:rPr>
        <w:t>Abstract</w:t>
      </w:r>
    </w:p>
    <w:p>
      <w:pPr>
        <w:pStyle w:val="BodyText"/>
        <w:spacing w:line="259" w:lineRule="auto" w:before="20"/>
        <w:ind w:left="85" w:right="38"/>
        <w:jc w:val="both"/>
      </w:pPr>
      <w:r>
        <w:rPr>
          <w:i/>
        </w:rPr>
        <w:t>Objective</w:t>
      </w:r>
      <w:r>
        <w:rPr>
          <w:i/>
          <w:spacing w:val="40"/>
        </w:rPr>
        <w:t> </w:t>
      </w:r>
      <w:r>
        <w:rPr/>
        <w:t>To report the clinical and novel </w:t>
      </w:r>
      <w:r>
        <w:rPr/>
        <w:t>electro- physiological features in a child with </w:t>
      </w:r>
      <w:r>
        <w:rPr>
          <w:i/>
        </w:rPr>
        <w:t>POLG</w:t>
      </w:r>
      <w:r>
        <w:rPr/>
        <w:t>-related </w:t>
      </w:r>
      <w:bookmarkStart w:name="Methods" w:id="4"/>
      <w:bookmarkEnd w:id="4"/>
      <w:r>
        <w:rPr/>
      </w:r>
      <w:bookmarkStart w:name="Conclusion" w:id="5"/>
      <w:bookmarkEnd w:id="5"/>
      <w:r>
        <w:rPr/>
        <w:t>sens</w:t>
      </w:r>
      <w:r>
        <w:rPr/>
        <w:t>ory</w:t>
      </w:r>
      <w:r>
        <w:rPr>
          <w:spacing w:val="-7"/>
        </w:rPr>
        <w:t> </w:t>
      </w:r>
      <w:r>
        <w:rPr/>
        <w:t>ataxic</w:t>
      </w:r>
      <w:r>
        <w:rPr>
          <w:spacing w:val="-6"/>
        </w:rPr>
        <w:t> </w:t>
      </w:r>
      <w:r>
        <w:rPr/>
        <w:t>neuropathy,</w:t>
      </w:r>
      <w:r>
        <w:rPr>
          <w:spacing w:val="-6"/>
        </w:rPr>
        <w:t> </w:t>
      </w:r>
      <w:r>
        <w:rPr/>
        <w:t>dysarthria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ophthalmo- paresis (SANDO).</w:t>
      </w:r>
    </w:p>
    <w:p>
      <w:pPr>
        <w:pStyle w:val="BodyText"/>
        <w:spacing w:line="259" w:lineRule="auto" w:before="3"/>
        <w:ind w:left="85" w:right="38"/>
        <w:jc w:val="both"/>
      </w:pPr>
      <w:r>
        <w:rPr>
          <w:i/>
        </w:rPr>
        <w:t>Methods</w:t>
      </w:r>
      <w:r>
        <w:rPr>
          <w:i/>
          <w:spacing w:val="40"/>
        </w:rPr>
        <w:t> </w:t>
      </w:r>
      <w:r>
        <w:rPr/>
        <w:t>The proband, a male child of </w:t>
      </w:r>
      <w:r>
        <w:rPr/>
        <w:t>Indian</w:t>
      </w:r>
      <w:r>
        <w:rPr>
          <w:spacing w:val="40"/>
        </w:rPr>
        <w:t> </w:t>
      </w:r>
      <w:r>
        <w:rPr/>
        <w:t>descent, underwent serial systemic and ophthalmo- logical evaluations from birth until 14 years of age. Eye</w:t>
      </w:r>
      <w:r>
        <w:rPr>
          <w:spacing w:val="-2"/>
        </w:rPr>
        <w:t> </w:t>
      </w:r>
      <w:r>
        <w:rPr/>
        <w:t>examinations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visual</w:t>
      </w:r>
      <w:r>
        <w:rPr>
          <w:spacing w:val="-2"/>
        </w:rPr>
        <w:t> </w:t>
      </w:r>
      <w:r>
        <w:rPr/>
        <w:t>acuity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extraoc- ular movement assessments, fundus photography, spectral domain optical coherence tomography and </w:t>
      </w:r>
      <w:bookmarkStart w:name="Results" w:id="6"/>
      <w:bookmarkEnd w:id="6"/>
      <w:r>
        <w:rPr/>
        <w:t>full</w:t>
      </w:r>
      <w:r>
        <w:rPr/>
        <w:t>-field</w:t>
      </w:r>
      <w:r>
        <w:rPr>
          <w:spacing w:val="-12"/>
        </w:rPr>
        <w:t> </w:t>
      </w:r>
      <w:r>
        <w:rPr/>
        <w:t>electroretinography</w:t>
      </w:r>
      <w:r>
        <w:rPr>
          <w:spacing w:val="-12"/>
        </w:rPr>
        <w:t> </w:t>
      </w:r>
      <w:r>
        <w:rPr/>
        <w:t>(ERG).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genetic testing was also performed.</w:t>
      </w:r>
    </w:p>
    <w:p>
      <w:pPr>
        <w:pStyle w:val="BodyText"/>
        <w:spacing w:line="259" w:lineRule="auto" w:before="5"/>
        <w:ind w:left="85" w:right="38"/>
        <w:jc w:val="both"/>
      </w:pPr>
      <w:r>
        <w:rPr>
          <w:i/>
          <w:w w:val="105"/>
        </w:rPr>
        <w:t>Results</w:t>
      </w:r>
      <w:r>
        <w:rPr>
          <w:i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child</w:t>
      </w:r>
      <w:r>
        <w:rPr>
          <w:spacing w:val="-13"/>
          <w:w w:val="105"/>
        </w:rPr>
        <w:t> </w:t>
      </w:r>
      <w:r>
        <w:rPr>
          <w:w w:val="105"/>
        </w:rPr>
        <w:t>carried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homozygous</w:t>
      </w:r>
      <w:r>
        <w:rPr>
          <w:spacing w:val="-13"/>
          <w:w w:val="105"/>
        </w:rPr>
        <w:t> </w:t>
      </w:r>
      <w:r>
        <w:rPr>
          <w:w w:val="105"/>
        </w:rPr>
        <w:t>mutation</w:t>
      </w:r>
      <w:r>
        <w:rPr>
          <w:spacing w:val="-13"/>
          <w:w w:val="105"/>
        </w:rPr>
        <w:t> </w:t>
      </w:r>
      <w:r>
        <w:rPr>
          <w:w w:val="105"/>
        </w:rPr>
        <w:t>in </w:t>
      </w:r>
      <w:r>
        <w:rPr>
          <w:i/>
          <w:w w:val="105"/>
        </w:rPr>
        <w:t>POLG</w:t>
      </w:r>
      <w:r>
        <w:rPr>
          <w:i/>
          <w:spacing w:val="-14"/>
          <w:w w:val="105"/>
        </w:rPr>
        <w:t> </w:t>
      </w:r>
      <w:r>
        <w:rPr>
          <w:w w:val="105"/>
        </w:rPr>
        <w:t>(c.911T</w:t>
      </w:r>
      <w:r>
        <w:rPr>
          <w:spacing w:val="-13"/>
          <w:w w:val="105"/>
        </w:rPr>
        <w:t> </w:t>
      </w:r>
      <w:r>
        <w:rPr>
          <w:w w:val="270"/>
        </w:rPr>
        <w:t>[</w:t>
      </w:r>
      <w:r>
        <w:rPr>
          <w:spacing w:val="-33"/>
          <w:w w:val="270"/>
        </w:rPr>
        <w:t> </w:t>
      </w:r>
      <w:r>
        <w:rPr>
          <w:w w:val="105"/>
        </w:rPr>
        <w:t>G/p.Leu304Arg)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manifested systemic</w:t>
      </w:r>
      <w:r>
        <w:rPr>
          <w:w w:val="105"/>
        </w:rPr>
        <w:t> features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seizures,</w:t>
      </w:r>
      <w:r>
        <w:rPr>
          <w:w w:val="105"/>
        </w:rPr>
        <w:t> headaches,</w:t>
      </w:r>
      <w:r>
        <w:rPr>
          <w:w w:val="105"/>
        </w:rPr>
        <w:t> are- </w:t>
      </w:r>
      <w:r>
        <w:rPr/>
        <w:t>flexia,</w:t>
      </w:r>
      <w:r>
        <w:rPr>
          <w:spacing w:val="-13"/>
        </w:rPr>
        <w:t> </w:t>
      </w:r>
      <w:r>
        <w:rPr/>
        <w:t>hypotonia,</w:t>
      </w:r>
      <w:r>
        <w:rPr>
          <w:spacing w:val="-12"/>
        </w:rPr>
        <w:t> </w:t>
      </w:r>
      <w:r>
        <w:rPr/>
        <w:t>myopathy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vomiting.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child’s distance visual acuity was 0.50 and 0.40 LogMAR in </w:t>
      </w:r>
      <w:r>
        <w:rPr>
          <w:w w:val="105"/>
        </w:rPr>
        <w:t>the</w:t>
      </w:r>
      <w:r>
        <w:rPr>
          <w:spacing w:val="69"/>
          <w:w w:val="150"/>
        </w:rPr>
        <w:t> </w:t>
      </w:r>
      <w:r>
        <w:rPr>
          <w:w w:val="105"/>
        </w:rPr>
        <w:t>right</w:t>
      </w:r>
      <w:r>
        <w:rPr>
          <w:spacing w:val="69"/>
          <w:w w:val="150"/>
        </w:rPr>
        <w:t> </w:t>
      </w:r>
      <w:r>
        <w:rPr>
          <w:w w:val="105"/>
        </w:rPr>
        <w:t>and</w:t>
      </w:r>
      <w:r>
        <w:rPr>
          <w:spacing w:val="70"/>
          <w:w w:val="150"/>
        </w:rPr>
        <w:t> </w:t>
      </w:r>
      <w:r>
        <w:rPr>
          <w:w w:val="105"/>
        </w:rPr>
        <w:t>left</w:t>
      </w:r>
      <w:r>
        <w:rPr>
          <w:spacing w:val="70"/>
          <w:w w:val="150"/>
        </w:rPr>
        <w:t> </w:t>
      </w:r>
      <w:r>
        <w:rPr>
          <w:w w:val="105"/>
        </w:rPr>
        <w:t>eyes,</w:t>
      </w:r>
      <w:r>
        <w:rPr>
          <w:spacing w:val="70"/>
          <w:w w:val="150"/>
        </w:rPr>
        <w:t> </w:t>
      </w:r>
      <w:r>
        <w:rPr>
          <w:w w:val="105"/>
        </w:rPr>
        <w:t>respectively.</w:t>
      </w:r>
      <w:r>
        <w:rPr>
          <w:spacing w:val="69"/>
          <w:w w:val="150"/>
        </w:rPr>
        <w:t> </w:t>
      </w:r>
      <w:r>
        <w:rPr>
          <w:spacing w:val="-4"/>
          <w:w w:val="105"/>
        </w:rPr>
        <w:t>Bilateral</w:t>
      </w:r>
    </w:p>
    <w:p>
      <w:pPr>
        <w:pStyle w:val="BodyText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594004</wp:posOffset>
                </wp:positionH>
                <wp:positionV relativeFrom="paragraph">
                  <wp:posOffset>181161</wp:posOffset>
                </wp:positionV>
                <wp:extent cx="2736215" cy="76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362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215" h="7620">
                              <a:moveTo>
                                <a:pt x="2735999" y="0"/>
                              </a:moveTo>
                              <a:lnTo>
                                <a:pt x="0" y="0"/>
                              </a:lnTo>
                              <a:lnTo>
                                <a:pt x="0" y="7199"/>
                              </a:lnTo>
                              <a:lnTo>
                                <a:pt x="2735999" y="7199"/>
                              </a:lnTo>
                              <a:lnTo>
                                <a:pt x="273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771999pt;margin-top:14.264701pt;width:215.432999pt;height:.56689pt;mso-position-horizontal-relative:page;mso-position-vertical-relative:paragraph;z-index:-1572864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78"/>
        <w:ind w:left="85" w:right="582" w:firstLine="0"/>
        <w:jc w:val="left"/>
        <w:rPr>
          <w:sz w:val="17"/>
        </w:rPr>
      </w:pPr>
      <w:bookmarkStart w:name="Introduction" w:id="7"/>
      <w:bookmarkEnd w:id="7"/>
      <w:r>
        <w:rPr/>
      </w:r>
      <w:r>
        <w:rPr>
          <w:sz w:val="17"/>
        </w:rPr>
        <w:t>K. G. Sanderson </w:t>
      </w:r>
      <w:r>
        <w:rPr>
          <w:rFonts w:ascii="Arial" w:hAnsi="Arial"/>
          <w:sz w:val="17"/>
        </w:rPr>
        <w:t>· </w:t>
      </w:r>
      <w:r>
        <w:rPr>
          <w:sz w:val="17"/>
        </w:rPr>
        <w:t>N. Sondheimer </w:t>
      </w:r>
      <w:r>
        <w:rPr>
          <w:rFonts w:ascii="Arial" w:hAnsi="Arial"/>
          <w:sz w:val="17"/>
        </w:rPr>
        <w:t>· </w:t>
      </w:r>
      <w:r>
        <w:rPr>
          <w:sz w:val="17"/>
        </w:rPr>
        <w:t>A. Vincent Genetics and Genome Biology, The Hospital for </w:t>
      </w:r>
      <w:r>
        <w:rPr>
          <w:sz w:val="17"/>
        </w:rPr>
        <w:t>Sick</w:t>
      </w:r>
      <w:r>
        <w:rPr>
          <w:sz w:val="17"/>
        </w:rPr>
        <w:t> Children, Toronto, Canada</w:t>
      </w:r>
    </w:p>
    <w:p>
      <w:pPr>
        <w:pStyle w:val="BodyText"/>
        <w:spacing w:before="2"/>
        <w:rPr>
          <w:sz w:val="17"/>
        </w:rPr>
      </w:pPr>
    </w:p>
    <w:p>
      <w:pPr>
        <w:spacing w:line="244" w:lineRule="auto" w:before="0"/>
        <w:ind w:left="85" w:right="244" w:firstLine="0"/>
        <w:jc w:val="left"/>
        <w:rPr>
          <w:sz w:val="17"/>
        </w:rPr>
      </w:pPr>
      <w:r>
        <w:rPr>
          <w:sz w:val="17"/>
        </w:rPr>
        <w:t>E. Millar </w:t>
      </w:r>
      <w:r>
        <w:rPr>
          <w:rFonts w:ascii="Arial" w:hAnsi="Arial"/>
          <w:sz w:val="17"/>
        </w:rPr>
        <w:t>· </w:t>
      </w:r>
      <w:r>
        <w:rPr>
          <w:sz w:val="17"/>
        </w:rPr>
        <w:t>A. Tumber </w:t>
      </w:r>
      <w:r>
        <w:rPr>
          <w:rFonts w:ascii="Arial" w:hAnsi="Arial"/>
          <w:sz w:val="17"/>
        </w:rPr>
        <w:t>· </w:t>
      </w:r>
      <w:r>
        <w:rPr>
          <w:sz w:val="17"/>
        </w:rPr>
        <w:t>R. Klatt </w:t>
      </w:r>
      <w:r>
        <w:rPr>
          <w:rFonts w:ascii="Arial" w:hAnsi="Arial"/>
          <w:sz w:val="17"/>
        </w:rPr>
        <w:t>· </w:t>
      </w:r>
      <w:r>
        <w:rPr>
          <w:sz w:val="17"/>
        </w:rPr>
        <w:t>A. Vincent (</w:t>
      </w:r>
      <w:r>
        <w:rPr>
          <w:rFonts w:ascii="Arial" w:hAnsi="Arial"/>
          <w:sz w:val="17"/>
        </w:rPr>
        <w:t>&amp;</w:t>
      </w:r>
      <w:r>
        <w:rPr>
          <w:sz w:val="17"/>
        </w:rPr>
        <w:t>) Department of Ophthalmology and Vision Sciences, </w:t>
      </w:r>
      <w:r>
        <w:rPr>
          <w:sz w:val="17"/>
        </w:rPr>
        <w:t>The Hospital for Sick Children, University of Toronto,</w:t>
      </w:r>
    </w:p>
    <w:p>
      <w:pPr>
        <w:spacing w:line="195" w:lineRule="exact" w:before="0"/>
        <w:ind w:left="85" w:right="0" w:firstLine="0"/>
        <w:jc w:val="left"/>
        <w:rPr>
          <w:sz w:val="17"/>
        </w:rPr>
      </w:pPr>
      <w:r>
        <w:rPr>
          <w:sz w:val="17"/>
        </w:rPr>
        <w:t>Toronto,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Canada</w:t>
      </w:r>
    </w:p>
    <w:p>
      <w:pPr>
        <w:spacing w:before="4"/>
        <w:ind w:left="85" w:right="0" w:firstLine="0"/>
        <w:jc w:val="left"/>
        <w:rPr>
          <w:sz w:val="17"/>
        </w:rPr>
      </w:pPr>
      <w:r>
        <w:rPr>
          <w:sz w:val="17"/>
        </w:rPr>
        <w:t>e-mail:</w:t>
      </w:r>
      <w:r>
        <w:rPr>
          <w:spacing w:val="14"/>
          <w:sz w:val="17"/>
        </w:rPr>
        <w:t> </w:t>
      </w:r>
      <w:hyperlink r:id="rId13">
        <w:r>
          <w:rPr>
            <w:spacing w:val="-2"/>
            <w:sz w:val="17"/>
          </w:rPr>
          <w:t>ajoy.vincent@sickkids.ca</w:t>
        </w:r>
      </w:hyperlink>
    </w:p>
    <w:p>
      <w:pPr>
        <w:pStyle w:val="BodyText"/>
        <w:spacing w:before="7"/>
        <w:rPr>
          <w:sz w:val="17"/>
        </w:rPr>
      </w:pPr>
    </w:p>
    <w:p>
      <w:pPr>
        <w:spacing w:before="0"/>
        <w:ind w:left="85" w:right="0" w:firstLine="0"/>
        <w:jc w:val="left"/>
        <w:rPr>
          <w:sz w:val="17"/>
        </w:rPr>
      </w:pPr>
      <w:r>
        <w:rPr>
          <w:sz w:val="17"/>
        </w:rPr>
        <w:t>N.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Sondheimer</w:t>
      </w:r>
    </w:p>
    <w:p>
      <w:pPr>
        <w:spacing w:line="244" w:lineRule="auto" w:before="3"/>
        <w:ind w:left="85" w:right="244" w:firstLine="0"/>
        <w:jc w:val="left"/>
        <w:rPr>
          <w:sz w:val="17"/>
        </w:rPr>
      </w:pPr>
      <w:r>
        <w:rPr>
          <w:sz w:val="17"/>
        </w:rPr>
        <w:t>Division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Clinical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Metabolic</w:t>
      </w:r>
      <w:r>
        <w:rPr>
          <w:spacing w:val="-7"/>
          <w:sz w:val="17"/>
        </w:rPr>
        <w:t> </w:t>
      </w:r>
      <w:r>
        <w:rPr>
          <w:sz w:val="17"/>
        </w:rPr>
        <w:t>Genetics,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Hospital for Sick Children, Toronto, Canada</w:t>
      </w:r>
    </w:p>
    <w:p>
      <w:pPr>
        <w:pStyle w:val="BodyText"/>
        <w:spacing w:line="259" w:lineRule="auto" w:before="71"/>
        <w:ind w:left="85" w:right="84"/>
        <w:jc w:val="both"/>
      </w:pPr>
      <w:r>
        <w:rPr/>
        <w:br w:type="column"/>
      </w:r>
      <w:r>
        <w:rPr/>
        <w:t>ophthalmoplegia and ptosis were observed at 5 </w:t>
      </w:r>
      <w:r>
        <w:rPr/>
        <w:t>years of</w:t>
      </w:r>
      <w:r>
        <w:rPr>
          <w:spacing w:val="47"/>
        </w:rPr>
        <w:t> </w:t>
      </w:r>
      <w:r>
        <w:rPr/>
        <w:t>age.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dark-adapted</w:t>
      </w:r>
      <w:r>
        <w:rPr>
          <w:spacing w:val="46"/>
        </w:rPr>
        <w:t> </w:t>
      </w:r>
      <w:r>
        <w:rPr/>
        <w:t>(DA)</w:t>
      </w:r>
      <w:r>
        <w:rPr>
          <w:spacing w:val="47"/>
        </w:rPr>
        <w:t> </w:t>
      </w:r>
      <w:r>
        <w:rPr/>
        <w:t>ERG</w:t>
      </w:r>
      <w:r>
        <w:rPr>
          <w:spacing w:val="48"/>
        </w:rPr>
        <w:t> </w:t>
      </w:r>
      <w:r>
        <w:rPr/>
        <w:t>responses</w:t>
      </w:r>
      <w:r>
        <w:rPr>
          <w:spacing w:val="47"/>
        </w:rPr>
        <w:t> </w:t>
      </w:r>
      <w:r>
        <w:rPr>
          <w:spacing w:val="-5"/>
        </w:rPr>
        <w:t>to</w:t>
      </w:r>
    </w:p>
    <w:p>
      <w:pPr>
        <w:pStyle w:val="BodyText"/>
        <w:spacing w:line="259" w:lineRule="auto" w:before="2"/>
        <w:ind w:left="85" w:right="83"/>
        <w:jc w:val="both"/>
      </w:pPr>
      <w:r>
        <w:rPr>
          <w:w w:val="105"/>
        </w:rPr>
        <w:t>2.29</w:t>
      </w:r>
      <w:r>
        <w:rPr>
          <w:spacing w:val="-4"/>
          <w:w w:val="105"/>
        </w:rPr>
        <w:t> </w:t>
      </w:r>
      <w:r>
        <w:rPr>
          <w:w w:val="105"/>
        </w:rPr>
        <w:t>cd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spacing w:val="-4"/>
          <w:w w:val="105"/>
        </w:rPr>
        <w:t> </w:t>
      </w:r>
      <w:r>
        <w:rPr>
          <w:w w:val="160"/>
        </w:rPr>
        <w:t>m</w:t>
      </w:r>
      <w:r>
        <w:rPr>
          <w:w w:val="160"/>
          <w:vertAlign w:val="superscript"/>
        </w:rPr>
        <w:t>-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7.6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4"/>
          <w:w w:val="105"/>
          <w:vertAlign w:val="baseline"/>
        </w:rPr>
        <w:t> </w:t>
      </w:r>
      <w:r>
        <w:rPr>
          <w:w w:val="160"/>
          <w:vertAlign w:val="baseline"/>
        </w:rPr>
        <w:t>m</w:t>
      </w:r>
      <w:r>
        <w:rPr>
          <w:w w:val="160"/>
          <w:vertAlign w:val="superscript"/>
        </w:rPr>
        <w:t>-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stimuli</w:t>
      </w:r>
      <w:r>
        <w:rPr>
          <w:w w:val="105"/>
          <w:vertAlign w:val="baseline"/>
        </w:rPr>
        <w:t> showed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markedly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a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ratio;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electronegative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con- figuration was noted to a DA 7.6 ERG.</w:t>
      </w:r>
    </w:p>
    <w:p>
      <w:pPr>
        <w:pStyle w:val="BodyText"/>
        <w:spacing w:line="259" w:lineRule="auto" w:before="2"/>
        <w:ind w:left="85" w:right="84"/>
        <w:jc w:val="both"/>
      </w:pPr>
      <w:r>
        <w:rPr>
          <w:i/>
        </w:rPr>
        <w:t>Conclusion</w:t>
      </w:r>
      <w:r>
        <w:rPr>
          <w:i/>
          <w:spacing w:val="40"/>
        </w:rPr>
        <w:t> </w:t>
      </w:r>
      <w:r>
        <w:rPr/>
        <w:t>This is the first documented case of </w:t>
      </w:r>
      <w:r>
        <w:rPr/>
        <w:t>an electronegative</w:t>
      </w:r>
      <w:r>
        <w:rPr/>
        <w:t> ERG in a </w:t>
      </w:r>
      <w:r>
        <w:rPr>
          <w:i/>
        </w:rPr>
        <w:t>POLG</w:t>
      </w:r>
      <w:r>
        <w:rPr/>
        <w:t>-related disorder consistent with generalized rod ON-bipolar dysfunc- tion. The rest of the proband’s systemic and ophthal- mological features were consistent with SANDO but some features overlapped with other </w:t>
      </w:r>
      <w:r>
        <w:rPr>
          <w:i/>
        </w:rPr>
        <w:t>POLG</w:t>
      </w:r>
      <w:r>
        <w:rPr/>
        <w:t>-related disorders such as Alpers–Huttenlocher syndrome and autosomal dominant progressive external ophthalmo- plegia demonstrating the wide phenotypic overlap expected due to </w:t>
      </w:r>
      <w:r>
        <w:rPr>
          <w:i/>
        </w:rPr>
        <w:t>POLG </w:t>
      </w:r>
      <w:r>
        <w:rPr/>
        <w:t>mutations.</w:t>
      </w:r>
    </w:p>
    <w:p>
      <w:pPr>
        <w:pStyle w:val="BodyText"/>
        <w:spacing w:before="25"/>
      </w:pPr>
    </w:p>
    <w:p>
      <w:pPr>
        <w:pStyle w:val="BodyText"/>
        <w:spacing w:line="259" w:lineRule="auto"/>
        <w:ind w:left="85" w:hanging="1"/>
      </w:pPr>
      <w:r>
        <w:rPr/>
        <w:t>Keywords</w:t>
      </w:r>
      <w:r>
        <w:rPr>
          <w:spacing w:val="80"/>
          <w:w w:val="150"/>
        </w:rPr>
        <w:t> </w:t>
      </w:r>
      <w:r>
        <w:rPr/>
        <w:t>POLG </w:t>
      </w:r>
      <w:r>
        <w:rPr>
          <w:rFonts w:ascii="Arial" w:hAnsi="Arial"/>
        </w:rPr>
        <w:t>·</w:t>
      </w:r>
      <w:r>
        <w:rPr>
          <w:rFonts w:ascii="Arial" w:hAnsi="Arial"/>
          <w:spacing w:val="-3"/>
        </w:rPr>
        <w:t> </w:t>
      </w:r>
      <w:r>
        <w:rPr/>
        <w:t>POLG1 </w:t>
      </w:r>
      <w:r>
        <w:rPr>
          <w:rFonts w:ascii="Arial" w:hAnsi="Arial"/>
        </w:rPr>
        <w:t>·</w:t>
      </w:r>
      <w:r>
        <w:rPr>
          <w:rFonts w:ascii="Arial" w:hAnsi="Arial"/>
          <w:spacing w:val="-3"/>
        </w:rPr>
        <w:t> </w:t>
      </w:r>
      <w:r>
        <w:rPr/>
        <w:t>Polymerase gamma </w:t>
      </w:r>
      <w:r>
        <w:rPr>
          <w:rFonts w:ascii="Arial" w:hAnsi="Arial"/>
        </w:rPr>
        <w:t>· </w:t>
      </w:r>
      <w:r>
        <w:rPr/>
        <w:t>Electroretinography </w:t>
      </w:r>
      <w:r>
        <w:rPr>
          <w:rFonts w:ascii="Arial" w:hAnsi="Arial"/>
        </w:rPr>
        <w:t>· </w:t>
      </w:r>
      <w:r>
        <w:rPr/>
        <w:t>Light signal transduction </w:t>
      </w:r>
      <w:r>
        <w:rPr>
          <w:rFonts w:ascii="Arial" w:hAnsi="Arial"/>
        </w:rPr>
        <w:t>· </w:t>
      </w:r>
      <w:r>
        <w:rPr/>
        <w:t>Retinal bipolar cells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before="1"/>
        <w:ind w:left="85"/>
      </w:pPr>
      <w:r>
        <w:rPr>
          <w:spacing w:val="-2"/>
          <w:w w:val="110"/>
        </w:rPr>
        <w:t>Introduction</w:t>
      </w:r>
    </w:p>
    <w:p>
      <w:pPr>
        <w:pStyle w:val="BodyText"/>
        <w:spacing w:before="37"/>
      </w:pPr>
    </w:p>
    <w:p>
      <w:pPr>
        <w:pStyle w:val="BodyText"/>
        <w:spacing w:line="259" w:lineRule="auto"/>
        <w:ind w:left="85" w:right="83"/>
        <w:jc w:val="both"/>
      </w:pPr>
      <w:r>
        <w:rPr>
          <w:i/>
        </w:rPr>
        <w:t>POLG </w:t>
      </w:r>
      <w:r>
        <w:rPr/>
        <w:t>(</w:t>
      </w:r>
      <w:r>
        <w:rPr>
          <w:i/>
        </w:rPr>
        <w:t>POLG1</w:t>
      </w:r>
      <w:r>
        <w:rPr/>
        <w:t>) is a nuclear gene that codes for </w:t>
      </w:r>
      <w:r>
        <w:rPr/>
        <w:t>the catalytic subunit of polymerase c, an enzyme with both</w:t>
      </w:r>
      <w:r>
        <w:rPr>
          <w:spacing w:val="-2"/>
        </w:rPr>
        <w:t> </w:t>
      </w:r>
      <w:r>
        <w:rPr/>
        <w:t>polymerase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exonuclease</w:t>
      </w:r>
      <w:r>
        <w:rPr>
          <w:spacing w:val="-3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allowing 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proofreading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mitochondrial</w:t>
      </w:r>
      <w:r>
        <w:rPr>
          <w:spacing w:val="-6"/>
        </w:rPr>
        <w:t> </w:t>
      </w:r>
      <w:r>
        <w:rPr/>
        <w:t>DNA</w:t>
      </w:r>
      <w:r>
        <w:rPr>
          <w:spacing w:val="-5"/>
        </w:rPr>
        <w:t> </w:t>
      </w:r>
      <w:r>
        <w:rPr/>
        <w:t>(mtDNA) [</w:t>
      </w:r>
      <w:hyperlink w:history="true" w:anchor="_bookmark8">
        <w:r>
          <w:rPr>
            <w:color w:val="0000FF"/>
          </w:rPr>
          <w:t>1</w:t>
        </w:r>
      </w:hyperlink>
      <w:r>
        <w:rPr/>
        <w:t>]. Damaging mutations in </w:t>
      </w:r>
      <w:r>
        <w:rPr>
          <w:i/>
        </w:rPr>
        <w:t>POLG </w:t>
      </w:r>
      <w:r>
        <w:rPr/>
        <w:t>could lead to defective</w:t>
      </w:r>
      <w:r>
        <w:rPr>
          <w:spacing w:val="30"/>
        </w:rPr>
        <w:t> </w:t>
      </w:r>
      <w:r>
        <w:rPr/>
        <w:t>polymerase</w:t>
      </w:r>
      <w:r>
        <w:rPr>
          <w:spacing w:val="28"/>
        </w:rPr>
        <w:t> </w:t>
      </w:r>
      <w:r>
        <w:rPr/>
        <w:t>or</w:t>
      </w:r>
      <w:r>
        <w:rPr>
          <w:spacing w:val="30"/>
        </w:rPr>
        <w:t> </w:t>
      </w:r>
      <w:r>
        <w:rPr/>
        <w:t>exonuclease</w:t>
      </w:r>
      <w:r>
        <w:rPr>
          <w:spacing w:val="29"/>
        </w:rPr>
        <w:t> </w:t>
      </w:r>
      <w:r>
        <w:rPr/>
        <w:t>activity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59" w:lineRule="auto"/>
        <w:jc w:val="both"/>
        <w:sectPr>
          <w:type w:val="continuous"/>
          <w:pgSz w:w="10950" w:h="14750"/>
          <w:pgMar w:header="638" w:footer="916" w:top="820" w:bottom="1100" w:left="850" w:right="850"/>
          <w:cols w:num="2" w:equalWidth="0">
            <w:col w:w="4434" w:space="328"/>
            <w:col w:w="4488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0950" w:h="14750"/>
          <w:pgMar w:header="668" w:footer="916" w:top="920" w:bottom="1100" w:left="850" w:right="850"/>
        </w:sectPr>
      </w:pPr>
    </w:p>
    <w:p>
      <w:pPr>
        <w:pStyle w:val="BodyText"/>
        <w:spacing w:line="259" w:lineRule="auto" w:before="68"/>
        <w:ind w:left="85" w:right="38"/>
        <w:jc w:val="both"/>
      </w:pPr>
      <w:r>
        <w:rPr/>
        <w:t>enzyme, thereby causing mtDNA mutations. </w:t>
      </w:r>
      <w:r>
        <w:rPr/>
        <w:t>Point mutations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mtDNA</w:t>
      </w:r>
      <w:r>
        <w:rPr>
          <w:spacing w:val="-7"/>
        </w:rPr>
        <w:t> </w:t>
      </w:r>
      <w:r>
        <w:rPr/>
        <w:t>arise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defective</w:t>
      </w:r>
      <w:r>
        <w:rPr>
          <w:spacing w:val="-6"/>
        </w:rPr>
        <w:t> </w:t>
      </w:r>
      <w:r>
        <w:rPr/>
        <w:t>polymerase activity of the </w:t>
      </w:r>
      <w:r>
        <w:rPr>
          <w:i/>
        </w:rPr>
        <w:t>POLG </w:t>
      </w:r>
      <w:r>
        <w:rPr/>
        <w:t>enzyme, whereas defective </w:t>
      </w:r>
      <w:r>
        <w:rPr>
          <w:spacing w:val="-2"/>
        </w:rPr>
        <w:t>exonuclease</w:t>
      </w:r>
      <w:r>
        <w:rPr>
          <w:spacing w:val="-3"/>
        </w:rPr>
        <w:t> </w:t>
      </w:r>
      <w:r>
        <w:rPr>
          <w:spacing w:val="-2"/>
        </w:rPr>
        <w:t>activity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an accumulation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both </w:t>
      </w:r>
      <w:r>
        <w:rPr/>
        <w:t>point mutations and deletions in the mtDNA [</w:t>
      </w:r>
      <w:hyperlink w:history="true" w:anchor="_bookmark8">
        <w:r>
          <w:rPr>
            <w:color w:val="0000FF"/>
          </w:rPr>
          <w:t>1</w:t>
        </w:r>
      </w:hyperlink>
      <w:r>
        <w:rPr/>
        <w:t>–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59" w:lineRule="auto" w:before="3"/>
        <w:ind w:left="85" w:right="38" w:firstLine="226"/>
        <w:jc w:val="both"/>
      </w:pPr>
      <w:r>
        <w:rPr/>
        <w:t>Mutations in </w:t>
      </w:r>
      <w:r>
        <w:rPr>
          <w:i/>
        </w:rPr>
        <w:t>POLG </w:t>
      </w:r>
      <w:r>
        <w:rPr/>
        <w:t>are known to cause a range </w:t>
      </w:r>
      <w:r>
        <w:rPr/>
        <w:t>of autosomal dominant (AD) and autosomal recessive (AR) disorders with overlapping clinical features including seizure, developmental delay, migraines, stroke-like episodes, extrapyramidal movement dis- orders, peripheral neuropathy, ataxia, depression, anxiety,</w:t>
      </w:r>
      <w:r>
        <w:rPr>
          <w:spacing w:val="-13"/>
        </w:rPr>
        <w:t> </w:t>
      </w:r>
      <w:r>
        <w:rPr/>
        <w:t>sensorineural</w:t>
      </w:r>
      <w:r>
        <w:rPr>
          <w:spacing w:val="-12"/>
        </w:rPr>
        <w:t> </w:t>
      </w:r>
      <w:r>
        <w:rPr/>
        <w:t>hearing</w:t>
      </w:r>
      <w:r>
        <w:rPr>
          <w:spacing w:val="-12"/>
        </w:rPr>
        <w:t> </w:t>
      </w:r>
      <w:r>
        <w:rPr/>
        <w:t>loss,</w:t>
      </w:r>
      <w:r>
        <w:rPr>
          <w:spacing w:val="-13"/>
        </w:rPr>
        <w:t> </w:t>
      </w:r>
      <w:r>
        <w:rPr/>
        <w:t>retinopathy,</w:t>
      </w:r>
      <w:r>
        <w:rPr>
          <w:spacing w:val="-12"/>
        </w:rPr>
        <w:t> </w:t>
      </w:r>
      <w:r>
        <w:rPr/>
        <w:t>catar- acts,</w:t>
      </w:r>
      <w:r>
        <w:rPr>
          <w:spacing w:val="-13"/>
        </w:rPr>
        <w:t> </w:t>
      </w:r>
      <w:r>
        <w:rPr/>
        <w:t>gastrointestinal</w:t>
      </w:r>
      <w:r>
        <w:rPr>
          <w:spacing w:val="-12"/>
        </w:rPr>
        <w:t> </w:t>
      </w:r>
      <w:r>
        <w:rPr/>
        <w:t>dysmotility,</w:t>
      </w:r>
      <w:r>
        <w:rPr>
          <w:spacing w:val="-13"/>
        </w:rPr>
        <w:t> </w:t>
      </w:r>
      <w:r>
        <w:rPr/>
        <w:t>liver</w:t>
      </w:r>
      <w:r>
        <w:rPr>
          <w:spacing w:val="-12"/>
        </w:rPr>
        <w:t> </w:t>
      </w:r>
      <w:r>
        <w:rPr/>
        <w:t>failure,</w:t>
      </w:r>
      <w:r>
        <w:rPr>
          <w:spacing w:val="-13"/>
        </w:rPr>
        <w:t> </w:t>
      </w:r>
      <w:r>
        <w:rPr/>
        <w:t>myopa- thy, hypotonia, diabetes mellitus, primary ovarian/ testicular failure and cardiomyopathies [</w:t>
      </w:r>
      <w:hyperlink w:history="true" w:anchor="_bookmark10">
        <w:r>
          <w:rPr>
            <w:color w:val="0000FF"/>
          </w:rPr>
          <w:t>2</w:t>
        </w:r>
      </w:hyperlink>
      <w:r>
        <w:rPr/>
        <w:t>, </w:t>
      </w:r>
      <w:hyperlink w:history="true" w:anchor="_bookmark14">
        <w:r>
          <w:rPr>
            <w:color w:val="0000FF"/>
          </w:rPr>
          <w:t>6</w:t>
        </w:r>
      </w:hyperlink>
      <w:r>
        <w:rPr/>
        <w:t>–</w:t>
      </w:r>
      <w:hyperlink w:history="true" w:anchor="_bookmark4">
        <w:r>
          <w:rPr>
            <w:color w:val="0000FF"/>
          </w:rPr>
          <w:t>10</w:t>
        </w:r>
      </w:hyperlink>
      <w:r>
        <w:rPr/>
        <w:t>]. Despite the overlapping features, there are distinct clinical</w:t>
      </w:r>
      <w:r>
        <w:rPr>
          <w:spacing w:val="-8"/>
        </w:rPr>
        <w:t> </w:t>
      </w:r>
      <w:r>
        <w:rPr/>
        <w:t>phenotypes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POLG</w:t>
      </w:r>
      <w:r>
        <w:rPr>
          <w:i/>
          <w:spacing w:val="-8"/>
        </w:rPr>
        <w:t> </w:t>
      </w:r>
      <w:r>
        <w:rPr/>
        <w:t>mutations which include childhood myocerebrohepatopathy spectrum (CMS; AR), myoclonic epilepsy myopathy sensory ataxia (MEMSA; AR), sensory ataxic neu- ropathy, dysarthria and ophthalmoparesis [SANDO; AR; also known as ataxia neuropathy spectrum (ANS)], autosomal recessive and dominant progres- </w:t>
      </w:r>
      <w:bookmarkStart w:name="Case report" w:id="8"/>
      <w:bookmarkEnd w:id="8"/>
      <w:r>
        <w:rPr/>
        <w:t>sive</w:t>
      </w:r>
      <w:r>
        <w:rPr/>
        <w:t> external ophthalmoplegia (PEO) and the most severe form Alpers–Huttenlocher syndrome</w:t>
      </w:r>
      <w:r>
        <w:rPr/>
        <w:t> (AHS; AR) [</w:t>
      </w:r>
      <w:hyperlink w:history="true" w:anchor="_bookmark14">
        <w:r>
          <w:rPr>
            <w:color w:val="0000FF"/>
          </w:rPr>
          <w:t>6</w:t>
        </w:r>
      </w:hyperlink>
      <w:r>
        <w:rPr/>
        <w:t>, 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15"/>
        <w:ind w:left="85" w:right="38" w:firstLine="226"/>
        <w:jc w:val="right"/>
      </w:pPr>
      <w:r>
        <w:rPr/>
        <w:t>CMS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characterized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infantile</w:t>
      </w:r>
      <w:r>
        <w:rPr>
          <w:spacing w:val="40"/>
        </w:rPr>
        <w:t> </w:t>
      </w:r>
      <w:r>
        <w:rPr/>
        <w:t>onset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 cardinal</w:t>
      </w:r>
      <w:r>
        <w:rPr>
          <w:spacing w:val="22"/>
        </w:rPr>
        <w:t> </w:t>
      </w:r>
      <w:r>
        <w:rPr/>
        <w:t>features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include</w:t>
      </w:r>
      <w:r>
        <w:rPr>
          <w:spacing w:val="24"/>
        </w:rPr>
        <w:t> </w:t>
      </w:r>
      <w:r>
        <w:rPr/>
        <w:t>hypotonia,</w:t>
      </w:r>
      <w:r>
        <w:rPr>
          <w:spacing w:val="23"/>
        </w:rPr>
        <w:t> </w:t>
      </w:r>
      <w:r>
        <w:rPr/>
        <w:t>develop- mental</w:t>
      </w:r>
      <w:r>
        <w:rPr>
          <w:spacing w:val="31"/>
        </w:rPr>
        <w:t> </w:t>
      </w:r>
      <w:r>
        <w:rPr/>
        <w:t>delay,</w:t>
      </w:r>
      <w:r>
        <w:rPr>
          <w:spacing w:val="31"/>
        </w:rPr>
        <w:t> </w:t>
      </w:r>
      <w:r>
        <w:rPr/>
        <w:t>hepatopathy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GI</w:t>
      </w:r>
      <w:r>
        <w:rPr>
          <w:spacing w:val="30"/>
        </w:rPr>
        <w:t> </w:t>
      </w:r>
      <w:r>
        <w:rPr/>
        <w:t>involvement</w:t>
      </w:r>
      <w:r>
        <w:rPr>
          <w:spacing w:val="3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]. The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tetrad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MEMSA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seizures, myopathy,</w:t>
      </w:r>
      <w:r>
        <w:rPr>
          <w:spacing w:val="29"/>
        </w:rPr>
        <w:t> </w:t>
      </w:r>
      <w:r>
        <w:rPr/>
        <w:t>neuropathy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ataxia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absence</w:t>
      </w:r>
      <w:r>
        <w:rPr>
          <w:spacing w:val="28"/>
        </w:rPr>
        <w:t> </w:t>
      </w:r>
      <w:r>
        <w:rPr/>
        <w:t>of </w:t>
      </w:r>
      <w:bookmarkStart w:name="Systemic features" w:id="9"/>
      <w:bookmarkEnd w:id="9"/>
      <w:r>
        <w:rPr/>
        <w:t>opht</w:t>
      </w:r>
      <w:r>
        <w:rPr/>
        <w:t>halmoplegia</w:t>
      </w:r>
      <w:r>
        <w:rPr>
          <w:spacing w:val="-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asso- ciated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SANDO</w:t>
      </w:r>
      <w:r>
        <w:rPr>
          <w:spacing w:val="-8"/>
        </w:rPr>
        <w:t> </w:t>
      </w:r>
      <w:r>
        <w:rPr/>
        <w:t>(ANS)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ataxia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neuropathy with many developing seizures and ophthalmoplegia [</w:t>
      </w:r>
      <w:hyperlink w:history="true" w:anchor="_bookmark17">
        <w:r>
          <w:rPr>
            <w:color w:val="0000FF"/>
          </w:rPr>
          <w:t>7</w:t>
        </w:r>
      </w:hyperlink>
      <w:r>
        <w:rPr/>
        <w:t>]. AD PEO is characterized by migraines, ophthal- moplegia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CNS</w:t>
      </w:r>
      <w:r>
        <w:rPr>
          <w:spacing w:val="-10"/>
        </w:rPr>
        <w:t> </w:t>
      </w:r>
      <w:r>
        <w:rPr/>
        <w:t>involvement,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</w:t>
      </w:r>
      <w:r>
        <w:rPr>
          <w:spacing w:val="-10"/>
        </w:rPr>
        <w:t> </w:t>
      </w:r>
      <w:r>
        <w:rPr/>
        <w:t>PEO</w:t>
      </w:r>
      <w:r>
        <w:rPr>
          <w:spacing w:val="-10"/>
        </w:rPr>
        <w:t> </w:t>
      </w:r>
      <w:r>
        <w:rPr/>
        <w:t>is associated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ophthalmoplegia,</w:t>
      </w:r>
      <w:r>
        <w:rPr>
          <w:spacing w:val="30"/>
        </w:rPr>
        <w:t> </w:t>
      </w:r>
      <w:r>
        <w:rPr/>
        <w:t>weakness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the potential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cardiac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gastrointestinal</w:t>
      </w:r>
      <w:r>
        <w:rPr>
          <w:spacing w:val="36"/>
        </w:rPr>
        <w:t> </w:t>
      </w:r>
      <w:r>
        <w:rPr/>
        <w:t>symptoms [</w:t>
      </w:r>
      <w:hyperlink w:history="true" w:anchor="_bookmark14">
        <w:r>
          <w:rPr>
            <w:color w:val="0000FF"/>
          </w:rPr>
          <w:t>6</w:t>
        </w:r>
      </w:hyperlink>
      <w:r>
        <w:rPr/>
        <w:t>, </w:t>
      </w:r>
      <w:hyperlink w:history="true" w:anchor="_bookmark5">
        <w:r>
          <w:rPr>
            <w:color w:val="0000FF"/>
          </w:rPr>
          <w:t>11</w:t>
        </w:r>
      </w:hyperlink>
      <w:r>
        <w:rPr/>
        <w:t>–</w:t>
      </w:r>
      <w:hyperlink w:history="true" w:anchor="_bookmark6">
        <w:r>
          <w:rPr>
            <w:color w:val="0000FF"/>
          </w:rPr>
          <w:t>13</w:t>
        </w:r>
      </w:hyperlink>
      <w:r>
        <w:rPr/>
        <w:t>]. Hallmark features of AHS include devel- opmental</w:t>
      </w:r>
      <w:r>
        <w:rPr>
          <w:spacing w:val="-13"/>
        </w:rPr>
        <w:t> </w:t>
      </w:r>
      <w:r>
        <w:rPr/>
        <w:t>delay,</w:t>
      </w:r>
      <w:r>
        <w:rPr>
          <w:spacing w:val="-12"/>
        </w:rPr>
        <w:t> </w:t>
      </w:r>
      <w:r>
        <w:rPr/>
        <w:t>hepatopathy,</w:t>
      </w:r>
      <w:r>
        <w:rPr>
          <w:spacing w:val="-13"/>
        </w:rPr>
        <w:t> </w:t>
      </w:r>
      <w:r>
        <w:rPr/>
        <w:t>seizures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GI</w:t>
      </w:r>
      <w:r>
        <w:rPr>
          <w:spacing w:val="-12"/>
        </w:rPr>
        <w:t> </w:t>
      </w:r>
      <w:r>
        <w:rPr/>
        <w:t>involve- ment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14</w:t>
        </w:r>
      </w:hyperlink>
      <w:r>
        <w:rPr/>
        <w:t>–</w:t>
      </w:r>
      <w:hyperlink w:history="true" w:anchor="_bookmark9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overlapping</w:t>
      </w:r>
      <w:r>
        <w:rPr>
          <w:spacing w:val="40"/>
        </w:rPr>
        <w:t> </w:t>
      </w:r>
      <w:r>
        <w:rPr/>
        <w:t>ocular features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clinical entities,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ophthalmoplegia,</w:t>
      </w:r>
      <w:r>
        <w:rPr>
          <w:spacing w:val="-4"/>
        </w:rPr>
        <w:t> </w:t>
      </w:r>
      <w:r>
        <w:rPr/>
        <w:t>pigmen- tary</w:t>
      </w:r>
      <w:r>
        <w:rPr>
          <w:spacing w:val="-13"/>
        </w:rPr>
        <w:t> </w:t>
      </w:r>
      <w:r>
        <w:rPr/>
        <w:t>retinopathy,</w:t>
      </w:r>
      <w:r>
        <w:rPr>
          <w:spacing w:val="-13"/>
        </w:rPr>
        <w:t> </w:t>
      </w:r>
      <w:r>
        <w:rPr/>
        <w:t>cataracts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eyelid</w:t>
      </w:r>
      <w:r>
        <w:rPr>
          <w:spacing w:val="-12"/>
        </w:rPr>
        <w:t> </w:t>
      </w:r>
      <w:r>
        <w:rPr/>
        <w:t>ptosis</w:t>
      </w:r>
      <w:r>
        <w:rPr>
          <w:spacing w:val="-13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9</w:t>
        </w:r>
      </w:hyperlink>
      <w:r>
        <w:rPr/>
        <w:t>,</w:t>
      </w:r>
      <w:r>
        <w:rPr>
          <w:spacing w:val="-12"/>
        </w:rPr>
        <w:t> </w:t>
      </w:r>
      <w:hyperlink w:history="true" w:anchor="_bookmark11">
        <w:r>
          <w:rPr>
            <w:color w:val="0000FF"/>
          </w:rPr>
          <w:t>17</w:t>
        </w:r>
      </w:hyperlink>
      <w:r>
        <w:rPr/>
        <w:t>,</w:t>
      </w:r>
      <w:r>
        <w:rPr>
          <w:spacing w:val="-13"/>
        </w:rPr>
        <w:t> </w:t>
      </w:r>
      <w:hyperlink w:history="true" w:anchor="_bookmark12">
        <w:r>
          <w:rPr>
            <w:color w:val="0000FF"/>
          </w:rPr>
          <w:t>18</w:t>
        </w:r>
      </w:hyperlink>
      <w:r>
        <w:rPr/>
        <w:t>]. Regardless of etiology, acquired or inherited, many generalized retinal disorders require a full-field elec- troretinogram</w:t>
      </w:r>
      <w:r>
        <w:rPr>
          <w:spacing w:val="34"/>
        </w:rPr>
        <w:t> </w:t>
      </w:r>
      <w:r>
        <w:rPr/>
        <w:t>(ERG)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an</w:t>
      </w:r>
      <w:r>
        <w:rPr>
          <w:spacing w:val="34"/>
        </w:rPr>
        <w:t> </w:t>
      </w:r>
      <w:r>
        <w:rPr/>
        <w:t>accurate</w:t>
      </w:r>
      <w:r>
        <w:rPr>
          <w:spacing w:val="34"/>
        </w:rPr>
        <w:t> </w:t>
      </w:r>
      <w:r>
        <w:rPr/>
        <w:t>diagnosis</w:t>
      </w:r>
      <w:r>
        <w:rPr>
          <w:spacing w:val="34"/>
        </w:rPr>
        <w:t> </w:t>
      </w:r>
      <w:r>
        <w:rPr/>
        <w:t>and prognosis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have hallmark</w:t>
      </w:r>
      <w:r>
        <w:rPr>
          <w:spacing w:val="22"/>
        </w:rPr>
        <w:t> </w:t>
      </w:r>
      <w:r>
        <w:rPr/>
        <w:t>signs</w:t>
      </w:r>
      <w:r>
        <w:rPr>
          <w:spacing w:val="22"/>
        </w:rPr>
        <w:t> </w:t>
      </w:r>
      <w:r>
        <w:rPr/>
        <w:t>visible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fundus</w:t>
      </w:r>
      <w:r>
        <w:rPr>
          <w:spacing w:val="23"/>
        </w:rPr>
        <w:t> </w:t>
      </w:r>
      <w:r>
        <w:rPr/>
        <w:t>examination,</w:t>
      </w:r>
      <w:r>
        <w:rPr>
          <w:spacing w:val="23"/>
        </w:rPr>
        <w:t> </w:t>
      </w:r>
      <w:r>
        <w:rPr>
          <w:spacing w:val="-4"/>
        </w:rPr>
        <w:t>some</w:t>
      </w:r>
    </w:p>
    <w:p>
      <w:pPr>
        <w:pStyle w:val="BodyText"/>
        <w:spacing w:line="259" w:lineRule="auto" w:before="68"/>
        <w:ind w:left="85" w:right="83"/>
        <w:jc w:val="both"/>
      </w:pPr>
      <w:r>
        <w:rPr/>
        <w:br w:type="column"/>
      </w:r>
      <w:r>
        <w:rPr/>
        <w:t>disorders have normal retinal appearance and </w:t>
      </w:r>
      <w:r>
        <w:rPr/>
        <w:t>are better assessed and diagnosed with an ERG [</w:t>
      </w:r>
      <w:hyperlink w:history="true" w:anchor="_bookmark13">
        <w:r>
          <w:rPr>
            <w:color w:val="0000FF"/>
          </w:rPr>
          <w:t>19</w:t>
        </w:r>
      </w:hyperlink>
      <w:r>
        <w:rPr/>
        <w:t>]. In cases with generalized trans-synaptic or bipolar cell deficits, an electronegative configuration to dark- adapted (DA) bright flash (DA 3.0 and DA 10.0) ERGs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seen,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b-wave</w:t>
      </w:r>
      <w:r>
        <w:rPr>
          <w:spacing w:val="-6"/>
        </w:rPr>
        <w:t> </w:t>
      </w:r>
      <w:r>
        <w:rPr/>
        <w:t>amplitude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smaller</w:t>
      </w:r>
      <w:r>
        <w:rPr>
          <w:spacing w:val="-7"/>
        </w:rPr>
        <w:t> </w:t>
      </w:r>
      <w:r>
        <w:rPr/>
        <w:t>than the</w:t>
      </w:r>
      <w:r>
        <w:rPr>
          <w:spacing w:val="-11"/>
        </w:rPr>
        <w:t> </w:t>
      </w:r>
      <w:r>
        <w:rPr/>
        <w:t>a-wave</w:t>
      </w:r>
      <w:r>
        <w:rPr>
          <w:spacing w:val="-11"/>
        </w:rPr>
        <w:t> </w:t>
      </w:r>
      <w:r>
        <w:rPr/>
        <w:t>amplitude</w:t>
      </w:r>
      <w:r>
        <w:rPr>
          <w:spacing w:val="-1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19</w:t>
        </w:r>
      </w:hyperlink>
      <w:r>
        <w:rPr/>
        <w:t>].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electronegative</w:t>
      </w:r>
      <w:r>
        <w:rPr>
          <w:spacing w:val="-11"/>
        </w:rPr>
        <w:t> </w:t>
      </w:r>
      <w:r>
        <w:rPr/>
        <w:t>ERG</w:t>
      </w:r>
      <w:r>
        <w:rPr>
          <w:spacing w:val="-10"/>
        </w:rPr>
        <w:t> </w:t>
      </w:r>
      <w:r>
        <w:rPr/>
        <w:t>is characteristic of retinal disorders such as congenital stationary night blindness (CSNB), X-linked retinoschisis and juvenile Batten disease [</w:t>
      </w:r>
      <w:hyperlink w:history="true" w:anchor="_bookmark13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59" w:lineRule="auto" w:before="7"/>
        <w:ind w:left="85" w:right="83" w:firstLine="226"/>
        <w:jc w:val="both"/>
      </w:pPr>
      <w:r>
        <w:rPr>
          <w:i/>
        </w:rPr>
        <w:t>POLG </w:t>
      </w:r>
      <w:r>
        <w:rPr/>
        <w:t>is ubiquitously expressed, and in the </w:t>
      </w:r>
      <w:r>
        <w:rPr/>
        <w:t>retina, it is expressed in the inner and outer plexiform layers as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ganglion</w:t>
      </w:r>
      <w:r>
        <w:rPr>
          <w:spacing w:val="-9"/>
        </w:rPr>
        <w:t> </w:t>
      </w:r>
      <w:r>
        <w:rPr/>
        <w:t>cells</w:t>
      </w:r>
      <w:r>
        <w:rPr>
          <w:spacing w:val="-8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  <w:r>
        <w:rPr>
          <w:spacing w:val="-10"/>
        </w:rPr>
        <w:t> </w:t>
      </w:r>
      <w:r>
        <w:rPr/>
        <w:t>Neuron-specific</w:t>
      </w:r>
      <w:r>
        <w:rPr>
          <w:spacing w:val="-9"/>
        </w:rPr>
        <w:t> </w:t>
      </w:r>
      <w:r>
        <w:rPr/>
        <w:t>mice models of </w:t>
      </w:r>
      <w:r>
        <w:rPr>
          <w:i/>
        </w:rPr>
        <w:t>POLG </w:t>
      </w:r>
      <w:r>
        <w:rPr/>
        <w:t>with impaired exonuclease activity showed a reduced </w:t>
      </w:r>
      <w:r>
        <w:rPr>
          <w:i/>
        </w:rPr>
        <w:t>b</w:t>
      </w:r>
      <w:r>
        <w:rPr/>
        <w:t>:</w:t>
      </w:r>
      <w:r>
        <w:rPr>
          <w:i/>
        </w:rPr>
        <w:t>a </w:t>
      </w:r>
      <w:r>
        <w:rPr/>
        <w:t>ratio of the scotopic ERG suggesting retinal rod ON-bipolar dysfunction [</w:t>
      </w:r>
      <w:hyperlink w:history="true" w:anchor="_bookmark8">
        <w:r>
          <w:rPr>
            <w:color w:val="0000FF"/>
          </w:rPr>
          <w:t>1</w:t>
        </w:r>
      </w:hyperlink>
      <w:r>
        <w:rPr/>
        <w:t>]. A normal</w:t>
      </w:r>
      <w:r>
        <w:rPr>
          <w:spacing w:val="-7"/>
        </w:rPr>
        <w:t> </w:t>
      </w:r>
      <w:r>
        <w:rPr/>
        <w:t>ERG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minor</w:t>
      </w:r>
      <w:r>
        <w:rPr>
          <w:spacing w:val="-9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for AHS [</w:t>
      </w:r>
      <w:hyperlink w:history="true" w:anchor="_bookmark15">
        <w:r>
          <w:rPr>
            <w:color w:val="0000FF"/>
          </w:rPr>
          <w:t>20</w:t>
        </w:r>
      </w:hyperlink>
      <w:r>
        <w:rPr/>
        <w:t>]; however, there are only a few cases in the literature that have reported on ERG findings [</w:t>
      </w:r>
      <w:hyperlink w:history="true" w:anchor="_bookmark16">
        <w:r>
          <w:rPr>
            <w:color w:val="0000FF"/>
          </w:rPr>
          <w:t>21</w:t>
        </w:r>
      </w:hyperlink>
      <w:r>
        <w:rPr/>
        <w:t>]. This is a case report of a boy with biallelic </w:t>
      </w:r>
      <w:r>
        <w:rPr>
          <w:i/>
        </w:rPr>
        <w:t>POLG </w:t>
      </w:r>
      <w:r>
        <w:rPr/>
        <w:t>mutations,</w:t>
      </w:r>
      <w:r>
        <w:rPr>
          <w:spacing w:val="-2"/>
        </w:rPr>
        <w:t> </w:t>
      </w:r>
      <w:r>
        <w:rPr/>
        <w:t>demonstrating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documented</w:t>
      </w:r>
      <w:r>
        <w:rPr>
          <w:spacing w:val="-2"/>
        </w:rPr>
        <w:t> </w:t>
      </w:r>
      <w:r>
        <w:rPr/>
        <w:t>occur- rence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electronegative</w:t>
      </w:r>
      <w:r>
        <w:rPr>
          <w:spacing w:val="-6"/>
        </w:rPr>
        <w:t> </w:t>
      </w:r>
      <w:r>
        <w:rPr/>
        <w:t>ERG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typical systemic features of a </w:t>
      </w:r>
      <w:r>
        <w:rPr>
          <w:i/>
        </w:rPr>
        <w:t>POLG</w:t>
      </w:r>
      <w:r>
        <w:rPr/>
        <w:t>-related disorder.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85"/>
        <w:jc w:val="both"/>
      </w:pPr>
      <w:r>
        <w:rPr>
          <w:w w:val="105"/>
        </w:rPr>
        <w:t>Case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report</w:t>
      </w:r>
    </w:p>
    <w:p>
      <w:pPr>
        <w:pStyle w:val="BodyText"/>
        <w:spacing w:before="38"/>
      </w:pPr>
    </w:p>
    <w:p>
      <w:pPr>
        <w:pStyle w:val="BodyText"/>
        <w:spacing w:line="259" w:lineRule="auto" w:before="1"/>
        <w:ind w:left="85" w:right="83"/>
        <w:jc w:val="both"/>
      </w:pPr>
      <w:r>
        <w:rPr/>
        <w:t>The study was approved by the Research </w:t>
      </w:r>
      <w:r>
        <w:rPr/>
        <w:t>Ethics Board at the Hospital for Sick Children Toronto, and informed</w:t>
      </w:r>
      <w:r>
        <w:rPr>
          <w:spacing w:val="40"/>
        </w:rPr>
        <w:t> </w:t>
      </w:r>
      <w:r>
        <w:rPr/>
        <w:t>consent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parent; the study protocols adhered to the tenets of the Declara-tion of Helsinki.</w:t>
      </w:r>
    </w:p>
    <w:p>
      <w:pPr>
        <w:pStyle w:val="BodyText"/>
        <w:spacing w:before="22"/>
      </w:pPr>
    </w:p>
    <w:p>
      <w:pPr>
        <w:pStyle w:val="BodyText"/>
        <w:ind w:left="85"/>
        <w:jc w:val="both"/>
      </w:pPr>
      <w:r>
        <w:rPr/>
        <w:t>Systemic</w:t>
      </w:r>
      <w:r>
        <w:rPr>
          <w:spacing w:val="1"/>
        </w:rPr>
        <w:t> </w:t>
      </w:r>
      <w:r>
        <w:rPr>
          <w:spacing w:val="-2"/>
        </w:rPr>
        <w:t>features</w:t>
      </w:r>
    </w:p>
    <w:p>
      <w:pPr>
        <w:pStyle w:val="BodyText"/>
        <w:spacing w:before="38"/>
      </w:pPr>
    </w:p>
    <w:p>
      <w:pPr>
        <w:pStyle w:val="BodyText"/>
        <w:spacing w:line="259" w:lineRule="auto"/>
        <w:ind w:left="85" w:right="83"/>
        <w:jc w:val="both"/>
      </w:pPr>
      <w:r>
        <w:rPr/>
        <w:t>The proband is of Indian descent, and there was no known history of hereditary illnesses. After </w:t>
      </w:r>
      <w:r>
        <w:rPr/>
        <w:t>an uneventful pregnancy, the proband was born at term via spontaneous vaginal delivery. Growth parameters for height and weight were in the third percentile. Upon weaning at 6 months and introduction of solid foods,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decreased</w:t>
      </w:r>
      <w:r>
        <w:rPr>
          <w:spacing w:val="-11"/>
        </w:rPr>
        <w:t> </w:t>
      </w:r>
      <w:r>
        <w:rPr/>
        <w:t>appetite with</w:t>
      </w:r>
      <w:r>
        <w:rPr>
          <w:spacing w:val="-9"/>
        </w:rPr>
        <w:t> </w:t>
      </w:r>
      <w:r>
        <w:rPr/>
        <w:t>episodes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cyclical</w:t>
      </w:r>
      <w:r>
        <w:rPr>
          <w:spacing w:val="-8"/>
        </w:rPr>
        <w:t> </w:t>
      </w:r>
      <w:r>
        <w:rPr/>
        <w:t>vomiting.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child</w:t>
      </w:r>
      <w:r>
        <w:rPr>
          <w:spacing w:val="-8"/>
        </w:rPr>
        <w:t> </w:t>
      </w:r>
      <w:r>
        <w:rPr/>
        <w:t>began</w:t>
      </w:r>
      <w:r>
        <w:rPr>
          <w:spacing w:val="-9"/>
        </w:rPr>
        <w:t> </w:t>
      </w:r>
      <w:r>
        <w:rPr/>
        <w:t>to walk at 9 months and speak sentences after 2 years. The child displayed no signs of dysarthria or recep- tive/expressive language deficits and there was no regression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skills.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afebrile seizures, at 2 years, the child was started on anticon- vulsant</w:t>
      </w:r>
      <w:r>
        <w:rPr>
          <w:spacing w:val="30"/>
        </w:rPr>
        <w:t>  </w:t>
      </w:r>
      <w:r>
        <w:rPr/>
        <w:t>therapy</w:t>
      </w:r>
      <w:r>
        <w:rPr>
          <w:spacing w:val="30"/>
        </w:rPr>
        <w:t>  </w:t>
      </w:r>
      <w:r>
        <w:rPr/>
        <w:t>(oxcarbazepine).</w:t>
      </w:r>
      <w:r>
        <w:rPr>
          <w:spacing w:val="30"/>
        </w:rPr>
        <w:t>  </w:t>
      </w:r>
      <w:r>
        <w:rPr/>
        <w:t>Following</w:t>
      </w:r>
      <w:r>
        <w:rPr>
          <w:spacing w:val="29"/>
        </w:rPr>
        <w:t>  </w:t>
      </w:r>
      <w:r>
        <w:rPr>
          <w:spacing w:val="-5"/>
        </w:rPr>
        <w:t>two</w:t>
      </w:r>
    </w:p>
    <w:p>
      <w:pPr>
        <w:pStyle w:val="BodyText"/>
        <w:spacing w:after="0" w:line="259" w:lineRule="auto"/>
        <w:jc w:val="both"/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5" w:space="328"/>
            <w:col w:w="4487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headerReference w:type="default" r:id="rId14"/>
          <w:headerReference w:type="even" r:id="rId15"/>
          <w:footerReference w:type="default" r:id="rId16"/>
          <w:footerReference w:type="even" r:id="rId17"/>
          <w:pgSz w:w="10950" w:h="14750"/>
          <w:pgMar w:header="668" w:footer="916" w:top="920" w:bottom="1100" w:left="850" w:right="850"/>
          <w:pgNumType w:start="113"/>
        </w:sectPr>
      </w:pPr>
    </w:p>
    <w:p>
      <w:pPr>
        <w:pStyle w:val="BodyText"/>
        <w:spacing w:line="259" w:lineRule="auto" w:before="68"/>
        <w:ind w:left="85" w:right="38"/>
        <w:jc w:val="both"/>
      </w:pPr>
      <w:r>
        <w:rPr/>
        <w:t>seizure-free years, oxcarbazepine was </w:t>
      </w:r>
      <w:r>
        <w:rPr/>
        <w:t>discontinued and there were no recurrences.</w:t>
      </w:r>
    </w:p>
    <w:p>
      <w:pPr>
        <w:pStyle w:val="BodyText"/>
        <w:spacing w:line="259" w:lineRule="auto" w:before="1"/>
        <w:ind w:left="85" w:right="38" w:firstLine="226"/>
        <w:jc w:val="both"/>
      </w:pPr>
      <w:r>
        <w:rPr/>
        <w:t>At the age of four, the child developed </w:t>
      </w:r>
      <w:r>
        <w:rPr/>
        <w:t>worsening anorexia and a mild limitation of gross motor activ- ities. Coenzyme Q10, creatine, alpha lipoic acid and carnitine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sequentially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</w:t>
      </w:r>
      <w:r>
        <w:rPr>
          <w:spacing w:val="40"/>
        </w:rPr>
        <w:t> </w:t>
      </w:r>
      <w:r>
        <w:rPr/>
        <w:t>of 9</w:t>
      </w:r>
      <w:r>
        <w:rPr>
          <w:spacing w:val="-10"/>
        </w:rPr>
        <w:t> </w:t>
      </w:r>
      <w:r>
        <w:rPr/>
        <w:t>years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attempt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slow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dystrophic</w:t>
      </w:r>
      <w:r>
        <w:rPr>
          <w:spacing w:val="-13"/>
        </w:rPr>
        <w:t> </w:t>
      </w:r>
      <w:r>
        <w:rPr/>
        <w:t>pattern.</w:t>
      </w:r>
      <w:r>
        <w:rPr>
          <w:spacing w:val="-12"/>
        </w:rPr>
        <w:t> </w:t>
      </w:r>
      <w:r>
        <w:rPr/>
        <w:t>At 11 years of age, weakness of his respiratory muscles was</w:t>
      </w:r>
      <w:r>
        <w:rPr>
          <w:spacing w:val="-1"/>
        </w:rPr>
        <w:t> </w:t>
      </w:r>
      <w:r>
        <w:rPr/>
        <w:t>noted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mild</w:t>
      </w:r>
      <w:r>
        <w:rPr>
          <w:spacing w:val="-2"/>
        </w:rPr>
        <w:t> </w:t>
      </w:r>
      <w:r>
        <w:rPr/>
        <w:t>obstructive</w:t>
      </w:r>
      <w:r>
        <w:rPr>
          <w:spacing w:val="-2"/>
        </w:rPr>
        <w:t> </w:t>
      </w:r>
      <w:r>
        <w:rPr/>
        <w:t>sleep</w:t>
      </w:r>
      <w:r>
        <w:rPr>
          <w:spacing w:val="-1"/>
        </w:rPr>
        <w:t> </w:t>
      </w:r>
      <w:r>
        <w:rPr/>
        <w:t>apnea,</w:t>
      </w:r>
      <w:r>
        <w:rPr>
          <w:spacing w:val="-2"/>
        </w:rPr>
        <w:t> </w:t>
      </w:r>
      <w:r>
        <w:rPr/>
        <w:t>a chronic cough and the requirement of a cough </w:t>
      </w:r>
      <w:bookmarkStart w:name="Genetic results" w:id="10"/>
      <w:bookmarkEnd w:id="10"/>
      <w:r>
        <w:rPr/>
        <w:t>assistance</w:t>
      </w:r>
      <w:r>
        <w:rPr/>
        <w:t> device.</w:t>
      </w:r>
    </w:p>
    <w:p>
      <w:pPr>
        <w:pStyle w:val="BodyText"/>
        <w:spacing w:line="259" w:lineRule="auto" w:before="7"/>
        <w:ind w:left="85" w:right="38" w:firstLine="226"/>
        <w:jc w:val="both"/>
      </w:pP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twelve,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child</w:t>
      </w:r>
      <w:r>
        <w:rPr>
          <w:spacing w:val="-13"/>
        </w:rPr>
        <w:t> </w:t>
      </w:r>
      <w:r>
        <w:rPr/>
        <w:t>had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fed</w:t>
      </w:r>
      <w:r>
        <w:rPr>
          <w:spacing w:val="-13"/>
        </w:rPr>
        <w:t> </w:t>
      </w:r>
      <w:r>
        <w:rPr/>
        <w:t>through a</w:t>
      </w:r>
      <w:r>
        <w:rPr>
          <w:spacing w:val="-2"/>
        </w:rPr>
        <w:t> </w:t>
      </w:r>
      <w:r>
        <w:rPr/>
        <w:t>G-tube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dysphagia,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wheelchair</w:t>
      </w:r>
      <w:r>
        <w:rPr>
          <w:spacing w:val="-1"/>
        </w:rPr>
        <w:t> </w:t>
      </w:r>
      <w:r>
        <w:rPr/>
        <w:t>bound and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assistance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self-care.</w:t>
      </w:r>
      <w:r>
        <w:rPr>
          <w:spacing w:val="-4"/>
        </w:rPr>
        <w:t> </w:t>
      </w:r>
      <w:r>
        <w:rPr/>
        <w:t>At 13, the child was hospitalized for aspiration pneumo- nia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extensive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cough</w:t>
      </w:r>
      <w:r>
        <w:rPr>
          <w:spacing w:val="-7"/>
        </w:rPr>
        <w:t> </w:t>
      </w:r>
      <w:r>
        <w:rPr/>
        <w:t>assistance device and salivary Botox to control his secretions. The child also developed bilateral hand contractures, and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his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recent</w:t>
      </w:r>
      <w:r>
        <w:rPr>
          <w:spacing w:val="-13"/>
        </w:rPr>
        <w:t> </w:t>
      </w:r>
      <w:r>
        <w:rPr/>
        <w:t>visit,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14,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failing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thrive, </w:t>
      </w:r>
      <w:bookmarkStart w:name="Ocular features" w:id="11"/>
      <w:bookmarkEnd w:id="11"/>
      <w:r>
        <w:rPr/>
        <w:t>and</w:t>
      </w:r>
      <w:r>
        <w:rPr>
          <w:spacing w:val="3"/>
        </w:rPr>
        <w:t> </w:t>
      </w:r>
      <w:r>
        <w:rPr/>
        <w:t>palliative</w:t>
      </w:r>
      <w:r>
        <w:rPr>
          <w:spacing w:val="2"/>
        </w:rPr>
        <w:t> </w:t>
      </w:r>
      <w:r>
        <w:rPr/>
        <w:t>care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likely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treatment</w:t>
      </w:r>
      <w:r>
        <w:rPr>
          <w:spacing w:val="3"/>
        </w:rPr>
        <w:t> </w:t>
      </w:r>
      <w:r>
        <w:rPr>
          <w:spacing w:val="-2"/>
        </w:rPr>
        <w:t>option.</w:t>
      </w:r>
    </w:p>
    <w:p>
      <w:pPr>
        <w:pStyle w:val="BodyText"/>
        <w:spacing w:before="25"/>
      </w:pPr>
    </w:p>
    <w:p>
      <w:pPr>
        <w:pStyle w:val="BodyText"/>
        <w:ind w:left="85"/>
        <w:jc w:val="both"/>
      </w:pPr>
      <w:bookmarkStart w:name="Discussion" w:id="12"/>
      <w:bookmarkEnd w:id="12"/>
      <w:r>
        <w:rPr/>
      </w:r>
      <w:r>
        <w:rPr/>
        <w:t>Ocular</w:t>
      </w:r>
      <w:r>
        <w:rPr>
          <w:spacing w:val="1"/>
        </w:rPr>
        <w:t> </w:t>
      </w:r>
      <w:r>
        <w:rPr>
          <w:spacing w:val="-2"/>
        </w:rPr>
        <w:t>features</w:t>
      </w:r>
    </w:p>
    <w:p>
      <w:pPr>
        <w:pStyle w:val="BodyText"/>
        <w:spacing w:before="38"/>
      </w:pPr>
    </w:p>
    <w:p>
      <w:pPr>
        <w:pStyle w:val="BodyText"/>
        <w:spacing w:line="259" w:lineRule="auto"/>
        <w:ind w:left="85" w:right="38"/>
        <w:jc w:val="both"/>
      </w:pP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age</w:t>
      </w:r>
      <w:r>
        <w:rPr>
          <w:w w:val="105"/>
        </w:rPr>
        <w:t> of</w:t>
      </w:r>
      <w:r>
        <w:rPr>
          <w:w w:val="105"/>
        </w:rPr>
        <w:t> five,</w:t>
      </w:r>
      <w:r>
        <w:rPr>
          <w:w w:val="105"/>
        </w:rPr>
        <w:t> the</w:t>
      </w:r>
      <w:r>
        <w:rPr>
          <w:w w:val="105"/>
        </w:rPr>
        <w:t> child</w:t>
      </w:r>
      <w:r>
        <w:rPr>
          <w:w w:val="105"/>
        </w:rPr>
        <w:t> had</w:t>
      </w:r>
      <w:r>
        <w:rPr>
          <w:w w:val="105"/>
        </w:rPr>
        <w:t> symptoms</w:t>
      </w:r>
      <w:r>
        <w:rPr>
          <w:w w:val="105"/>
        </w:rPr>
        <w:t> </w:t>
      </w:r>
      <w:r>
        <w:rPr>
          <w:w w:val="105"/>
        </w:rPr>
        <w:t>of photophobia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evaluation,</w:t>
      </w:r>
      <w:r>
        <w:rPr>
          <w:spacing w:val="-7"/>
          <w:w w:val="105"/>
        </w:rPr>
        <w:t> </w:t>
      </w:r>
      <w:r>
        <w:rPr>
          <w:w w:val="105"/>
        </w:rPr>
        <w:t>bilateral</w:t>
      </w:r>
      <w:r>
        <w:rPr>
          <w:spacing w:val="-7"/>
          <w:w w:val="105"/>
        </w:rPr>
        <w:t> </w:t>
      </w:r>
      <w:r>
        <w:rPr>
          <w:w w:val="105"/>
        </w:rPr>
        <w:t>ptosis</w:t>
      </w:r>
      <w:r>
        <w:rPr>
          <w:spacing w:val="-6"/>
          <w:w w:val="105"/>
        </w:rPr>
        <w:t> </w:t>
      </w:r>
      <w:r>
        <w:rPr>
          <w:w w:val="105"/>
        </w:rPr>
        <w:t>was noted</w:t>
      </w:r>
      <w:r>
        <w:rPr>
          <w:w w:val="105"/>
        </w:rPr>
        <w:t> alongside</w:t>
      </w:r>
      <w:r>
        <w:rPr>
          <w:w w:val="105"/>
        </w:rPr>
        <w:t> a</w:t>
      </w:r>
      <w:r>
        <w:rPr>
          <w:w w:val="105"/>
        </w:rPr>
        <w:t> difficulty</w:t>
      </w:r>
      <w:r>
        <w:rPr>
          <w:w w:val="105"/>
        </w:rPr>
        <w:t> with</w:t>
      </w:r>
      <w:r>
        <w:rPr>
          <w:w w:val="105"/>
        </w:rPr>
        <w:t> extraocular</w:t>
      </w:r>
      <w:r>
        <w:rPr>
          <w:w w:val="105"/>
        </w:rPr>
        <w:t> eye movements.</w:t>
      </w:r>
      <w:r>
        <w:rPr>
          <w:w w:val="105"/>
        </w:rPr>
        <w:t> At</w:t>
      </w:r>
      <w:r>
        <w:rPr>
          <w:w w:val="105"/>
        </w:rPr>
        <w:t> 9</w:t>
      </w:r>
      <w:r>
        <w:rPr>
          <w:w w:val="105"/>
        </w:rPr>
        <w:t> years,</w:t>
      </w:r>
      <w:r>
        <w:rPr>
          <w:w w:val="105"/>
        </w:rPr>
        <w:t> the</w:t>
      </w:r>
      <w:r>
        <w:rPr>
          <w:w w:val="105"/>
        </w:rPr>
        <w:t> palpebral</w:t>
      </w:r>
      <w:r>
        <w:rPr>
          <w:w w:val="105"/>
        </w:rPr>
        <w:t> fissure</w:t>
      </w:r>
      <w:r>
        <w:rPr>
          <w:w w:val="105"/>
        </w:rPr>
        <w:t> was</w:t>
      </w:r>
      <w:r>
        <w:rPr>
          <w:spacing w:val="80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and</w:t>
      </w:r>
      <w:r>
        <w:rPr>
          <w:w w:val="105"/>
        </w:rPr>
        <w:t> 7</w:t>
      </w:r>
      <w:r>
        <w:rPr>
          <w:spacing w:val="-3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left,</w:t>
      </w:r>
      <w:r>
        <w:rPr>
          <w:w w:val="105"/>
        </w:rPr>
        <w:t> requiring 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neck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eye</w:t>
      </w:r>
      <w:r>
        <w:rPr>
          <w:w w:val="105"/>
        </w:rPr>
        <w:t> contact. Extraocular</w:t>
      </w:r>
      <w:r>
        <w:rPr>
          <w:w w:val="105"/>
        </w:rPr>
        <w:t> movements</w:t>
      </w:r>
      <w:r>
        <w:rPr>
          <w:w w:val="105"/>
        </w:rPr>
        <w:t> showed elevation</w:t>
      </w:r>
      <w:r>
        <w:rPr>
          <w:w w:val="105"/>
        </w:rPr>
        <w:t> </w:t>
      </w:r>
      <w:r>
        <w:rPr>
          <w:w w:val="145"/>
        </w:rPr>
        <w:t>(-</w:t>
      </w:r>
      <w:r>
        <w:rPr>
          <w:spacing w:val="-19"/>
          <w:w w:val="145"/>
        </w:rPr>
        <w:t> </w:t>
      </w:r>
      <w:r>
        <w:rPr>
          <w:w w:val="105"/>
        </w:rPr>
        <w:t>3), </w:t>
      </w:r>
      <w:r>
        <w:rPr>
          <w:spacing w:val="-2"/>
          <w:w w:val="105"/>
        </w:rPr>
        <w:t>abduction</w:t>
      </w:r>
      <w:r>
        <w:rPr>
          <w:spacing w:val="-9"/>
          <w:w w:val="105"/>
        </w:rPr>
        <w:t> </w:t>
      </w:r>
      <w:r>
        <w:rPr>
          <w:spacing w:val="-2"/>
          <w:w w:val="135"/>
        </w:rPr>
        <w:t>(-</w:t>
      </w:r>
      <w:r>
        <w:rPr>
          <w:spacing w:val="-7"/>
          <w:w w:val="135"/>
        </w:rPr>
        <w:t> </w:t>
      </w:r>
      <w:r>
        <w:rPr>
          <w:spacing w:val="-2"/>
          <w:w w:val="105"/>
        </w:rPr>
        <w:t>1)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adduction</w:t>
      </w:r>
      <w:r>
        <w:rPr>
          <w:spacing w:val="-9"/>
          <w:w w:val="105"/>
        </w:rPr>
        <w:t> </w:t>
      </w:r>
      <w:r>
        <w:rPr>
          <w:spacing w:val="-2"/>
          <w:w w:val="135"/>
        </w:rPr>
        <w:t>(-</w:t>
      </w:r>
      <w:r>
        <w:rPr>
          <w:spacing w:val="-7"/>
          <w:w w:val="135"/>
        </w:rPr>
        <w:t> </w:t>
      </w:r>
      <w:r>
        <w:rPr>
          <w:spacing w:val="-2"/>
          <w:w w:val="105"/>
        </w:rPr>
        <w:t>1)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deficits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either </w:t>
      </w:r>
      <w:r>
        <w:rPr>
          <w:w w:val="105"/>
        </w:rPr>
        <w:t>eye.</w:t>
      </w:r>
      <w:r>
        <w:rPr>
          <w:w w:val="105"/>
        </w:rPr>
        <w:t> The</w:t>
      </w:r>
      <w:r>
        <w:rPr>
          <w:w w:val="105"/>
        </w:rPr>
        <w:t> child’s</w:t>
      </w:r>
      <w:r>
        <w:rPr>
          <w:w w:val="105"/>
        </w:rPr>
        <w:t> uncorrected</w:t>
      </w:r>
      <w:r>
        <w:rPr>
          <w:w w:val="105"/>
        </w:rPr>
        <w:t> and</w:t>
      </w:r>
      <w:r>
        <w:rPr>
          <w:w w:val="105"/>
        </w:rPr>
        <w:t> corrected</w:t>
      </w:r>
      <w:r>
        <w:rPr>
          <w:w w:val="105"/>
        </w:rPr>
        <w:t> visual </w:t>
      </w:r>
      <w:r>
        <w:rPr/>
        <w:t>acuity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0.50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0.40</w:t>
      </w:r>
      <w:r>
        <w:rPr>
          <w:spacing w:val="-13"/>
        </w:rPr>
        <w:t> </w:t>
      </w:r>
      <w:r>
        <w:rPr/>
        <w:t>LogMAR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left eyes,</w:t>
      </w:r>
      <w:r>
        <w:rPr>
          <w:spacing w:val="15"/>
        </w:rPr>
        <w:t> </w:t>
      </w:r>
      <w:r>
        <w:rPr/>
        <w:t>respectively.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cycloplegic</w:t>
      </w:r>
      <w:r>
        <w:rPr>
          <w:spacing w:val="15"/>
        </w:rPr>
        <w:t> </w:t>
      </w:r>
      <w:r>
        <w:rPr/>
        <w:t>refraction</w:t>
      </w:r>
      <w:r>
        <w:rPr>
          <w:spacing w:val="16"/>
        </w:rPr>
        <w:t> </w:t>
      </w:r>
      <w:r>
        <w:rPr/>
        <w:t>was</w:t>
      </w:r>
      <w:r>
        <w:rPr>
          <w:spacing w:val="14"/>
        </w:rPr>
        <w:t> </w:t>
      </w:r>
      <w:r>
        <w:rPr>
          <w:spacing w:val="-10"/>
        </w:rPr>
        <w:t>?</w:t>
      </w:r>
    </w:p>
    <w:p>
      <w:pPr>
        <w:pStyle w:val="BodyText"/>
        <w:spacing w:line="259" w:lineRule="auto" w:before="7"/>
        <w:ind w:left="85" w:right="38" w:firstLine="66"/>
        <w:jc w:val="both"/>
      </w:pPr>
      <w:r>
        <w:rPr/>
        <w:t>3.00 and </w:t>
      </w:r>
      <w:r>
        <w:rPr>
          <w:w w:val="145"/>
        </w:rPr>
        <w:t>? </w:t>
      </w:r>
      <w:r>
        <w:rPr/>
        <w:t>1.50/- 3.00 </w:t>
      </w:r>
      <w:r>
        <w:rPr>
          <w:w w:val="145"/>
        </w:rPr>
        <w:t>9 </w:t>
      </w:r>
      <w:r>
        <w:rPr/>
        <w:t>180° in the right and left eyes,</w:t>
      </w:r>
      <w:r>
        <w:rPr>
          <w:spacing w:val="-13"/>
        </w:rPr>
        <w:t> </w:t>
      </w:r>
      <w:r>
        <w:rPr/>
        <w:t>respectively.</w:t>
      </w:r>
      <w:r>
        <w:rPr>
          <w:spacing w:val="-12"/>
        </w:rPr>
        <w:t> </w:t>
      </w:r>
      <w:r>
        <w:rPr/>
        <w:t>Fundus</w:t>
      </w:r>
      <w:r>
        <w:rPr>
          <w:spacing w:val="-13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normal,</w:t>
      </w:r>
      <w:r>
        <w:rPr>
          <w:spacing w:val="-12"/>
        </w:rPr>
        <w:t> </w:t>
      </w:r>
      <w:r>
        <w:rPr/>
        <w:t>and the spectral domain optical coherence tomography (SD-OCT; Bioptigen, Inc) showed normal central retinal</w:t>
      </w:r>
      <w:r>
        <w:rPr>
          <w:spacing w:val="-6"/>
        </w:rPr>
        <w:t> </w:t>
      </w:r>
      <w:r>
        <w:rPr/>
        <w:t>thickness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layering</w:t>
      </w:r>
      <w:r>
        <w:rPr>
          <w:spacing w:val="-8"/>
        </w:rPr>
        <w:t> </w:t>
      </w:r>
      <w:r>
        <w:rPr/>
        <w:t>(Fig. </w:t>
      </w:r>
      <w:hyperlink w:history="true" w:anchor="_bookmark0">
        <w:r>
          <w:rPr>
            <w:color w:val="0000FF"/>
          </w:rPr>
          <w:t>1</w:t>
        </w:r>
      </w:hyperlink>
      <w:r>
        <w:rPr/>
        <w:t>).</w:t>
      </w:r>
      <w:r>
        <w:rPr>
          <w:spacing w:val="-8"/>
        </w:rPr>
        <w:t> </w:t>
      </w:r>
      <w:r>
        <w:rPr/>
        <w:t>Full-field</w:t>
      </w:r>
      <w:r>
        <w:rPr>
          <w:spacing w:val="-6"/>
        </w:rPr>
        <w:t> </w:t>
      </w:r>
      <w:r>
        <w:rPr/>
        <w:t>ERG was performed on Espion (Diagnosys LCC, Lowell, MA) system using ERG-Jet contact lens electrodes. Due to patient fatigue (myopathy) and other health considerations, the ERG was performed monocularly over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sessions;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scotopic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photopic ERGs were performed at 10 and 13 years, respec- tively,</w:t>
      </w:r>
      <w:r>
        <w:rPr>
          <w:spacing w:val="75"/>
        </w:rPr>
        <w:t> </w:t>
      </w:r>
      <w:r>
        <w:rPr/>
        <w:t>and</w:t>
      </w:r>
      <w:r>
        <w:rPr>
          <w:spacing w:val="75"/>
        </w:rPr>
        <w:t> </w:t>
      </w:r>
      <w:r>
        <w:rPr/>
        <w:t>the</w:t>
      </w:r>
      <w:r>
        <w:rPr>
          <w:spacing w:val="74"/>
        </w:rPr>
        <w:t> </w:t>
      </w:r>
      <w:r>
        <w:rPr/>
        <w:t>left</w:t>
      </w:r>
      <w:r>
        <w:rPr>
          <w:spacing w:val="74"/>
        </w:rPr>
        <w:t> </w:t>
      </w:r>
      <w:r>
        <w:rPr/>
        <w:t>eye</w:t>
      </w:r>
      <w:r>
        <w:rPr>
          <w:spacing w:val="75"/>
        </w:rPr>
        <w:t> </w:t>
      </w:r>
      <w:r>
        <w:rPr/>
        <w:t>ERG</w:t>
      </w:r>
      <w:r>
        <w:rPr>
          <w:spacing w:val="74"/>
        </w:rPr>
        <w:t> </w:t>
      </w:r>
      <w:r>
        <w:rPr/>
        <w:t>was</w:t>
      </w:r>
      <w:r>
        <w:rPr>
          <w:spacing w:val="74"/>
        </w:rPr>
        <w:t> </w:t>
      </w:r>
      <w:r>
        <w:rPr/>
        <w:t>performed</w:t>
      </w:r>
      <w:r>
        <w:rPr>
          <w:spacing w:val="75"/>
        </w:rPr>
        <w:t> </w:t>
      </w:r>
      <w:r>
        <w:rPr/>
        <w:t>at 13 years. Hence, some steps of the scotopic</w:t>
      </w:r>
      <w:r>
        <w:rPr/>
        <w:t> ERG were in compliance with an earlier ISCEV standard, </w:t>
      </w:r>
      <w:r>
        <w:rPr>
          <w:spacing w:val="-2"/>
        </w:rPr>
        <w:t>whereas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remainder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steps</w:t>
      </w:r>
      <w:r>
        <w:rPr>
          <w:spacing w:val="-4"/>
        </w:rPr>
        <w:t> </w:t>
      </w:r>
      <w:r>
        <w:rPr>
          <w:spacing w:val="-2"/>
        </w:rPr>
        <w:t>were in</w:t>
      </w:r>
      <w:r>
        <w:rPr>
          <w:spacing w:val="-4"/>
        </w:rPr>
        <w:t> </w:t>
      </w:r>
      <w:r>
        <w:rPr>
          <w:spacing w:val="-2"/>
        </w:rPr>
        <w:t>compliance</w:t>
      </w:r>
    </w:p>
    <w:p>
      <w:pPr>
        <w:pStyle w:val="BodyText"/>
        <w:spacing w:line="259" w:lineRule="auto" w:before="68"/>
        <w:ind w:left="85" w:right="83"/>
        <w:jc w:val="both"/>
      </w:pPr>
      <w:r>
        <w:rPr/>
        <w:br w:type="column"/>
      </w:r>
      <w:r>
        <w:rPr/>
        <w:t>with latest ISCEV standards [</w:t>
      </w:r>
      <w:hyperlink w:history="true" w:anchor="_bookmark18">
        <w:r>
          <w:rPr>
            <w:color w:val="0000FF"/>
          </w:rPr>
          <w:t>22</w:t>
        </w:r>
      </w:hyperlink>
      <w:r>
        <w:rPr/>
        <w:t>, </w:t>
      </w:r>
      <w:hyperlink w:history="true" w:anchor="_bookmark19">
        <w:r>
          <w:rPr>
            <w:color w:val="0000FF"/>
          </w:rPr>
          <w:t>23</w:t>
        </w:r>
      </w:hyperlink>
      <w:r>
        <w:rPr/>
        <w:t>]. The </w:t>
      </w:r>
      <w:r>
        <w:rPr/>
        <w:t>dark- adapted (DA) dim-light ERG (DA 0.01) showed low </w:t>
      </w:r>
      <w:r>
        <w:rPr>
          <w:spacing w:val="-2"/>
        </w:rPr>
        <w:t>normal</w:t>
      </w:r>
      <w:r>
        <w:rPr>
          <w:spacing w:val="-6"/>
        </w:rPr>
        <w:t> </w:t>
      </w:r>
      <w:r>
        <w:rPr>
          <w:i/>
          <w:spacing w:val="-2"/>
        </w:rPr>
        <w:t>b</w:t>
      </w:r>
      <w:r>
        <w:rPr>
          <w:spacing w:val="-2"/>
        </w:rPr>
        <w:t>-wave</w:t>
      </w:r>
      <w:r>
        <w:rPr>
          <w:spacing w:val="-9"/>
        </w:rPr>
        <w:t> </w:t>
      </w:r>
      <w:r>
        <w:rPr>
          <w:spacing w:val="-2"/>
        </w:rPr>
        <w:t>amplitude;</w:t>
      </w:r>
      <w:r>
        <w:rPr>
          <w:spacing w:val="-7"/>
        </w:rPr>
        <w:t> </w:t>
      </w:r>
      <w:r>
        <w:rPr>
          <w:spacing w:val="-2"/>
        </w:rPr>
        <w:t>DA</w:t>
      </w:r>
      <w:r>
        <w:rPr>
          <w:spacing w:val="-7"/>
        </w:rPr>
        <w:t> </w:t>
      </w:r>
      <w:r>
        <w:rPr>
          <w:spacing w:val="-2"/>
        </w:rPr>
        <w:t>2.29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7"/>
        </w:rPr>
        <w:t> </w:t>
      </w:r>
      <w:r>
        <w:rPr>
          <w:spacing w:val="-2"/>
        </w:rPr>
        <w:t>7.6</w:t>
      </w:r>
      <w:r>
        <w:rPr>
          <w:spacing w:val="-9"/>
        </w:rPr>
        <w:t> </w:t>
      </w:r>
      <w:r>
        <w:rPr>
          <w:spacing w:val="-2"/>
        </w:rPr>
        <w:t>ERG’s </w:t>
      </w:r>
      <w:r>
        <w:rPr/>
        <w:t>showed normal </w:t>
      </w:r>
      <w:r>
        <w:rPr>
          <w:i/>
        </w:rPr>
        <w:t>a</w:t>
      </w:r>
      <w:r>
        <w:rPr/>
        <w:t>-wave amplitudes and reduced </w:t>
      </w:r>
      <w:r>
        <w:rPr>
          <w:i/>
        </w:rPr>
        <w:t>b</w:t>
      </w:r>
      <w:r>
        <w:rPr/>
        <w:t>/</w:t>
      </w:r>
      <w:r>
        <w:rPr>
          <w:i/>
        </w:rPr>
        <w:t>a </w:t>
      </w:r>
      <w:r>
        <w:rPr/>
        <w:t>ratio. The DA 7.6 ERGs showed an electronegative configuration.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light-adapted</w:t>
      </w:r>
      <w:r>
        <w:rPr>
          <w:spacing w:val="-12"/>
        </w:rPr>
        <w:t> </w:t>
      </w:r>
      <w:r>
        <w:rPr/>
        <w:t>ERGs</w:t>
      </w:r>
      <w:r>
        <w:rPr>
          <w:spacing w:val="-11"/>
        </w:rPr>
        <w:t> </w:t>
      </w:r>
      <w:r>
        <w:rPr/>
        <w:t>(LA</w:t>
      </w:r>
      <w:r>
        <w:rPr>
          <w:spacing w:val="-11"/>
        </w:rPr>
        <w:t> </w:t>
      </w:r>
      <w:r>
        <w:rPr/>
        <w:t>3.0</w:t>
      </w:r>
      <w:r>
        <w:rPr>
          <w:spacing w:val="-12"/>
        </w:rPr>
        <w:t> </w:t>
      </w:r>
      <w:r>
        <w:rPr/>
        <w:t>30</w:t>
      </w:r>
      <w:r>
        <w:rPr>
          <w:spacing w:val="7"/>
        </w:rPr>
        <w:t> </w:t>
      </w:r>
      <w:r>
        <w:rPr/>
        <w:t>Hz and LA 3.0 2 Hz) were within normal limits; cone ON–OFF ERGs performed using white stimulus (166.66 cd </w:t>
      </w:r>
      <w:r>
        <w:rPr>
          <w:w w:val="160"/>
        </w:rPr>
        <w:t>m</w:t>
      </w:r>
      <w:r>
        <w:rPr>
          <w:w w:val="160"/>
          <w:vertAlign w:val="superscript"/>
        </w:rPr>
        <w:t>-</w:t>
      </w:r>
      <w:r>
        <w:rPr>
          <w:vertAlign w:val="superscript"/>
        </w:rPr>
        <w:t>2</w:t>
      </w:r>
      <w:r>
        <w:rPr>
          <w:vertAlign w:val="baseline"/>
        </w:rPr>
        <w:t>) on white background (30 cd </w:t>
      </w:r>
      <w:r>
        <w:rPr>
          <w:w w:val="160"/>
          <w:vertAlign w:val="baseline"/>
        </w:rPr>
        <w:t>m</w:t>
      </w:r>
      <w:r>
        <w:rPr>
          <w:w w:val="160"/>
          <w:vertAlign w:val="superscript"/>
        </w:rPr>
        <w:t>-</w:t>
      </w:r>
      <w:r>
        <w:rPr>
          <w:vertAlign w:val="superscript"/>
        </w:rPr>
        <w:t>2</w:t>
      </w:r>
      <w:r>
        <w:rPr>
          <w:vertAlign w:val="baseline"/>
        </w:rPr>
        <w:t>) and an amber stimulus on a green background [</w:t>
      </w:r>
      <w:hyperlink w:history="true" w:anchor="_bookmark13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 were normal (Fig.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BodyText"/>
        <w:spacing w:before="27"/>
      </w:pPr>
    </w:p>
    <w:p>
      <w:pPr>
        <w:pStyle w:val="BodyText"/>
        <w:ind w:left="85"/>
      </w:pPr>
      <w:r>
        <w:rPr/>
        <w:t>Genetic </w:t>
      </w:r>
      <w:r>
        <w:rPr>
          <w:spacing w:val="-2"/>
        </w:rPr>
        <w:t>results</w:t>
      </w:r>
    </w:p>
    <w:p>
      <w:pPr>
        <w:pStyle w:val="BodyText"/>
        <w:spacing w:before="38"/>
      </w:pPr>
    </w:p>
    <w:p>
      <w:pPr>
        <w:pStyle w:val="BodyText"/>
        <w:spacing w:line="259" w:lineRule="auto"/>
        <w:ind w:left="85" w:right="83"/>
        <w:jc w:val="both"/>
      </w:pP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ten,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3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homozygous </w:t>
      </w:r>
      <w:r>
        <w:rPr/>
        <w:t>missense mutation was identified in </w:t>
      </w:r>
      <w:r>
        <w:rPr>
          <w:i/>
        </w:rPr>
        <w:t>POLG </w:t>
      </w:r>
      <w:r>
        <w:rPr/>
        <w:t>(c.911T</w:t>
      </w:r>
      <w:r>
        <w:rPr>
          <w:spacing w:val="-6"/>
        </w:rPr>
        <w:t> </w:t>
      </w:r>
      <w:r>
        <w:rPr/>
        <w:t>[ </w:t>
      </w:r>
      <w:r>
        <w:rPr>
          <w:w w:val="105"/>
        </w:rPr>
        <w:t>G/p.Leu304Arg).</w:t>
      </w:r>
      <w:r>
        <w:rPr>
          <w:w w:val="105"/>
        </w:rPr>
        <w:t> The</w:t>
      </w:r>
      <w:r>
        <w:rPr>
          <w:w w:val="105"/>
        </w:rPr>
        <w:t> child</w:t>
      </w:r>
      <w:r>
        <w:rPr>
          <w:w w:val="105"/>
        </w:rPr>
        <w:t> was</w:t>
      </w:r>
      <w:r>
        <w:rPr>
          <w:w w:val="105"/>
        </w:rPr>
        <w:t> also</w:t>
      </w:r>
      <w:r>
        <w:rPr>
          <w:w w:val="105"/>
        </w:rPr>
        <w:t> screened</w:t>
      </w:r>
      <w:r>
        <w:rPr>
          <w:w w:val="105"/>
        </w:rPr>
        <w:t> for CSNB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next-generation</w:t>
      </w:r>
      <w:r>
        <w:rPr>
          <w:w w:val="105"/>
        </w:rPr>
        <w:t> sequencing</w:t>
      </w:r>
      <w:r>
        <w:rPr>
          <w:w w:val="105"/>
        </w:rPr>
        <w:t> panel containing</w:t>
      </w:r>
      <w:r>
        <w:rPr>
          <w:spacing w:val="-7"/>
          <w:w w:val="105"/>
        </w:rPr>
        <w:t> </w:t>
      </w:r>
      <w:r>
        <w:rPr>
          <w:w w:val="105"/>
        </w:rPr>
        <w:t>18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genes;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pathogenic</w:t>
      </w:r>
      <w:r>
        <w:rPr>
          <w:spacing w:val="-6"/>
          <w:w w:val="105"/>
        </w:rPr>
        <w:t> </w:t>
      </w:r>
      <w:r>
        <w:rPr>
          <w:w w:val="105"/>
        </w:rPr>
        <w:t>variants or copy number variations were identified.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85"/>
      </w:pPr>
      <w:r>
        <w:rPr>
          <w:spacing w:val="-2"/>
        </w:rPr>
        <w:t>Discussion</w:t>
      </w:r>
    </w:p>
    <w:p>
      <w:pPr>
        <w:pStyle w:val="BodyText"/>
        <w:spacing w:before="39"/>
      </w:pPr>
    </w:p>
    <w:p>
      <w:pPr>
        <w:pStyle w:val="BodyText"/>
        <w:spacing w:line="259" w:lineRule="auto"/>
        <w:ind w:left="85" w:right="83"/>
        <w:jc w:val="both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documented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electronegative ERG, suggestive of generalized rod ON-bipolar dys- function, in a </w:t>
      </w:r>
      <w:r>
        <w:rPr>
          <w:i/>
        </w:rPr>
        <w:t>POLG</w:t>
      </w:r>
      <w:r>
        <w:rPr/>
        <w:t>-related disorder. The proband presented with well-documented systemic and ocular features associated with </w:t>
      </w:r>
      <w:r>
        <w:rPr>
          <w:i/>
        </w:rPr>
        <w:t>POLG</w:t>
      </w:r>
      <w:r>
        <w:rPr/>
        <w:t>-related disorders including seizures, headaches, areflexia, hypotonia, myopathy, vomiting, ophthalmoplegia and ptosis; his clinical phenotype was most consistent with SANDO (Table </w:t>
      </w:r>
      <w:hyperlink w:history="true" w:anchor="_bookmark2">
        <w:r>
          <w:rPr>
            <w:color w:val="0000FF"/>
          </w:rPr>
          <w:t>1</w:t>
        </w:r>
      </w:hyperlink>
      <w:r>
        <w:rPr/>
        <w:t>). Typically, SANDO presents later in life with ataxia as the principal feature (average age:</w:t>
      </w:r>
      <w:r>
        <w:rPr>
          <w:spacing w:val="80"/>
        </w:rPr>
        <w:t> </w:t>
      </w:r>
      <w:r>
        <w:rPr/>
        <w:t>32.9</w:t>
      </w:r>
      <w:r>
        <w:rPr>
          <w:spacing w:val="-13"/>
        </w:rPr>
        <w:t> </w:t>
      </w:r>
      <w:r>
        <w:rPr/>
        <w:t>years;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5–73</w:t>
      </w:r>
      <w:r>
        <w:rPr>
          <w:spacing w:val="7"/>
        </w:rPr>
        <w:t> </w:t>
      </w:r>
      <w:r>
        <w:rPr/>
        <w:t>years)</w:t>
      </w:r>
      <w:r>
        <w:rPr>
          <w:spacing w:val="-13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PEO</w:t>
      </w:r>
      <w:r>
        <w:rPr>
          <w:spacing w:val="-12"/>
        </w:rPr>
        <w:t> </w:t>
      </w:r>
      <w:r>
        <w:rPr/>
        <w:t>within a decade; dysarthria and seizures are relatively uncommon [</w:t>
      </w:r>
      <w:hyperlink w:history="true" w:anchor="_bookmark21">
        <w:r>
          <w:rPr>
            <w:color w:val="0000FF"/>
          </w:rPr>
          <w:t>24</w:t>
        </w:r>
      </w:hyperlink>
      <w:r>
        <w:rPr/>
        <w:t>]. Although the proband shared six clinical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AHS,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myopathy and</w:t>
      </w:r>
      <w:r>
        <w:rPr>
          <w:spacing w:val="-13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liver</w:t>
      </w:r>
      <w:r>
        <w:rPr>
          <w:spacing w:val="-12"/>
        </w:rPr>
        <w:t> </w:t>
      </w:r>
      <w:r>
        <w:rPr/>
        <w:t>involvement</w:t>
      </w:r>
      <w:r>
        <w:rPr>
          <w:spacing w:val="-12"/>
        </w:rPr>
        <w:t> </w:t>
      </w:r>
      <w:r>
        <w:rPr/>
        <w:t>suggest</w:t>
      </w:r>
      <w:r>
        <w:rPr>
          <w:spacing w:val="-12"/>
        </w:rPr>
        <w:t> </w:t>
      </w:r>
      <w:r>
        <w:rPr/>
        <w:t>his</w:t>
      </w:r>
      <w:r>
        <w:rPr>
          <w:spacing w:val="-13"/>
        </w:rPr>
        <w:t> </w:t>
      </w:r>
      <w:r>
        <w:rPr/>
        <w:t>phenotype</w:t>
      </w:r>
      <w:r>
        <w:rPr>
          <w:spacing w:val="-12"/>
        </w:rPr>
        <w:t> </w:t>
      </w:r>
      <w:r>
        <w:rPr/>
        <w:t>to be SANDO [</w:t>
      </w:r>
      <w:hyperlink w:history="true" w:anchor="_bookmark17">
        <w:r>
          <w:rPr>
            <w:color w:val="0000FF"/>
          </w:rPr>
          <w:t>7</w:t>
        </w:r>
      </w:hyperlink>
      <w:r>
        <w:rPr/>
        <w:t>], acknowledging that the severity and earlier</w:t>
      </w:r>
      <w:r>
        <w:rPr>
          <w:spacing w:val="-3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symptoms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proband</w:t>
      </w:r>
      <w:r>
        <w:rPr>
          <w:spacing w:val="-4"/>
        </w:rPr>
        <w:t> </w:t>
      </w:r>
      <w:r>
        <w:rPr/>
        <w:t>place him along a continuum of clinical presentations seen in SANDO. The phenotypic</w:t>
      </w:r>
      <w:r>
        <w:rPr/>
        <w:t> descriptions of various </w:t>
      </w:r>
      <w:r>
        <w:rPr>
          <w:i/>
        </w:rPr>
        <w:t>POLG</w:t>
      </w:r>
      <w:r>
        <w:rPr/>
        <w:t>-related</w:t>
      </w:r>
      <w:r>
        <w:rPr>
          <w:spacing w:val="-12"/>
        </w:rPr>
        <w:t> </w:t>
      </w:r>
      <w:r>
        <w:rPr/>
        <w:t>disorders,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hallmark</w:t>
      </w:r>
      <w:r>
        <w:rPr>
          <w:spacing w:val="-12"/>
        </w:rPr>
        <w:t> </w:t>
      </w:r>
      <w:r>
        <w:rPr/>
        <w:t>signs</w:t>
      </w:r>
      <w:r>
        <w:rPr>
          <w:spacing w:val="-12"/>
        </w:rPr>
        <w:t> </w:t>
      </w:r>
      <w:r>
        <w:rPr/>
        <w:t>and symptoms,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inheritance</w:t>
      </w:r>
      <w:r>
        <w:rPr>
          <w:spacing w:val="-13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summarized</w:t>
      </w:r>
      <w:r>
        <w:rPr>
          <w:spacing w:val="-12"/>
        </w:rPr>
        <w:t> </w:t>
      </w:r>
      <w:r>
        <w:rPr/>
        <w:t>in Table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59" w:lineRule="auto" w:before="14"/>
        <w:ind w:left="85" w:right="83" w:firstLine="226"/>
        <w:jc w:val="both"/>
      </w:pPr>
      <w:r>
        <w:rPr/>
        <w:t>With the wide variability of onset and severity </w:t>
      </w:r>
      <w:r>
        <w:rPr/>
        <w:t>in </w:t>
      </w:r>
      <w:r>
        <w:rPr>
          <w:i/>
        </w:rPr>
        <w:t>POLG</w:t>
      </w:r>
      <w:r>
        <w:rPr/>
        <w:t>-related disorders, it can be difficult to predict and</w:t>
      </w:r>
      <w:r>
        <w:rPr>
          <w:spacing w:val="29"/>
        </w:rPr>
        <w:t> </w:t>
      </w:r>
      <w:r>
        <w:rPr/>
        <w:t>compare</w:t>
      </w:r>
      <w:r>
        <w:rPr>
          <w:spacing w:val="30"/>
        </w:rPr>
        <w:t> </w:t>
      </w:r>
      <w:r>
        <w:rPr/>
        <w:t>phenotypes.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seizure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10"/>
        </w:rPr>
        <w:t>a</w:t>
      </w:r>
    </w:p>
    <w:p>
      <w:pPr>
        <w:pStyle w:val="BodyText"/>
        <w:spacing w:after="0" w:line="259" w:lineRule="auto"/>
        <w:jc w:val="both"/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5" w:space="327"/>
            <w:col w:w="4488"/>
          </w:cols>
        </w:sectPr>
      </w:pPr>
    </w:p>
    <w:p>
      <w:pPr>
        <w:pStyle w:val="BodyText"/>
        <w:spacing w:before="29"/>
      </w:pPr>
    </w:p>
    <w:p>
      <w:pPr>
        <w:pStyle w:val="BodyText"/>
        <w:ind w:left="1273"/>
      </w:pPr>
      <w:r>
        <w:rPr/>
        <w:drawing>
          <wp:inline distT="0" distB="0" distL="0" distR="0">
            <wp:extent cx="4249211" cy="249021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211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0950" w:h="14750"/>
          <w:pgMar w:header="668" w:footer="916" w:top="920" w:bottom="1100" w:left="850" w:right="850"/>
        </w:sectPr>
      </w:pPr>
    </w:p>
    <w:p>
      <w:pPr>
        <w:spacing w:line="244" w:lineRule="auto" w:before="75"/>
        <w:ind w:left="85" w:right="38" w:firstLine="0"/>
        <w:jc w:val="both"/>
        <w:rPr>
          <w:sz w:val="17"/>
        </w:rPr>
      </w:pPr>
      <w:bookmarkStart w:name="_bookmark0" w:id="13"/>
      <w:bookmarkEnd w:id="13"/>
      <w:r>
        <w:rPr/>
      </w:r>
      <w:r>
        <w:rPr>
          <w:sz w:val="17"/>
        </w:rPr>
        <w:t>Fig. 1</w:t>
      </w:r>
      <w:r>
        <w:rPr>
          <w:spacing w:val="40"/>
          <w:sz w:val="17"/>
        </w:rPr>
        <w:t> </w:t>
      </w:r>
      <w:r>
        <w:rPr>
          <w:sz w:val="17"/>
        </w:rPr>
        <w:t>Fundus and spectral domain optical coherence </w:t>
      </w:r>
      <w:r>
        <w:rPr>
          <w:sz w:val="17"/>
        </w:rPr>
        <w:t>tomog- raphy (SD-OCT) from the proband. A and B show normal fundus</w:t>
      </w:r>
      <w:r>
        <w:rPr>
          <w:spacing w:val="12"/>
          <w:sz w:val="17"/>
        </w:rPr>
        <w:t> </w:t>
      </w:r>
      <w:r>
        <w:rPr>
          <w:sz w:val="17"/>
        </w:rPr>
        <w:t>photographs</w:t>
      </w:r>
      <w:r>
        <w:rPr>
          <w:spacing w:val="13"/>
          <w:sz w:val="17"/>
        </w:rPr>
        <w:t> </w:t>
      </w:r>
      <w:r>
        <w:rPr>
          <w:sz w:val="17"/>
        </w:rPr>
        <w:t>from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12"/>
          <w:sz w:val="17"/>
        </w:rPr>
        <w:t> </w:t>
      </w:r>
      <w:r>
        <w:rPr>
          <w:sz w:val="17"/>
        </w:rPr>
        <w:t>right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12"/>
          <w:sz w:val="17"/>
        </w:rPr>
        <w:t> </w:t>
      </w:r>
      <w:r>
        <w:rPr>
          <w:sz w:val="17"/>
        </w:rPr>
        <w:t>left</w:t>
      </w:r>
      <w:r>
        <w:rPr>
          <w:spacing w:val="12"/>
          <w:sz w:val="17"/>
        </w:rPr>
        <w:t> </w:t>
      </w:r>
      <w:r>
        <w:rPr>
          <w:sz w:val="17"/>
        </w:rPr>
        <w:t>eyes,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respectively.</w:t>
      </w:r>
    </w:p>
    <w:p>
      <w:pPr>
        <w:spacing w:line="244" w:lineRule="auto" w:before="75"/>
        <w:ind w:left="85" w:right="83" w:hanging="1"/>
        <w:jc w:val="both"/>
        <w:rPr>
          <w:sz w:val="17"/>
        </w:rPr>
      </w:pPr>
      <w:r>
        <w:rPr/>
        <w:br w:type="column"/>
      </w:r>
      <w:r>
        <w:rPr>
          <w:sz w:val="17"/>
        </w:rPr>
        <w:t>C and D show horizon line scan of the SD-OCT through the fovea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demonstrates</w:t>
      </w:r>
      <w:r>
        <w:rPr>
          <w:spacing w:val="-5"/>
          <w:sz w:val="17"/>
        </w:rPr>
        <w:t> </w:t>
      </w:r>
      <w:r>
        <w:rPr>
          <w:sz w:val="17"/>
        </w:rPr>
        <w:t>normal</w:t>
      </w:r>
      <w:r>
        <w:rPr>
          <w:spacing w:val="-6"/>
          <w:sz w:val="17"/>
        </w:rPr>
        <w:t> </w:t>
      </w:r>
      <w:r>
        <w:rPr>
          <w:sz w:val="17"/>
        </w:rPr>
        <w:t>central</w:t>
      </w:r>
      <w:r>
        <w:rPr>
          <w:spacing w:val="-6"/>
          <w:sz w:val="17"/>
        </w:rPr>
        <w:t> </w:t>
      </w:r>
      <w:r>
        <w:rPr>
          <w:sz w:val="17"/>
        </w:rPr>
        <w:t>retinal</w:t>
      </w:r>
      <w:r>
        <w:rPr>
          <w:spacing w:val="-5"/>
          <w:sz w:val="17"/>
        </w:rPr>
        <w:t> </w:t>
      </w:r>
      <w:r>
        <w:rPr>
          <w:sz w:val="17"/>
        </w:rPr>
        <w:t>layering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either </w:t>
      </w:r>
      <w:r>
        <w:rPr>
          <w:spacing w:val="-4"/>
          <w:sz w:val="17"/>
        </w:rPr>
        <w:t>eye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4" w:space="328"/>
            <w:col w:w="4488"/>
          </w:cols>
        </w:sectPr>
      </w:pPr>
    </w:p>
    <w:p>
      <w:pPr>
        <w:pStyle w:val="BodyText"/>
        <w:spacing w:before="95"/>
      </w:pPr>
    </w:p>
    <w:p>
      <w:pPr>
        <w:pStyle w:val="BodyText"/>
        <w:ind w:left="159"/>
      </w:pPr>
      <w:r>
        <w:rPr/>
        <w:drawing>
          <wp:inline distT="0" distB="0" distL="0" distR="0">
            <wp:extent cx="5680534" cy="307238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53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0950" w:h="14750"/>
          <w:pgMar w:header="668" w:footer="916" w:top="820" w:bottom="1100" w:left="850" w:right="850"/>
        </w:sectPr>
      </w:pPr>
    </w:p>
    <w:p>
      <w:pPr>
        <w:spacing w:line="244" w:lineRule="auto" w:before="75"/>
        <w:ind w:left="85" w:right="38" w:firstLine="0"/>
        <w:jc w:val="both"/>
        <w:rPr>
          <w:sz w:val="17"/>
        </w:rPr>
      </w:pPr>
      <w:bookmarkStart w:name="_bookmark1" w:id="14"/>
      <w:bookmarkEnd w:id="14"/>
      <w:r>
        <w:rPr/>
      </w:r>
      <w:r>
        <w:rPr>
          <w:sz w:val="17"/>
        </w:rPr>
        <w:t>Fig.</w:t>
      </w:r>
      <w:r>
        <w:rPr>
          <w:spacing w:val="-11"/>
          <w:sz w:val="17"/>
        </w:rPr>
        <w:t> </w:t>
      </w:r>
      <w:r>
        <w:rPr>
          <w:sz w:val="17"/>
        </w:rPr>
        <w:t>2</w:t>
      </w:r>
      <w:r>
        <w:rPr>
          <w:spacing w:val="53"/>
          <w:sz w:val="17"/>
        </w:rPr>
        <w:t> </w:t>
      </w:r>
      <w:r>
        <w:rPr>
          <w:sz w:val="17"/>
        </w:rPr>
        <w:t>Full-field</w:t>
      </w:r>
      <w:r>
        <w:rPr>
          <w:spacing w:val="-11"/>
          <w:sz w:val="17"/>
        </w:rPr>
        <w:t> </w:t>
      </w:r>
      <w:r>
        <w:rPr>
          <w:sz w:val="17"/>
        </w:rPr>
        <w:t>ERG</w:t>
      </w:r>
      <w:r>
        <w:rPr>
          <w:spacing w:val="-11"/>
          <w:sz w:val="17"/>
        </w:rPr>
        <w:t> </w:t>
      </w:r>
      <w:r>
        <w:rPr>
          <w:sz w:val="17"/>
        </w:rPr>
        <w:t>results</w:t>
      </w:r>
      <w:r>
        <w:rPr>
          <w:spacing w:val="-10"/>
          <w:sz w:val="17"/>
        </w:rPr>
        <w:t> </w:t>
      </w:r>
      <w:r>
        <w:rPr>
          <w:sz w:val="17"/>
        </w:rPr>
        <w:t>from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proband</w:t>
      </w:r>
      <w:r>
        <w:rPr>
          <w:spacing w:val="-10"/>
          <w:sz w:val="17"/>
        </w:rPr>
        <w:t> </w:t>
      </w:r>
      <w:r>
        <w:rPr>
          <w:sz w:val="17"/>
        </w:rPr>
        <w:t>(A</w:t>
      </w:r>
      <w:r>
        <w:rPr>
          <w:spacing w:val="-11"/>
          <w:sz w:val="17"/>
        </w:rPr>
        <w:t> </w:t>
      </w:r>
      <w:r>
        <w:rPr>
          <w:sz w:val="17"/>
        </w:rPr>
        <w:t>right</w:t>
      </w:r>
      <w:r>
        <w:rPr>
          <w:spacing w:val="-10"/>
          <w:sz w:val="17"/>
        </w:rPr>
        <w:t> </w:t>
      </w:r>
      <w:r>
        <w:rPr>
          <w:sz w:val="17"/>
        </w:rPr>
        <w:t>eye</w:t>
      </w:r>
      <w:r>
        <w:rPr>
          <w:spacing w:val="-11"/>
          <w:sz w:val="17"/>
        </w:rPr>
        <w:t> </w:t>
      </w:r>
      <w:r>
        <w:rPr>
          <w:sz w:val="17"/>
        </w:rPr>
        <w:t>and B left eye). Dim-light scotopic ERG (DA 0.01) shows a low normal b-wave amplitude; DA 2.29 and DA 7.6 ERGs show </w:t>
      </w:r>
      <w:r>
        <w:rPr>
          <w:w w:val="110"/>
          <w:sz w:val="17"/>
        </w:rPr>
        <w:t>normal</w:t>
      </w:r>
      <w:r>
        <w:rPr>
          <w:w w:val="110"/>
          <w:sz w:val="17"/>
        </w:rPr>
        <w:t> a-wave</w:t>
      </w:r>
      <w:r>
        <w:rPr>
          <w:w w:val="110"/>
          <w:sz w:val="17"/>
        </w:rPr>
        <w:t> amplitude</w:t>
      </w:r>
      <w:r>
        <w:rPr>
          <w:w w:val="110"/>
          <w:sz w:val="17"/>
        </w:rPr>
        <w:t> and</w:t>
      </w:r>
      <w:r>
        <w:rPr>
          <w:w w:val="110"/>
          <w:sz w:val="17"/>
        </w:rPr>
        <w:t> markedly</w:t>
      </w:r>
      <w:r>
        <w:rPr>
          <w:w w:val="110"/>
          <w:sz w:val="17"/>
        </w:rPr>
        <w:t> reduced</w:t>
      </w:r>
      <w:r>
        <w:rPr>
          <w:w w:val="110"/>
          <w:sz w:val="17"/>
        </w:rPr>
        <w:t> b-wave </w:t>
      </w:r>
      <w:r>
        <w:rPr>
          <w:sz w:val="17"/>
        </w:rPr>
        <w:t>amplitude; DA 7.6 ERGs showed an electronegative configu- ration.</w:t>
      </w:r>
      <w:r>
        <w:rPr>
          <w:sz w:val="17"/>
        </w:rPr>
        <w:t> The light-adapted 30 Hz flicker ERG showed normal </w:t>
      </w:r>
      <w:r>
        <w:rPr>
          <w:w w:val="110"/>
          <w:sz w:val="17"/>
        </w:rPr>
        <w:t>amplitudes</w:t>
      </w:r>
      <w:r>
        <w:rPr>
          <w:w w:val="110"/>
          <w:sz w:val="17"/>
        </w:rPr>
        <w:t> [109</w:t>
      </w:r>
      <w:r>
        <w:rPr>
          <w:w w:val="110"/>
          <w:sz w:val="17"/>
        </w:rPr>
        <w:t> and</w:t>
      </w:r>
      <w:r>
        <w:rPr>
          <w:w w:val="110"/>
          <w:sz w:val="17"/>
        </w:rPr>
        <w:t> 99</w:t>
      </w:r>
      <w:r>
        <w:rPr>
          <w:spacing w:val="-7"/>
          <w:w w:val="110"/>
          <w:sz w:val="17"/>
        </w:rPr>
        <w:t> </w:t>
      </w:r>
      <w:r>
        <w:rPr>
          <w:w w:val="120"/>
          <w:sz w:val="17"/>
        </w:rPr>
        <w:t>lV</w:t>
      </w:r>
      <w:r>
        <w:rPr>
          <w:w w:val="120"/>
          <w:sz w:val="17"/>
        </w:rPr>
        <w:t> </w:t>
      </w:r>
      <w:r>
        <w:rPr>
          <w:w w:val="110"/>
          <w:sz w:val="17"/>
        </w:rPr>
        <w:t>in</w:t>
      </w:r>
      <w:r>
        <w:rPr>
          <w:w w:val="110"/>
          <w:sz w:val="17"/>
        </w:rPr>
        <w:t> the</w:t>
      </w:r>
      <w:r>
        <w:rPr>
          <w:w w:val="110"/>
          <w:sz w:val="17"/>
        </w:rPr>
        <w:t> right</w:t>
      </w:r>
      <w:r>
        <w:rPr>
          <w:w w:val="110"/>
          <w:sz w:val="17"/>
        </w:rPr>
        <w:t> and</w:t>
      </w:r>
      <w:r>
        <w:rPr>
          <w:w w:val="110"/>
          <w:sz w:val="17"/>
        </w:rPr>
        <w:t> left</w:t>
      </w:r>
      <w:r>
        <w:rPr>
          <w:w w:val="110"/>
          <w:sz w:val="17"/>
        </w:rPr>
        <w:t> eyes, </w:t>
      </w:r>
      <w:r>
        <w:rPr>
          <w:sz w:val="17"/>
        </w:rPr>
        <w:t>respectively; (normal range 64–192 lV); median-112 lV] and implicit</w:t>
      </w:r>
      <w:r>
        <w:rPr>
          <w:spacing w:val="-3"/>
          <w:sz w:val="17"/>
        </w:rPr>
        <w:t> </w:t>
      </w:r>
      <w:r>
        <w:rPr>
          <w:sz w:val="17"/>
        </w:rPr>
        <w:t>times</w:t>
      </w:r>
      <w:r>
        <w:rPr>
          <w:spacing w:val="-3"/>
          <w:sz w:val="17"/>
        </w:rPr>
        <w:t> </w:t>
      </w:r>
      <w:r>
        <w:rPr>
          <w:sz w:val="17"/>
        </w:rPr>
        <w:t>[31</w:t>
      </w:r>
      <w:r>
        <w:rPr>
          <w:spacing w:val="12"/>
          <w:sz w:val="17"/>
        </w:rPr>
        <w:t> </w:t>
      </w:r>
      <w:r>
        <w:rPr>
          <w:sz w:val="17"/>
        </w:rPr>
        <w:t>ms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either</w:t>
      </w:r>
      <w:r>
        <w:rPr>
          <w:spacing w:val="-3"/>
          <w:sz w:val="17"/>
        </w:rPr>
        <w:t> </w:t>
      </w:r>
      <w:r>
        <w:rPr>
          <w:sz w:val="17"/>
        </w:rPr>
        <w:t>eye;</w:t>
      </w:r>
      <w:r>
        <w:rPr>
          <w:spacing w:val="-2"/>
          <w:sz w:val="17"/>
        </w:rPr>
        <w:t> </w:t>
      </w:r>
      <w:r>
        <w:rPr>
          <w:sz w:val="17"/>
        </w:rPr>
        <w:t>(normal</w:t>
      </w:r>
      <w:r>
        <w:rPr>
          <w:spacing w:val="-2"/>
          <w:sz w:val="17"/>
        </w:rPr>
        <w:t> </w:t>
      </w:r>
      <w:r>
        <w:rPr>
          <w:sz w:val="17"/>
        </w:rPr>
        <w:t>range:</w:t>
      </w:r>
      <w:r>
        <w:rPr>
          <w:spacing w:val="-4"/>
          <w:sz w:val="17"/>
        </w:rPr>
        <w:t> </w:t>
      </w:r>
      <w:r>
        <w:rPr>
          <w:sz w:val="17"/>
        </w:rPr>
        <w:t>27–36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ms)].</w:t>
      </w:r>
    </w:p>
    <w:p>
      <w:pPr>
        <w:spacing w:line="244" w:lineRule="auto" w:before="75"/>
        <w:ind w:left="85" w:right="83" w:firstLine="0"/>
        <w:jc w:val="both"/>
        <w:rPr>
          <w:sz w:val="17"/>
        </w:rPr>
      </w:pPr>
      <w:r>
        <w:rPr/>
        <w:br w:type="column"/>
      </w:r>
      <w:r>
        <w:rPr>
          <w:sz w:val="17"/>
        </w:rPr>
        <w:t>The LA 3.0 2 Hz showed normal a-wave amplitudes [40 </w:t>
      </w:r>
      <w:r>
        <w:rPr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spacing w:val="-2"/>
          <w:w w:val="110"/>
          <w:sz w:val="17"/>
        </w:rPr>
        <w:t>35</w:t>
      </w:r>
      <w:r>
        <w:rPr>
          <w:spacing w:val="-10"/>
          <w:w w:val="110"/>
          <w:sz w:val="17"/>
        </w:rPr>
        <w:t> </w:t>
      </w:r>
      <w:r>
        <w:rPr>
          <w:spacing w:val="-2"/>
          <w:w w:val="110"/>
          <w:sz w:val="17"/>
        </w:rPr>
        <w:t>lV</w:t>
      </w:r>
      <w:r>
        <w:rPr>
          <w:spacing w:val="-5"/>
          <w:w w:val="110"/>
          <w:sz w:val="17"/>
        </w:rPr>
        <w:t> </w:t>
      </w:r>
      <w:r>
        <w:rPr>
          <w:spacing w:val="-2"/>
          <w:w w:val="110"/>
          <w:sz w:val="17"/>
        </w:rPr>
        <w:t>in</w:t>
      </w:r>
      <w:r>
        <w:rPr>
          <w:spacing w:val="-4"/>
          <w:w w:val="110"/>
          <w:sz w:val="17"/>
        </w:rPr>
        <w:t> </w:t>
      </w:r>
      <w:r>
        <w:rPr>
          <w:spacing w:val="-2"/>
          <w:w w:val="110"/>
          <w:sz w:val="17"/>
        </w:rPr>
        <w:t>the</w:t>
      </w:r>
      <w:r>
        <w:rPr>
          <w:spacing w:val="-5"/>
          <w:w w:val="110"/>
          <w:sz w:val="17"/>
        </w:rPr>
        <w:t> </w:t>
      </w:r>
      <w:r>
        <w:rPr>
          <w:spacing w:val="-2"/>
          <w:w w:val="110"/>
          <w:sz w:val="17"/>
        </w:rPr>
        <w:t>right</w:t>
      </w:r>
      <w:r>
        <w:rPr>
          <w:spacing w:val="-4"/>
          <w:w w:val="110"/>
          <w:sz w:val="17"/>
        </w:rPr>
        <w:t> </w:t>
      </w:r>
      <w:r>
        <w:rPr>
          <w:spacing w:val="-2"/>
          <w:w w:val="110"/>
          <w:sz w:val="17"/>
        </w:rPr>
        <w:t>and</w:t>
      </w:r>
      <w:r>
        <w:rPr>
          <w:spacing w:val="-5"/>
          <w:w w:val="110"/>
          <w:sz w:val="17"/>
        </w:rPr>
        <w:t> </w:t>
      </w:r>
      <w:r>
        <w:rPr>
          <w:spacing w:val="-2"/>
          <w:w w:val="110"/>
          <w:sz w:val="17"/>
        </w:rPr>
        <w:t>left</w:t>
      </w:r>
      <w:r>
        <w:rPr>
          <w:spacing w:val="-4"/>
          <w:w w:val="110"/>
          <w:sz w:val="17"/>
        </w:rPr>
        <w:t> </w:t>
      </w:r>
      <w:r>
        <w:rPr>
          <w:spacing w:val="-2"/>
          <w:w w:val="110"/>
          <w:sz w:val="17"/>
        </w:rPr>
        <w:t>eyes,</w:t>
      </w:r>
      <w:r>
        <w:rPr>
          <w:spacing w:val="-4"/>
          <w:w w:val="110"/>
          <w:sz w:val="17"/>
        </w:rPr>
        <w:t> </w:t>
      </w:r>
      <w:r>
        <w:rPr>
          <w:spacing w:val="-2"/>
          <w:w w:val="110"/>
          <w:sz w:val="17"/>
        </w:rPr>
        <w:t>respectively;</w:t>
      </w:r>
      <w:r>
        <w:rPr>
          <w:spacing w:val="-4"/>
          <w:w w:val="110"/>
          <w:sz w:val="17"/>
        </w:rPr>
        <w:t> </w:t>
      </w:r>
      <w:r>
        <w:rPr>
          <w:spacing w:val="-2"/>
          <w:w w:val="110"/>
          <w:sz w:val="17"/>
        </w:rPr>
        <w:t>(normal</w:t>
      </w:r>
      <w:r>
        <w:rPr>
          <w:spacing w:val="-4"/>
          <w:w w:val="110"/>
          <w:sz w:val="17"/>
        </w:rPr>
        <w:t> </w:t>
      </w:r>
      <w:r>
        <w:rPr>
          <w:spacing w:val="-2"/>
          <w:w w:val="110"/>
          <w:sz w:val="17"/>
        </w:rPr>
        <w:t>range </w:t>
      </w:r>
      <w:r>
        <w:rPr>
          <w:sz w:val="17"/>
        </w:rPr>
        <w:t>19–72 lV)]; b-wave amplitudes [123 and 134 lV in the right</w:t>
      </w:r>
      <w:r>
        <w:rPr>
          <w:spacing w:val="40"/>
          <w:sz w:val="17"/>
        </w:rPr>
        <w:t> </w:t>
      </w:r>
      <w:r>
        <w:rPr>
          <w:sz w:val="17"/>
        </w:rPr>
        <w:t>and left eyes, respectively; (normal range 84–255 lV; median- 133</w:t>
      </w:r>
      <w:r>
        <w:rPr>
          <w:spacing w:val="15"/>
          <w:sz w:val="17"/>
        </w:rPr>
        <w:t> </w:t>
      </w:r>
      <w:r>
        <w:rPr>
          <w:sz w:val="17"/>
        </w:rPr>
        <w:t>lV)]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implicit</w:t>
      </w:r>
      <w:r>
        <w:rPr>
          <w:spacing w:val="-6"/>
          <w:sz w:val="17"/>
        </w:rPr>
        <w:t> </w:t>
      </w:r>
      <w:r>
        <w:rPr>
          <w:sz w:val="17"/>
        </w:rPr>
        <w:t>times</w:t>
      </w:r>
      <w:r>
        <w:rPr>
          <w:spacing w:val="-6"/>
          <w:sz w:val="17"/>
        </w:rPr>
        <w:t> </w:t>
      </w:r>
      <w:r>
        <w:rPr>
          <w:sz w:val="17"/>
        </w:rPr>
        <w:t>[34</w:t>
      </w:r>
      <w:r>
        <w:rPr>
          <w:spacing w:val="16"/>
          <w:sz w:val="17"/>
        </w:rPr>
        <w:t> </w:t>
      </w:r>
      <w:r>
        <w:rPr>
          <w:sz w:val="17"/>
        </w:rPr>
        <w:t>ms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either</w:t>
      </w:r>
      <w:r>
        <w:rPr>
          <w:spacing w:val="-6"/>
          <w:sz w:val="17"/>
        </w:rPr>
        <w:t> </w:t>
      </w:r>
      <w:r>
        <w:rPr>
          <w:sz w:val="17"/>
        </w:rPr>
        <w:t>eye;</w:t>
      </w:r>
      <w:r>
        <w:rPr>
          <w:spacing w:val="-6"/>
          <w:sz w:val="17"/>
        </w:rPr>
        <w:t> </w:t>
      </w:r>
      <w:r>
        <w:rPr>
          <w:sz w:val="17"/>
        </w:rPr>
        <w:t>(normal</w:t>
      </w:r>
      <w:r>
        <w:rPr>
          <w:spacing w:val="-5"/>
          <w:sz w:val="17"/>
        </w:rPr>
        <w:t> </w:t>
      </w:r>
      <w:r>
        <w:rPr>
          <w:sz w:val="17"/>
        </w:rPr>
        <w:t>range 32–39 ms; median-33 ms)] were normal. The cone ON–OFF </w:t>
      </w:r>
      <w:r>
        <w:rPr>
          <w:spacing w:val="-2"/>
          <w:sz w:val="17"/>
        </w:rPr>
        <w:t>ERGs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white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stimulus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white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background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(LA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ON-OFF</w:t>
      </w:r>
      <w:r>
        <w:rPr>
          <w:spacing w:val="-2"/>
          <w:sz w:val="17"/>
          <w:vertAlign w:val="superscript"/>
        </w:rPr>
        <w:t>1</w:t>
      </w:r>
      <w:r>
        <w:rPr>
          <w:spacing w:val="-2"/>
          <w:sz w:val="17"/>
          <w:vertAlign w:val="baseline"/>
        </w:rPr>
        <w:t>) </w:t>
      </w:r>
      <w:r>
        <w:rPr>
          <w:sz w:val="17"/>
          <w:vertAlign w:val="baseline"/>
        </w:rPr>
        <w:t>and an amber stimulus to a green background (LA ON-OFF</w:t>
      </w:r>
      <w:r>
        <w:rPr>
          <w:sz w:val="17"/>
          <w:vertAlign w:val="superscript"/>
        </w:rPr>
        <w:t>2</w:t>
      </w:r>
      <w:r>
        <w:rPr>
          <w:sz w:val="17"/>
          <w:vertAlign w:val="baseline"/>
        </w:rPr>
        <w:t>) were normal. c Full-field ERG from a control subject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5" w:space="327"/>
            <w:col w:w="4488"/>
          </w:cols>
        </w:sectPr>
      </w:pPr>
    </w:p>
    <w:p>
      <w:pPr>
        <w:pStyle w:val="BodyText"/>
        <w:spacing w:before="55"/>
        <w:rPr>
          <w:sz w:val="17"/>
        </w:rPr>
      </w:pPr>
    </w:p>
    <w:p>
      <w:pPr>
        <w:spacing w:before="0"/>
        <w:ind w:left="85" w:right="0" w:firstLine="0"/>
        <w:jc w:val="both"/>
        <w:rPr>
          <w:sz w:val="17"/>
        </w:rPr>
      </w:pPr>
      <w:bookmarkStart w:name="_bookmark2" w:id="15"/>
      <w:bookmarkEnd w:id="15"/>
      <w:r>
        <w:rPr/>
      </w:r>
      <w:r>
        <w:rPr>
          <w:sz w:val="17"/>
        </w:rPr>
        <w:t>Table</w:t>
      </w:r>
      <w:r>
        <w:rPr>
          <w:spacing w:val="13"/>
          <w:sz w:val="17"/>
        </w:rPr>
        <w:t> </w:t>
      </w:r>
      <w:r>
        <w:rPr>
          <w:sz w:val="17"/>
        </w:rPr>
        <w:t>1</w:t>
      </w:r>
      <w:r>
        <w:rPr>
          <w:spacing w:val="71"/>
          <w:sz w:val="17"/>
        </w:rPr>
        <w:t> </w:t>
      </w:r>
      <w:r>
        <w:rPr>
          <w:sz w:val="17"/>
        </w:rPr>
        <w:t>Phenotypic</w:t>
      </w:r>
      <w:r>
        <w:rPr>
          <w:spacing w:val="14"/>
          <w:sz w:val="17"/>
        </w:rPr>
        <w:t> </w:t>
      </w:r>
      <w:r>
        <w:rPr>
          <w:sz w:val="17"/>
        </w:rPr>
        <w:t>range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systemic</w:t>
      </w:r>
      <w:r>
        <w:rPr>
          <w:spacing w:val="14"/>
          <w:sz w:val="17"/>
        </w:rPr>
        <w:t> </w:t>
      </w:r>
      <w:r>
        <w:rPr>
          <w:sz w:val="17"/>
        </w:rPr>
        <w:t>involvement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13"/>
          <w:sz w:val="17"/>
        </w:rPr>
        <w:t> </w:t>
      </w:r>
      <w:r>
        <w:rPr>
          <w:i/>
          <w:sz w:val="17"/>
        </w:rPr>
        <w:t>POLG</w:t>
      </w:r>
      <w:r>
        <w:rPr>
          <w:sz w:val="17"/>
        </w:rPr>
        <w:t>-related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disorders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973"/>
        <w:gridCol w:w="790"/>
        <w:gridCol w:w="973"/>
        <w:gridCol w:w="1057"/>
        <w:gridCol w:w="1086"/>
        <w:gridCol w:w="832"/>
        <w:gridCol w:w="989"/>
      </w:tblGrid>
      <w:tr>
        <w:trPr>
          <w:trHeight w:val="509" w:hRule="atLeast"/>
        </w:trPr>
        <w:tc>
          <w:tcPr>
            <w:tcW w:w="2369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-1"/>
              <w:rPr>
                <w:sz w:val="17"/>
              </w:rPr>
            </w:pPr>
            <w:r>
              <w:rPr>
                <w:i/>
                <w:sz w:val="17"/>
              </w:rPr>
              <w:t>POLG</w:t>
            </w:r>
            <w:r>
              <w:rPr>
                <w:sz w:val="17"/>
              </w:rPr>
              <w:t>-related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disease</w:t>
            </w:r>
          </w:p>
        </w:tc>
        <w:tc>
          <w:tcPr>
            <w:tcW w:w="97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5"/>
              <w:rPr>
                <w:sz w:val="17"/>
              </w:rPr>
            </w:pPr>
            <w:r>
              <w:rPr>
                <w:spacing w:val="-5"/>
                <w:sz w:val="17"/>
              </w:rPr>
              <w:t>AHS</w:t>
            </w:r>
          </w:p>
        </w:tc>
        <w:tc>
          <w:tcPr>
            <w:tcW w:w="790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5"/>
              <w:rPr>
                <w:sz w:val="17"/>
              </w:rPr>
            </w:pPr>
            <w:r>
              <w:rPr>
                <w:spacing w:val="-5"/>
                <w:sz w:val="17"/>
              </w:rPr>
              <w:t>CMS</w:t>
            </w:r>
          </w:p>
        </w:tc>
        <w:tc>
          <w:tcPr>
            <w:tcW w:w="97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5"/>
              <w:rPr>
                <w:sz w:val="17"/>
              </w:rPr>
            </w:pPr>
            <w:r>
              <w:rPr>
                <w:spacing w:val="-2"/>
                <w:sz w:val="17"/>
              </w:rPr>
              <w:t>MEMSA</w:t>
            </w:r>
          </w:p>
        </w:tc>
        <w:tc>
          <w:tcPr>
            <w:tcW w:w="1057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4" w:lineRule="auto" w:before="38"/>
              <w:ind w:right="330"/>
              <w:rPr>
                <w:sz w:val="17"/>
              </w:rPr>
            </w:pPr>
            <w:r>
              <w:rPr>
                <w:spacing w:val="-2"/>
                <w:sz w:val="17"/>
              </w:rPr>
              <w:t>SANDO/ </w:t>
            </w:r>
            <w:r>
              <w:rPr>
                <w:spacing w:val="-4"/>
                <w:sz w:val="17"/>
              </w:rPr>
              <w:t>ANS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rPr>
                <w:sz w:val="17"/>
              </w:rPr>
            </w:pPr>
            <w:r>
              <w:rPr>
                <w:spacing w:val="-2"/>
                <w:sz w:val="17"/>
              </w:rPr>
              <w:t>ARPEO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rPr>
                <w:sz w:val="17"/>
              </w:rPr>
            </w:pPr>
            <w:r>
              <w:rPr>
                <w:spacing w:val="-2"/>
                <w:sz w:val="17"/>
              </w:rPr>
              <w:t>ADPEO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7"/>
              <w:rPr>
                <w:sz w:val="17"/>
              </w:rPr>
            </w:pPr>
            <w:r>
              <w:rPr>
                <w:spacing w:val="-2"/>
                <w:sz w:val="17"/>
              </w:rPr>
              <w:t>Proband</w:t>
            </w:r>
          </w:p>
        </w:tc>
      </w:tr>
      <w:tr>
        <w:trPr>
          <w:trHeight w:val="314" w:hRule="atLeast"/>
        </w:trPr>
        <w:tc>
          <w:tcPr>
            <w:tcW w:w="236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Seizures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(16)</w:t>
            </w:r>
          </w:p>
        </w:tc>
        <w:tc>
          <w:tcPr>
            <w:tcW w:w="7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11 </w:t>
            </w:r>
            <w:r>
              <w:rPr>
                <w:w w:val="110"/>
                <w:sz w:val="17"/>
              </w:rPr>
              <w:t>(7,</w:t>
            </w:r>
            <w:r>
              <w:rPr>
                <w:spacing w:val="15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26)</w:t>
            </w:r>
          </w:p>
        </w:tc>
        <w:tc>
          <w:tcPr>
            <w:tcW w:w="10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-4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(27,</w:t>
            </w:r>
            <w:r>
              <w:rPr>
                <w:spacing w:val="10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29)</w:t>
            </w:r>
          </w:p>
        </w:tc>
        <w:tc>
          <w:tcPr>
            <w:tcW w:w="10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ind w:left="88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(28)</w:t>
            </w:r>
          </w:p>
        </w:tc>
        <w:tc>
          <w:tcPr>
            <w:tcW w:w="9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5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6" w:hRule="atLeast"/>
        </w:trPr>
        <w:tc>
          <w:tcPr>
            <w:tcW w:w="2369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Headaches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13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(17,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30)</w:t>
            </w:r>
          </w:p>
        </w:tc>
        <w:tc>
          <w:tcPr>
            <w:tcW w:w="79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(27)</w:t>
            </w:r>
          </w:p>
        </w:tc>
        <w:tc>
          <w:tcPr>
            <w:tcW w:w="1086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7"/>
                <w:w w:val="145"/>
                <w:sz w:val="17"/>
              </w:rPr>
              <w:t> </w:t>
            </w:r>
            <w:r>
              <w:rPr>
                <w:spacing w:val="-5"/>
                <w:w w:val="120"/>
                <w:sz w:val="17"/>
              </w:rPr>
              <w:t>(6)</w:t>
            </w:r>
          </w:p>
        </w:tc>
        <w:tc>
          <w:tcPr>
            <w:tcW w:w="989" w:type="dxa"/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Stroke/stroke-like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episodes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(43)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Movement</w:t>
            </w:r>
            <w:r>
              <w:rPr>
                <w:spacing w:val="5"/>
                <w:sz w:val="17"/>
              </w:rPr>
              <w:t> </w:t>
            </w:r>
            <w:r>
              <w:rPr>
                <w:spacing w:val="-2"/>
                <w:sz w:val="17"/>
              </w:rPr>
              <w:t>disorders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(43)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13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(10,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31)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Parkinsonism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(9)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453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Neuropathy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ataxia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(7)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5"/>
                <w:w w:val="120"/>
                <w:sz w:val="17"/>
              </w:rPr>
              <w:t>(7)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-4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(27,</w:t>
            </w:r>
            <w:r>
              <w:rPr>
                <w:spacing w:val="10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29)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spacing w:line="244" w:lineRule="auto"/>
              <w:ind w:left="207" w:right="-15" w:hanging="120"/>
              <w:rPr>
                <w:sz w:val="17"/>
              </w:rPr>
            </w:pP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be </w:t>
            </w:r>
            <w:r>
              <w:rPr>
                <w:spacing w:val="-2"/>
                <w:sz w:val="17"/>
              </w:rPr>
              <w:t>assessed</w:t>
            </w:r>
          </w:p>
        </w:tc>
      </w:tr>
      <w:tr>
        <w:trPr>
          <w:trHeight w:val="256" w:hRule="atLeast"/>
        </w:trPr>
        <w:tc>
          <w:tcPr>
            <w:tcW w:w="2369" w:type="dxa"/>
          </w:tcPr>
          <w:p>
            <w:pPr>
              <w:pStyle w:val="TableParagraph"/>
              <w:spacing w:before="17"/>
              <w:ind w:left="1"/>
              <w:rPr>
                <w:sz w:val="17"/>
              </w:rPr>
            </w:pPr>
            <w:r>
              <w:rPr>
                <w:sz w:val="17"/>
              </w:rPr>
              <w:t>Areflexia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hypotonia</w:t>
            </w:r>
          </w:p>
        </w:tc>
        <w:tc>
          <w:tcPr>
            <w:tcW w:w="973" w:type="dxa"/>
          </w:tcPr>
          <w:p>
            <w:pPr>
              <w:pStyle w:val="TableParagraph"/>
              <w:spacing w:before="1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(7)</w:t>
            </w:r>
          </w:p>
        </w:tc>
        <w:tc>
          <w:tcPr>
            <w:tcW w:w="790" w:type="dxa"/>
          </w:tcPr>
          <w:p>
            <w:pPr>
              <w:pStyle w:val="TableParagraph"/>
              <w:spacing w:before="17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6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(31)</w:t>
            </w:r>
          </w:p>
        </w:tc>
        <w:tc>
          <w:tcPr>
            <w:tcW w:w="973" w:type="dxa"/>
          </w:tcPr>
          <w:p>
            <w:pPr>
              <w:pStyle w:val="TableParagraph"/>
              <w:spacing w:before="17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spacing w:before="1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(27)</w:t>
            </w:r>
          </w:p>
        </w:tc>
        <w:tc>
          <w:tcPr>
            <w:tcW w:w="1086" w:type="dxa"/>
          </w:tcPr>
          <w:p>
            <w:pPr>
              <w:pStyle w:val="TableParagraph"/>
              <w:spacing w:before="17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7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spacing w:before="17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Episodic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psychomotor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regression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8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(7,</w:t>
            </w:r>
            <w:r>
              <w:rPr>
                <w:spacing w:val="8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14)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Loss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cognitive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function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(7)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(10)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Cortical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visual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13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(17,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43)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(31)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4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Liver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involvement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11 </w:t>
            </w:r>
            <w:r>
              <w:rPr>
                <w:w w:val="110"/>
                <w:sz w:val="17"/>
              </w:rPr>
              <w:t>(7,</w:t>
            </w:r>
            <w:r>
              <w:rPr>
                <w:spacing w:val="15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14)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6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(31)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4" w:hRule="atLeast"/>
        </w:trPr>
        <w:tc>
          <w:tcPr>
            <w:tcW w:w="2369" w:type="dxa"/>
          </w:tcPr>
          <w:p>
            <w:pPr>
              <w:pStyle w:val="TableParagraph"/>
              <w:spacing w:before="14"/>
              <w:ind w:left="1"/>
              <w:rPr>
                <w:sz w:val="17"/>
              </w:rPr>
            </w:pPr>
            <w:r>
              <w:rPr>
                <w:sz w:val="17"/>
              </w:rPr>
              <w:t>Developmental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delay</w:t>
            </w:r>
          </w:p>
        </w:tc>
        <w:tc>
          <w:tcPr>
            <w:tcW w:w="973" w:type="dxa"/>
          </w:tcPr>
          <w:p>
            <w:pPr>
              <w:pStyle w:val="TableParagraph"/>
              <w:spacing w:before="14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(15)</w:t>
            </w:r>
          </w:p>
        </w:tc>
        <w:tc>
          <w:tcPr>
            <w:tcW w:w="790" w:type="dxa"/>
          </w:tcPr>
          <w:p>
            <w:pPr>
              <w:pStyle w:val="TableParagraph"/>
              <w:spacing w:before="14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6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spacing w:before="14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spacing w:before="14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(31)</w:t>
            </w:r>
          </w:p>
        </w:tc>
        <w:tc>
          <w:tcPr>
            <w:tcW w:w="1086" w:type="dxa"/>
          </w:tcPr>
          <w:p>
            <w:pPr>
              <w:pStyle w:val="TableParagraph"/>
              <w:spacing w:before="14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4"/>
              <w:ind w:left="88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spacing w:before="14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4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Lactic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acidosis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(14)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(10)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pacing w:val="-10"/>
                <w:sz w:val="17"/>
              </w:rPr>
              <w:t>-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6" w:hRule="atLeast"/>
        </w:trPr>
        <w:tc>
          <w:tcPr>
            <w:tcW w:w="2369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Myopathy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5"/>
                <w:w w:val="120"/>
                <w:sz w:val="17"/>
              </w:rPr>
              <w:t>(7)</w:t>
            </w:r>
          </w:p>
        </w:tc>
        <w:tc>
          <w:tcPr>
            <w:tcW w:w="105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(29)</w:t>
            </w:r>
          </w:p>
        </w:tc>
        <w:tc>
          <w:tcPr>
            <w:tcW w:w="1086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35"/>
                <w:sz w:val="17"/>
              </w:rPr>
              <w:t>1</w:t>
            </w:r>
            <w:r>
              <w:rPr>
                <w:spacing w:val="-1"/>
                <w:w w:val="135"/>
                <w:sz w:val="17"/>
              </w:rPr>
              <w:t> </w:t>
            </w:r>
            <w:r>
              <w:rPr>
                <w:w w:val="110"/>
                <w:sz w:val="17"/>
              </w:rPr>
              <w:t>(6,</w:t>
            </w:r>
            <w:r>
              <w:rPr>
                <w:spacing w:val="12"/>
                <w:w w:val="110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Pancreatitis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(15)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4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Renal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tubular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2"/>
                <w:sz w:val="17"/>
              </w:rPr>
              <w:t>acidosis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6" w:hRule="atLeast"/>
        </w:trPr>
        <w:tc>
          <w:tcPr>
            <w:tcW w:w="2369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Vomiting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(31)</w:t>
            </w:r>
          </w:p>
        </w:tc>
        <w:tc>
          <w:tcPr>
            <w:tcW w:w="79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89" w:type="dxa"/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4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Hearing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(25)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13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(29,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31)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Ophthalmoplegia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(14)</w:t>
            </w:r>
          </w:p>
        </w:tc>
        <w:tc>
          <w:tcPr>
            <w:tcW w:w="79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210"/>
                <w:sz w:val="17"/>
              </w:rPr>
              <w:t>-</w:t>
            </w:r>
            <w:r>
              <w:rPr>
                <w:spacing w:val="-21"/>
                <w:w w:val="210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(7)</w:t>
            </w:r>
          </w:p>
        </w:tc>
        <w:tc>
          <w:tcPr>
            <w:tcW w:w="105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(27)</w:t>
            </w:r>
          </w:p>
        </w:tc>
        <w:tc>
          <w:tcPr>
            <w:tcW w:w="1086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7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(32)</w:t>
            </w:r>
          </w:p>
        </w:tc>
        <w:tc>
          <w:tcPr>
            <w:tcW w:w="989" w:type="dxa"/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6" w:hRule="atLeast"/>
        </w:trPr>
        <w:tc>
          <w:tcPr>
            <w:tcW w:w="2369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Ptosis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?</w:t>
            </w:r>
            <w:r>
              <w:rPr>
                <w:spacing w:val="17"/>
                <w:w w:val="14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(11)</w:t>
            </w:r>
          </w:p>
        </w:tc>
        <w:tc>
          <w:tcPr>
            <w:tcW w:w="989" w:type="dxa"/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Strabismus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2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(11)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(27)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Hypogonadism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5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Cataracts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205"/>
                <w:sz w:val="17"/>
              </w:rPr>
              <w:t>-</w:t>
            </w:r>
            <w:r>
              <w:rPr>
                <w:spacing w:val="-15"/>
                <w:w w:val="20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(11–13)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-9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(9,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spacing w:val="-5"/>
                <w:w w:val="110"/>
                <w:sz w:val="17"/>
              </w:rPr>
              <w:t>32)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54" w:hRule="atLeast"/>
        </w:trPr>
        <w:tc>
          <w:tcPr>
            <w:tcW w:w="236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Cardiomyopathy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(14)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(10)</w:t>
            </w:r>
          </w:p>
        </w:tc>
        <w:tc>
          <w:tcPr>
            <w:tcW w:w="1086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35"/>
                <w:sz w:val="17"/>
              </w:rPr>
              <w:t>1</w:t>
            </w:r>
            <w:r>
              <w:rPr>
                <w:spacing w:val="-1"/>
                <w:w w:val="135"/>
                <w:sz w:val="17"/>
              </w:rPr>
              <w:t> </w:t>
            </w:r>
            <w:r>
              <w:rPr>
                <w:w w:val="110"/>
                <w:sz w:val="17"/>
              </w:rPr>
              <w:t>(6,</w:t>
            </w:r>
            <w:r>
              <w:rPr>
                <w:spacing w:val="12"/>
                <w:w w:val="110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11–13)</w:t>
            </w:r>
          </w:p>
        </w:tc>
        <w:tc>
          <w:tcPr>
            <w:tcW w:w="832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(7)</w:t>
            </w:r>
          </w:p>
        </w:tc>
        <w:tc>
          <w:tcPr>
            <w:tcW w:w="989" w:type="dxa"/>
          </w:tcPr>
          <w:p>
            <w:pPr>
              <w:pStyle w:val="TableParagraph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94" w:hRule="atLeast"/>
        </w:trPr>
        <w:tc>
          <w:tcPr>
            <w:tcW w:w="2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z w:val="17"/>
              </w:rPr>
              <w:t>Gastrointestinal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dysmotility</w:t>
            </w:r>
          </w:p>
        </w:tc>
        <w:tc>
          <w:tcPr>
            <w:tcW w:w="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8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(14)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11</w:t>
            </w:r>
            <w:r>
              <w:rPr>
                <w:spacing w:val="26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(31)</w:t>
            </w:r>
          </w:p>
        </w:tc>
        <w:tc>
          <w:tcPr>
            <w:tcW w:w="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spacing w:val="-10"/>
                <w:sz w:val="17"/>
              </w:rPr>
              <w:t>–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(10)</w:t>
            </w:r>
          </w:p>
        </w:tc>
        <w:tc>
          <w:tcPr>
            <w:tcW w:w="10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7"/>
              <w:rPr>
                <w:sz w:val="17"/>
              </w:rPr>
            </w:pPr>
            <w:r>
              <w:rPr>
                <w:w w:val="135"/>
                <w:sz w:val="17"/>
              </w:rPr>
              <w:t>1</w:t>
            </w:r>
            <w:r>
              <w:rPr>
                <w:spacing w:val="-1"/>
                <w:w w:val="135"/>
                <w:sz w:val="17"/>
              </w:rPr>
              <w:t> </w:t>
            </w:r>
            <w:r>
              <w:rPr>
                <w:w w:val="110"/>
                <w:sz w:val="17"/>
              </w:rPr>
              <w:t>(6,</w:t>
            </w:r>
            <w:r>
              <w:rPr>
                <w:spacing w:val="12"/>
                <w:w w:val="110"/>
                <w:sz w:val="17"/>
              </w:rPr>
              <w:t> </w:t>
            </w:r>
            <w:r>
              <w:rPr>
                <w:spacing w:val="-2"/>
                <w:w w:val="110"/>
                <w:sz w:val="17"/>
              </w:rPr>
              <w:t>11–13)</w:t>
            </w:r>
          </w:p>
        </w:tc>
        <w:tc>
          <w:tcPr>
            <w:tcW w:w="8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w w:val="145"/>
                <w:sz w:val="17"/>
              </w:rPr>
              <w:t>1</w:t>
            </w:r>
            <w:r>
              <w:rPr>
                <w:spacing w:val="10"/>
                <w:w w:val="14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(7)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8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Present</w:t>
            </w:r>
          </w:p>
        </w:tc>
      </w:tr>
    </w:tbl>
    <w:p>
      <w:pPr>
        <w:spacing w:line="244" w:lineRule="auto" w:before="38"/>
        <w:ind w:left="85" w:right="83" w:firstLine="0"/>
        <w:jc w:val="both"/>
        <w:rPr>
          <w:sz w:val="17"/>
        </w:rPr>
      </w:pP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referenced</w:t>
      </w:r>
      <w:r>
        <w:rPr>
          <w:spacing w:val="-1"/>
          <w:sz w:val="17"/>
        </w:rPr>
        <w:t> </w:t>
      </w:r>
      <w:r>
        <w:rPr>
          <w:sz w:val="17"/>
        </w:rPr>
        <w:t>‘‘1’’</w:t>
      </w:r>
      <w:r>
        <w:rPr>
          <w:spacing w:val="-2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w w:val="115"/>
          <w:sz w:val="17"/>
        </w:rPr>
        <w:t>‘‘-</w:t>
      </w:r>
      <w:r>
        <w:rPr>
          <w:sz w:val="17"/>
        </w:rPr>
        <w:t>’’</w:t>
      </w:r>
      <w:r>
        <w:rPr>
          <w:spacing w:val="-1"/>
          <w:sz w:val="17"/>
        </w:rPr>
        <w:t> </w:t>
      </w:r>
      <w:r>
        <w:rPr>
          <w:sz w:val="17"/>
        </w:rPr>
        <w:t>symbol</w:t>
      </w:r>
      <w:r>
        <w:rPr>
          <w:spacing w:val="-2"/>
          <w:sz w:val="17"/>
        </w:rPr>
        <w:t> </w:t>
      </w:r>
      <w:r>
        <w:rPr>
          <w:sz w:val="17"/>
        </w:rPr>
        <w:t>indicates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literary source</w:t>
      </w:r>
      <w:r>
        <w:rPr>
          <w:spacing w:val="-1"/>
          <w:sz w:val="17"/>
        </w:rPr>
        <w:t> </w:t>
      </w:r>
      <w:r>
        <w:rPr>
          <w:sz w:val="17"/>
        </w:rPr>
        <w:t>reporting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presence</w:t>
      </w:r>
      <w:r>
        <w:rPr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absence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sign</w:t>
      </w:r>
      <w:r>
        <w:rPr>
          <w:spacing w:val="-2"/>
          <w:sz w:val="17"/>
        </w:rPr>
        <w:t> </w:t>
      </w:r>
      <w:r>
        <w:rPr>
          <w:sz w:val="17"/>
        </w:rPr>
        <w:t>as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key</w:t>
      </w:r>
      <w:r>
        <w:rPr>
          <w:spacing w:val="-1"/>
          <w:sz w:val="17"/>
        </w:rPr>
        <w:t> </w:t>
      </w:r>
      <w:r>
        <w:rPr>
          <w:sz w:val="17"/>
        </w:rPr>
        <w:t>feature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disorder and</w:t>
      </w:r>
      <w:r>
        <w:rPr>
          <w:spacing w:val="5"/>
          <w:sz w:val="17"/>
        </w:rPr>
        <w:t> </w:t>
      </w:r>
      <w:r>
        <w:rPr>
          <w:sz w:val="17"/>
        </w:rPr>
        <w:t>‘‘11’’</w:t>
      </w:r>
      <w:r>
        <w:rPr>
          <w:spacing w:val="5"/>
          <w:sz w:val="17"/>
        </w:rPr>
        <w:t> </w:t>
      </w:r>
      <w:r>
        <w:rPr>
          <w:sz w:val="17"/>
        </w:rPr>
        <w:t>represents</w:t>
      </w:r>
      <w:r>
        <w:rPr>
          <w:spacing w:val="6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hallmark</w:t>
      </w:r>
      <w:r>
        <w:rPr>
          <w:spacing w:val="6"/>
          <w:sz w:val="17"/>
        </w:rPr>
        <w:t> </w:t>
      </w:r>
      <w:r>
        <w:rPr>
          <w:sz w:val="17"/>
        </w:rPr>
        <w:t>feature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syndrome,</w:t>
      </w:r>
      <w:r>
        <w:rPr>
          <w:spacing w:val="5"/>
          <w:sz w:val="17"/>
        </w:rPr>
        <w:t> </w:t>
      </w:r>
      <w:r>
        <w:rPr>
          <w:sz w:val="17"/>
        </w:rPr>
        <w:t>whereas</w:t>
      </w:r>
      <w:r>
        <w:rPr>
          <w:spacing w:val="5"/>
          <w:sz w:val="17"/>
        </w:rPr>
        <w:t> </w:t>
      </w:r>
      <w:r>
        <w:rPr>
          <w:sz w:val="17"/>
        </w:rPr>
        <w:t>an</w:t>
      </w:r>
      <w:r>
        <w:rPr>
          <w:spacing w:val="5"/>
          <w:sz w:val="17"/>
        </w:rPr>
        <w:t> </w:t>
      </w:r>
      <w:r>
        <w:rPr>
          <w:sz w:val="17"/>
        </w:rPr>
        <w:t>unreferenced</w:t>
      </w:r>
      <w:r>
        <w:rPr>
          <w:spacing w:val="6"/>
          <w:sz w:val="17"/>
        </w:rPr>
        <w:t> </w:t>
      </w:r>
      <w:r>
        <w:rPr>
          <w:sz w:val="17"/>
        </w:rPr>
        <w:t>‘‘–’’</w:t>
      </w:r>
      <w:r>
        <w:rPr>
          <w:spacing w:val="5"/>
          <w:sz w:val="17"/>
        </w:rPr>
        <w:t> </w:t>
      </w:r>
      <w:r>
        <w:rPr>
          <w:sz w:val="17"/>
        </w:rPr>
        <w:t>symbol</w:t>
      </w:r>
      <w:r>
        <w:rPr>
          <w:spacing w:val="5"/>
          <w:sz w:val="17"/>
        </w:rPr>
        <w:t> </w:t>
      </w:r>
      <w:r>
        <w:rPr>
          <w:sz w:val="17"/>
        </w:rPr>
        <w:t>indicates</w:t>
      </w:r>
      <w:r>
        <w:rPr>
          <w:spacing w:val="7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lack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reported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evidence</w:t>
      </w:r>
    </w:p>
    <w:p>
      <w:pPr>
        <w:spacing w:line="244" w:lineRule="auto" w:before="59"/>
        <w:ind w:left="85" w:right="83" w:firstLine="0"/>
        <w:jc w:val="both"/>
        <w:rPr>
          <w:sz w:val="17"/>
        </w:rPr>
      </w:pPr>
      <w:r>
        <w:rPr>
          <w:i/>
          <w:sz w:val="17"/>
        </w:rPr>
        <w:t>AHS </w:t>
      </w:r>
      <w:r>
        <w:rPr>
          <w:sz w:val="17"/>
        </w:rPr>
        <w:t>Alpers–Huttenlocher syndrome, </w:t>
      </w:r>
      <w:r>
        <w:rPr>
          <w:i/>
          <w:sz w:val="17"/>
        </w:rPr>
        <w:t>CMS </w:t>
      </w:r>
      <w:r>
        <w:rPr>
          <w:sz w:val="17"/>
        </w:rPr>
        <w:t>childhood myocerebrohepatopathy spectrum, </w:t>
      </w:r>
      <w:r>
        <w:rPr>
          <w:i/>
          <w:sz w:val="17"/>
        </w:rPr>
        <w:t>MEMSA </w:t>
      </w:r>
      <w:r>
        <w:rPr>
          <w:sz w:val="17"/>
        </w:rPr>
        <w:t>myoclonic epilepsy </w:t>
      </w:r>
      <w:r>
        <w:rPr>
          <w:sz w:val="17"/>
        </w:rPr>
        <w:t>myopathy sensory ataxia, </w:t>
      </w:r>
      <w:r>
        <w:rPr>
          <w:i/>
          <w:sz w:val="17"/>
        </w:rPr>
        <w:t>SANDO/ANS </w:t>
      </w:r>
      <w:r>
        <w:rPr>
          <w:sz w:val="17"/>
        </w:rPr>
        <w:t>sensory ataxic neuropathy, dysarthria and ophthalmoparesis/ataxia neuropathy spectrum, </w:t>
      </w:r>
      <w:r>
        <w:rPr>
          <w:i/>
          <w:sz w:val="17"/>
        </w:rPr>
        <w:t>ARPEO </w:t>
      </w:r>
      <w:r>
        <w:rPr>
          <w:sz w:val="17"/>
        </w:rPr>
        <w:t>autosomal recessive progressive external ophthalmoplegia, </w:t>
      </w:r>
      <w:r>
        <w:rPr>
          <w:i/>
          <w:sz w:val="17"/>
        </w:rPr>
        <w:t>ADPEO </w:t>
      </w:r>
      <w:r>
        <w:rPr>
          <w:sz w:val="17"/>
        </w:rPr>
        <w:t>autosomal dominant progressive external ophthalmoplegia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10950" w:h="14750"/>
          <w:pgMar w:header="668" w:footer="916" w:top="920" w:bottom="1100" w:left="850" w:right="850"/>
        </w:sectPr>
      </w:pPr>
    </w:p>
    <w:p>
      <w:pPr>
        <w:pStyle w:val="BodyText"/>
        <w:spacing w:line="259" w:lineRule="auto" w:before="69"/>
        <w:ind w:left="85" w:right="38"/>
        <w:jc w:val="both"/>
      </w:pPr>
      <w:r>
        <w:rPr/>
        <w:t>fairly common and overlapping feature in </w:t>
      </w:r>
      <w:r>
        <w:rPr/>
        <w:t>most </w:t>
      </w:r>
      <w:r>
        <w:rPr>
          <w:i/>
        </w:rPr>
        <w:t>POLG</w:t>
      </w:r>
      <w:r>
        <w:rPr/>
        <w:t>-related</w:t>
      </w:r>
      <w:r>
        <w:rPr>
          <w:spacing w:val="-13"/>
        </w:rPr>
        <w:t> </w:t>
      </w:r>
      <w:r>
        <w:rPr/>
        <w:t>disorders</w:t>
      </w:r>
      <w:r>
        <w:rPr>
          <w:spacing w:val="-12"/>
        </w:rPr>
        <w:t> </w:t>
      </w:r>
      <w:r>
        <w:rPr/>
        <w:t>(Table</w:t>
      </w:r>
      <w:r>
        <w:rPr>
          <w:spacing w:val="-1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</w:t>
      </w:r>
      <w:r>
        <w:rPr>
          <w:spacing w:val="-12"/>
        </w:rPr>
        <w:t> </w:t>
      </w:r>
      <w:r>
        <w:rPr/>
        <w:t>often describes treatment-resistant seizures as a symptom that</w:t>
      </w:r>
      <w:r>
        <w:rPr>
          <w:spacing w:val="-7"/>
        </w:rPr>
        <w:t> </w:t>
      </w:r>
      <w:r>
        <w:rPr/>
        <w:t>develops</w:t>
      </w:r>
      <w:r>
        <w:rPr>
          <w:spacing w:val="-6"/>
        </w:rPr>
        <w:t> </w:t>
      </w:r>
      <w:r>
        <w:rPr/>
        <w:t>later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disease</w:t>
      </w:r>
      <w:r>
        <w:rPr>
          <w:spacing w:val="-6"/>
        </w:rPr>
        <w:t> </w:t>
      </w:r>
      <w:r>
        <w:rPr/>
        <w:t>progression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25</w:t>
        </w:r>
      </w:hyperlink>
      <w:r>
        <w:rPr/>
        <w:t>–</w:t>
      </w:r>
      <w:hyperlink w:history="true" w:anchor="_bookmark27">
        <w:r>
          <w:rPr>
            <w:color w:val="0000FF"/>
          </w:rPr>
          <w:t>29</w:t>
        </w:r>
      </w:hyperlink>
      <w:r>
        <w:rPr/>
        <w:t>]; however, Tzoulis et al. reported epilepsy as the presenting complaint in half of their </w:t>
      </w:r>
      <w:r>
        <w:rPr>
          <w:i/>
        </w:rPr>
        <w:t>POLG </w:t>
      </w:r>
      <w:r>
        <w:rPr/>
        <w:t>cohort [</w:t>
      </w:r>
      <w:hyperlink w:history="true" w:anchor="_bookmark29">
        <w:r>
          <w:rPr>
            <w:color w:val="0000FF"/>
          </w:rPr>
          <w:t>30</w:t>
        </w:r>
      </w:hyperlink>
      <w:r>
        <w:rPr/>
        <w:t>]. In SANDO, the prevalence of seizure was observed in 29% of cases at presentation [</w:t>
      </w:r>
      <w:hyperlink w:history="true" w:anchor="_bookmark21">
        <w:r>
          <w:rPr>
            <w:color w:val="0000FF"/>
          </w:rPr>
          <w:t>24</w:t>
        </w:r>
      </w:hyperlink>
      <w:r>
        <w:rPr/>
        <w:t>]. In the present report, the proband developed seizures at the age of two, rather early in the course of the disease, 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remission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treatment.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proband also</w:t>
      </w:r>
      <w:r>
        <w:rPr>
          <w:spacing w:val="-11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sporadic</w:t>
      </w:r>
      <w:r>
        <w:rPr>
          <w:spacing w:val="-11"/>
        </w:rPr>
        <w:t> </w:t>
      </w:r>
      <w:r>
        <w:rPr/>
        <w:t>headaches,</w:t>
      </w:r>
      <w:r>
        <w:rPr>
          <w:spacing w:val="-11"/>
        </w:rPr>
        <w:t> </w:t>
      </w:r>
      <w:r>
        <w:rPr/>
        <w:t>beginning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5"/>
        </w:rPr>
        <w:t>age</w:t>
      </w:r>
    </w:p>
    <w:p>
      <w:pPr>
        <w:pStyle w:val="BodyText"/>
        <w:spacing w:line="259" w:lineRule="auto" w:before="69"/>
        <w:ind w:left="85" w:right="83"/>
        <w:jc w:val="both"/>
      </w:pPr>
      <w:r>
        <w:rPr/>
        <w:br w:type="column"/>
      </w:r>
      <w:r>
        <w:rPr/>
        <w:t>of</w:t>
      </w:r>
      <w:r>
        <w:rPr>
          <w:spacing w:val="-3"/>
        </w:rPr>
        <w:t> </w:t>
      </w:r>
      <w:r>
        <w:rPr/>
        <w:t>four,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Tzoulis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2"/>
        </w:rPr>
        <w:t> </w:t>
      </w:r>
      <w:r>
        <w:rPr/>
        <w:t>documented</w:t>
      </w:r>
      <w:r>
        <w:rPr>
          <w:spacing w:val="-2"/>
        </w:rPr>
        <w:t> </w:t>
      </w:r>
      <w:r>
        <w:rPr/>
        <w:t>headaches</w:t>
      </w:r>
      <w:r>
        <w:rPr>
          <w:spacing w:val="-1"/>
        </w:rPr>
        <w:t> </w:t>
      </w:r>
      <w:r>
        <w:rPr/>
        <w:t>as the presenting complaint in over 25% of cases </w:t>
      </w:r>
      <w:r>
        <w:rPr/>
        <w:t>[</w:t>
      </w:r>
      <w:hyperlink w:history="true" w:anchor="_bookmark29">
        <w:r>
          <w:rPr>
            <w:color w:val="0000FF"/>
          </w:rPr>
          <w:t>30</w:t>
        </w:r>
      </w:hyperlink>
      <w:r>
        <w:rPr/>
        <w:t>]. Specifically in ANS, headaches have been docu- mented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precede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years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]. 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four,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proband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hypotonia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all four</w:t>
      </w:r>
      <w:r>
        <w:rPr>
          <w:spacing w:val="-1"/>
        </w:rPr>
        <w:t> </w:t>
      </w:r>
      <w:r>
        <w:rPr/>
        <w:t>extremities, and</w:t>
      </w:r>
      <w:r>
        <w:rPr>
          <w:spacing w:val="-2"/>
        </w:rPr>
        <w:t> </w:t>
      </w:r>
      <w:r>
        <w:rPr/>
        <w:t>the examiner’s</w:t>
      </w:r>
      <w:r>
        <w:rPr>
          <w:spacing w:val="-2"/>
        </w:rPr>
        <w:t> </w:t>
      </w:r>
      <w:r>
        <w:rPr/>
        <w:t>reports</w:t>
      </w:r>
      <w:r>
        <w:rPr>
          <w:spacing w:val="-1"/>
        </w:rPr>
        <w:t> </w:t>
      </w:r>
      <w:r>
        <w:rPr/>
        <w:t>indicated difficulty eliciting tendon reflexes throughout the child’s life. Patients with AHS and CMS also have reported hypotonia and areflexia, often presenting in the first 2 or 3 years of life, while these symptoms have</w:t>
      </w:r>
      <w:r>
        <w:rPr>
          <w:spacing w:val="-13"/>
        </w:rPr>
        <w:t> </w:t>
      </w:r>
      <w:r>
        <w:rPr/>
        <w:t>yet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SANDO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ANS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r>
        <w:rPr>
          <w:spacing w:val="-12"/>
        </w:rPr>
        <w:t> </w:t>
      </w:r>
      <w:hyperlink w:history="true" w:anchor="_bookmark30">
        <w:r>
          <w:rPr>
            <w:color w:val="0000FF"/>
          </w:rPr>
          <w:t>31</w:t>
        </w:r>
      </w:hyperlink>
      <w:r>
        <w:rPr/>
        <w:t>].</w:t>
      </w:r>
      <w:r>
        <w:rPr>
          <w:spacing w:val="-13"/>
        </w:rPr>
        <w:t> </w:t>
      </w:r>
      <w:r>
        <w:rPr/>
        <w:t>The proband</w:t>
      </w:r>
      <w:r>
        <w:rPr>
          <w:spacing w:val="-11"/>
        </w:rPr>
        <w:t> </w:t>
      </w:r>
      <w:r>
        <w:rPr/>
        <w:t>suffered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vomiting,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>
          <w:spacing w:val="-4"/>
        </w:rPr>
        <w:t>been</w:t>
      </w:r>
    </w:p>
    <w:p>
      <w:pPr>
        <w:pStyle w:val="BodyText"/>
        <w:spacing w:after="0" w:line="259" w:lineRule="auto"/>
        <w:jc w:val="both"/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4" w:space="328"/>
            <w:col w:w="4488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0950" w:h="14750"/>
          <w:pgMar w:header="668" w:footer="916" w:top="920" w:bottom="1100" w:left="850" w:right="850"/>
        </w:sectPr>
      </w:pPr>
    </w:p>
    <w:p>
      <w:pPr>
        <w:pStyle w:val="BodyText"/>
        <w:spacing w:line="259" w:lineRule="auto" w:before="68"/>
        <w:ind w:left="85" w:right="38"/>
        <w:jc w:val="right"/>
      </w:pPr>
      <w:r>
        <w:rPr/>
        <w:t>similarly described in patients</w:t>
      </w:r>
      <w:r>
        <w:rPr>
          <w:spacing w:val="21"/>
        </w:rPr>
        <w:t> </w:t>
      </w:r>
      <w:r>
        <w:rPr/>
        <w:t>with AHS and </w:t>
      </w:r>
      <w:r>
        <w:rPr/>
        <w:t>CMS; dysphagia is noted on presentation in 24% of molec- ularly confirmed cases of SANDO/ANS [</w:t>
      </w:r>
      <w:hyperlink w:history="true" w:anchor="_bookmark21">
        <w:r>
          <w:rPr>
            <w:color w:val="0000FF"/>
          </w:rPr>
          <w:t>24</w:t>
        </w:r>
      </w:hyperlink>
      <w:r>
        <w:rPr/>
        <w:t>, </w:t>
      </w:r>
      <w:hyperlink w:history="true" w:anchor="_bookmark23">
        <w:r>
          <w:rPr>
            <w:color w:val="0000FF"/>
          </w:rPr>
          <w:t>25</w:t>
        </w:r>
      </w:hyperlink>
      <w:r>
        <w:rPr/>
        <w:t>, </w:t>
      </w:r>
      <w:hyperlink w:history="true" w:anchor="_bookmark30">
        <w:r>
          <w:rPr>
            <w:color w:val="0000FF"/>
          </w:rPr>
          <w:t>31</w:t>
        </w:r>
      </w:hyperlink>
      <w:r>
        <w:rPr/>
        <w:t>]. Myopathy is a fairly ubiquitous symptom of </w:t>
      </w:r>
      <w:r>
        <w:rPr>
          <w:i/>
        </w:rPr>
        <w:t>POLG</w:t>
      </w:r>
      <w:r>
        <w:rPr/>
        <w:t>- related</w:t>
      </w:r>
      <w:r>
        <w:rPr>
          <w:spacing w:val="-9"/>
        </w:rPr>
        <w:t> </w:t>
      </w:r>
      <w:r>
        <w:rPr/>
        <w:t>disorders,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onset</w:t>
      </w:r>
      <w:r>
        <w:rPr>
          <w:spacing w:val="-9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anywhere from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60 years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age,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variability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its severity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pace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progression</w:t>
      </w:r>
      <w:r>
        <w:rPr>
          <w:spacing w:val="8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25</w:t>
        </w:r>
      </w:hyperlink>
      <w:r>
        <w:rPr/>
        <w:t>].</w:t>
      </w:r>
      <w:r>
        <w:rPr>
          <w:spacing w:val="80"/>
        </w:rPr>
        <w:t> </w:t>
      </w:r>
      <w:r>
        <w:rPr/>
        <w:t>Within SANDO/ANS,</w:t>
      </w:r>
      <w:r>
        <w:rPr>
          <w:spacing w:val="40"/>
        </w:rPr>
        <w:t> </w:t>
      </w:r>
      <w:r>
        <w:rPr/>
        <w:t>roughly</w:t>
      </w:r>
      <w:r>
        <w:rPr>
          <w:spacing w:val="40"/>
        </w:rPr>
        <w:t> </w:t>
      </w:r>
      <w:r>
        <w:rPr/>
        <w:t>25%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docu- mented</w:t>
      </w:r>
      <w:r>
        <w:rPr>
          <w:spacing w:val="-11"/>
        </w:rPr>
        <w:t> </w:t>
      </w:r>
      <w:r>
        <w:rPr/>
        <w:t>cramps,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52% of cases with </w:t>
      </w:r>
      <w:r>
        <w:rPr>
          <w:i/>
        </w:rPr>
        <w:t>POLG-</w:t>
      </w:r>
      <w:r>
        <w:rPr/>
        <w:t>related SANDO had limb girdle paresis</w:t>
      </w:r>
      <w:r>
        <w:rPr>
          <w:spacing w:val="3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r>
        <w:rPr>
          <w:spacing w:val="35"/>
        </w:rPr>
        <w:t> </w:t>
      </w:r>
      <w:hyperlink w:history="true" w:anchor="_bookmark21">
        <w:r>
          <w:rPr>
            <w:color w:val="0000FF"/>
          </w:rPr>
          <w:t>24</w:t>
        </w:r>
      </w:hyperlink>
      <w:r>
        <w:rPr/>
        <w:t>,</w:t>
      </w:r>
      <w:r>
        <w:rPr>
          <w:spacing w:val="35"/>
        </w:rPr>
        <w:t> </w:t>
      </w:r>
      <w:hyperlink w:history="true" w:anchor="_bookmark23">
        <w:r>
          <w:rPr>
            <w:color w:val="0000FF"/>
          </w:rPr>
          <w:t>25</w:t>
        </w:r>
      </w:hyperlink>
      <w:r>
        <w:rPr/>
        <w:t>].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proband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symptoms</w:t>
      </w:r>
      <w:r>
        <w:rPr>
          <w:spacing w:val="36"/>
        </w:rPr>
        <w:t> </w:t>
      </w:r>
      <w:r>
        <w:rPr/>
        <w:t>of severe progressive myopathy documented as early as the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four.</w:t>
      </w:r>
      <w:r>
        <w:rPr>
          <w:spacing w:val="-7"/>
        </w:rPr>
        <w:t> </w:t>
      </w:r>
      <w:r>
        <w:rPr/>
        <w:t>Ocular</w:t>
      </w:r>
      <w:r>
        <w:rPr>
          <w:spacing w:val="-5"/>
        </w:rPr>
        <w:t> </w:t>
      </w:r>
      <w:r>
        <w:rPr/>
        <w:t>myopathic</w:t>
      </w:r>
      <w:r>
        <w:rPr>
          <w:spacing w:val="-6"/>
        </w:rPr>
        <w:t> </w:t>
      </w:r>
      <w:r>
        <w:rPr/>
        <w:t>signs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ptosis and</w:t>
      </w:r>
      <w:r>
        <w:rPr>
          <w:spacing w:val="34"/>
        </w:rPr>
        <w:t> </w:t>
      </w:r>
      <w:r>
        <w:rPr/>
        <w:t>external</w:t>
      </w:r>
      <w:r>
        <w:rPr>
          <w:spacing w:val="34"/>
        </w:rPr>
        <w:t> </w:t>
      </w:r>
      <w:r>
        <w:rPr/>
        <w:t>ophthalmoplegia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common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most </w:t>
      </w:r>
      <w:r>
        <w:rPr>
          <w:i/>
        </w:rPr>
        <w:t>POLG-</w:t>
      </w:r>
      <w:r>
        <w:rPr/>
        <w:t>related</w:t>
      </w:r>
      <w:r>
        <w:rPr>
          <w:spacing w:val="-5"/>
        </w:rPr>
        <w:t> </w:t>
      </w:r>
      <w:r>
        <w:rPr/>
        <w:t>disorders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onset</w:t>
      </w:r>
      <w:r>
        <w:rPr>
          <w:spacing w:val="-4"/>
        </w:rPr>
        <w:t> </w:t>
      </w:r>
      <w:r>
        <w:rPr/>
        <w:t>ranging from</w:t>
      </w:r>
      <w:r>
        <w:rPr>
          <w:spacing w:val="23"/>
        </w:rPr>
        <w:t> </w:t>
      </w:r>
      <w:r>
        <w:rPr/>
        <w:t>10 years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to adulthood;</w:t>
      </w:r>
      <w:r>
        <w:rPr>
          <w:spacing w:val="22"/>
        </w:rPr>
        <w:t> </w:t>
      </w:r>
      <w:r>
        <w:rPr/>
        <w:t>these</w:t>
      </w:r>
      <w:r>
        <w:rPr>
          <w:spacing w:val="24"/>
        </w:rPr>
        <w:t> </w:t>
      </w:r>
      <w:r>
        <w:rPr/>
        <w:t>symptoms were first noted in the proband at the age of 5 years [</w:t>
      </w:r>
      <w:hyperlink w:history="true" w:anchor="_bookmark5">
        <w:r>
          <w:rPr>
            <w:color w:val="0000FF"/>
          </w:rPr>
          <w:t>11</w:t>
        </w:r>
      </w:hyperlink>
      <w:r>
        <w:rPr/>
        <w:t>–</w:t>
      </w:r>
      <w:hyperlink w:history="true" w:anchor="_bookmark6">
        <w:r>
          <w:rPr>
            <w:color w:val="0000FF"/>
          </w:rPr>
          <w:t>13</w:t>
        </w:r>
      </w:hyperlink>
      <w:r>
        <w:rPr/>
        <w:t>, </w:t>
      </w:r>
      <w:hyperlink w:history="true" w:anchor="_bookmark33">
        <w:r>
          <w:rPr>
            <w:color w:val="0000FF"/>
          </w:rPr>
          <w:t>32</w:t>
        </w:r>
      </w:hyperlink>
      <w:r>
        <w:rPr/>
        <w:t>]. Ophthalmoplegia has been documented in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half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SANDO/ANS</w:t>
      </w:r>
      <w:r>
        <w:rPr>
          <w:spacing w:val="-12"/>
        </w:rPr>
        <w:t> </w:t>
      </w:r>
      <w:r>
        <w:rPr/>
        <w:t>patients;</w:t>
      </w:r>
      <w:r>
        <w:rPr>
          <w:spacing w:val="-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some report extraocular muscle involvement as both a later and a milder symptom, relative to the sensory ataxic neuropathy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r>
        <w:rPr>
          <w:spacing w:val="-8"/>
        </w:rPr>
        <w:t> </w:t>
      </w:r>
      <w:hyperlink w:history="true" w:anchor="_bookmark25">
        <w:r>
          <w:rPr>
            <w:color w:val="0000FF"/>
          </w:rPr>
          <w:t>73</w:t>
        </w:r>
      </w:hyperlink>
      <w:r>
        <w:rPr/>
        <w:t>].</w:t>
      </w:r>
      <w:r>
        <w:rPr>
          <w:spacing w:val="-9"/>
        </w:rPr>
        <w:t> </w:t>
      </w:r>
      <w:r>
        <w:rPr/>
        <w:t>Hanisch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8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among molecularly confirmed SANDO, ataxia was the com- monest</w:t>
      </w:r>
      <w:r>
        <w:rPr>
          <w:spacing w:val="-13"/>
        </w:rPr>
        <w:t> </w:t>
      </w:r>
      <w:r>
        <w:rPr/>
        <w:t>disabling</w:t>
      </w:r>
      <w:r>
        <w:rPr>
          <w:spacing w:val="-12"/>
        </w:rPr>
        <w:t> </w:t>
      </w:r>
      <w:r>
        <w:rPr/>
        <w:t>symptom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(67%)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24</w:t>
        </w:r>
      </w:hyperlink>
      <w:r>
        <w:rPr/>
        <w:t>]. The absence</w:t>
      </w:r>
      <w:r>
        <w:rPr>
          <w:spacing w:val="23"/>
        </w:rPr>
        <w:t> </w:t>
      </w:r>
      <w:r>
        <w:rPr/>
        <w:t>of frank ataxia even at the time of 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recent</w:t>
      </w:r>
      <w:r>
        <w:rPr>
          <w:spacing w:val="40"/>
        </w:rPr>
        <w:t> </w:t>
      </w:r>
      <w:r>
        <w:rPr/>
        <w:t>examination</w:t>
      </w:r>
      <w:r>
        <w:rPr>
          <w:spacing w:val="40"/>
        </w:rPr>
        <w:t> </w:t>
      </w:r>
      <w:r>
        <w:rPr/>
        <w:t>was</w:t>
      </w:r>
      <w:r>
        <w:rPr>
          <w:spacing w:val="41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proband’s</w:t>
      </w:r>
    </w:p>
    <w:p>
      <w:pPr>
        <w:pStyle w:val="BodyText"/>
        <w:spacing w:before="18"/>
        <w:ind w:left="85"/>
        <w:jc w:val="both"/>
      </w:pPr>
      <w:r>
        <w:rPr/>
        <w:t>limited</w:t>
      </w:r>
      <w:r>
        <w:rPr>
          <w:spacing w:val="4"/>
        </w:rPr>
        <w:t> </w:t>
      </w:r>
      <w:r>
        <w:rPr/>
        <w:t>capacity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movement.</w:t>
      </w:r>
    </w:p>
    <w:p>
      <w:pPr>
        <w:pStyle w:val="BodyText"/>
        <w:spacing w:line="259" w:lineRule="auto" w:before="19"/>
        <w:ind w:left="85" w:right="38" w:firstLine="226"/>
        <w:jc w:val="both"/>
      </w:pPr>
      <w:r>
        <w:rPr/>
        <w:t>While the proband displays many similarities </w:t>
      </w:r>
      <w:r>
        <w:rPr/>
        <w:t>to other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i/>
        </w:rPr>
        <w:t>POLG</w:t>
      </w:r>
      <w:r>
        <w:rPr>
          <w:i/>
          <w:spacing w:val="-6"/>
        </w:rPr>
        <w:t> </w:t>
      </w:r>
      <w:r>
        <w:rPr/>
        <w:t>phenotypes,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ocular</w:t>
      </w:r>
      <w:r>
        <w:rPr>
          <w:spacing w:val="-5"/>
        </w:rPr>
        <w:t> </w:t>
      </w:r>
      <w:r>
        <w:rPr/>
        <w:t>phenotype is distinct in the fact that he had an electronegative ERG, under dark-adapted conditions, consistent with rod ON-bipolar cell dysfunction. The cone ON and OFF bipolar functions were normal. In the literature, patients with </w:t>
      </w:r>
      <w:r>
        <w:rPr>
          <w:i/>
        </w:rPr>
        <w:t>POLG </w:t>
      </w:r>
      <w:r>
        <w:rPr/>
        <w:t>mutations-related AHS are often </w:t>
      </w:r>
      <w:r>
        <w:rPr>
          <w:spacing w:val="-2"/>
        </w:rPr>
        <w:t>described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having</w:t>
      </w:r>
      <w:r>
        <w:rPr>
          <w:spacing w:val="-6"/>
        </w:rPr>
        <w:t> </w:t>
      </w:r>
      <w:r>
        <w:rPr>
          <w:spacing w:val="-2"/>
        </w:rPr>
        <w:t>normal</w:t>
      </w:r>
      <w:r>
        <w:rPr>
          <w:spacing w:val="-4"/>
        </w:rPr>
        <w:t> </w:t>
      </w:r>
      <w:r>
        <w:rPr>
          <w:spacing w:val="-2"/>
        </w:rPr>
        <w:t>ERGs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,</w:t>
      </w:r>
      <w:r>
        <w:rPr>
          <w:spacing w:val="-6"/>
        </w:rPr>
        <w:t> </w:t>
      </w:r>
      <w:hyperlink w:history="true" w:anchor="_bookmark16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];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relative </w:t>
      </w:r>
      <w:r>
        <w:rPr/>
        <w:t>paucity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ERG</w:t>
      </w:r>
      <w:r>
        <w:rPr>
          <w:spacing w:val="-12"/>
        </w:rPr>
        <w:t> </w:t>
      </w:r>
      <w:r>
        <w:rPr/>
        <w:t>abnormalities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 </w:t>
      </w:r>
      <w:bookmarkStart w:name="Conclusion" w:id="16"/>
      <w:bookmarkEnd w:id="16"/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infrequent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patient population.</w:t>
      </w:r>
      <w:r>
        <w:rPr>
          <w:spacing w:val="-6"/>
        </w:rPr>
        <w:t> </w:t>
      </w:r>
      <w:r>
        <w:rPr/>
        <w:t>Polg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shown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expressed in the mice inner retina, and mutant mice with defective</w:t>
      </w:r>
      <w:r>
        <w:rPr>
          <w:spacing w:val="-4"/>
        </w:rPr>
        <w:t> </w:t>
      </w:r>
      <w:r>
        <w:rPr/>
        <w:t>exonuclease</w:t>
      </w:r>
      <w:r>
        <w:rPr>
          <w:spacing w:val="-5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retinal ON-bipolar dysfunction on ERG testing [</w:t>
      </w:r>
      <w:hyperlink w:history="true" w:anchor="_bookmark8">
        <w:r>
          <w:rPr>
            <w:color w:val="0000FF"/>
          </w:rPr>
          <w:t>1</w:t>
        </w:r>
      </w:hyperlink>
      <w:r>
        <w:rPr/>
        <w:t>]. The sparing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OFF</w:t>
      </w:r>
      <w:r>
        <w:rPr>
          <w:spacing w:val="-12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proband</w:t>
      </w:r>
      <w:r>
        <w:rPr>
          <w:spacing w:val="-12"/>
        </w:rPr>
        <w:t> </w:t>
      </w:r>
      <w:r>
        <w:rPr/>
        <w:t>is striking as most inherited conditions with selective inner retinal dysfunction affect both rod and cone bipolar systems, with the exception of Duchenne/ Becker</w:t>
      </w:r>
      <w:r>
        <w:rPr>
          <w:spacing w:val="-4"/>
        </w:rPr>
        <w:t> </w:t>
      </w:r>
      <w:r>
        <w:rPr/>
        <w:t>muscular</w:t>
      </w:r>
      <w:r>
        <w:rPr>
          <w:spacing w:val="-4"/>
        </w:rPr>
        <w:t> </w:t>
      </w:r>
      <w:r>
        <w:rPr/>
        <w:t>dystrophy,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 similar to what is noted in the proband [</w:t>
      </w:r>
      <w:hyperlink w:history="true" w:anchor="_bookmark13">
        <w:r>
          <w:rPr>
            <w:color w:val="0000FF"/>
          </w:rPr>
          <w:t>19</w:t>
        </w:r>
      </w:hyperlink>
      <w:r>
        <w:rPr/>
        <w:t>, </w:t>
      </w:r>
      <w:hyperlink w:history="true" w:anchor="_bookmark34">
        <w:r>
          <w:rPr>
            <w:color w:val="0000FF"/>
          </w:rPr>
          <w:t>33</w:t>
        </w:r>
      </w:hyperlink>
      <w:r>
        <w:rPr/>
        <w:t>]. Fundus examination was normal in the proband; however,</w:t>
      </w:r>
      <w:r>
        <w:rPr>
          <w:spacing w:val="-1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POLG</w:t>
      </w:r>
      <w:r>
        <w:rPr/>
        <w:t>-related</w:t>
      </w:r>
      <w:r>
        <w:rPr>
          <w:spacing w:val="-8"/>
        </w:rPr>
        <w:t> </w:t>
      </w:r>
      <w:r>
        <w:rPr>
          <w:spacing w:val="-2"/>
        </w:rPr>
        <w:t>disorders</w:t>
      </w:r>
    </w:p>
    <w:p>
      <w:pPr>
        <w:pStyle w:val="BodyText"/>
        <w:spacing w:line="259" w:lineRule="auto" w:before="68"/>
        <w:ind w:left="85" w:right="83"/>
        <w:jc w:val="both"/>
      </w:pPr>
      <w:r>
        <w:rPr/>
        <w:br w:type="column"/>
      </w:r>
      <w:r>
        <w:rPr/>
        <w:t>range from normal retinal examination to </w:t>
      </w:r>
      <w:r>
        <w:rPr/>
        <w:t>pigmentary retinopathy [</w:t>
      </w:r>
      <w:hyperlink w:history="true" w:anchor="_bookmark3">
        <w:r>
          <w:rPr>
            <w:color w:val="0000FF"/>
          </w:rPr>
          <w:t>9</w:t>
        </w:r>
      </w:hyperlink>
      <w:r>
        <w:rPr/>
        <w:t>, </w:t>
      </w:r>
      <w:hyperlink w:history="true" w:anchor="_bookmark5">
        <w:r>
          <w:rPr>
            <w:color w:val="0000FF"/>
          </w:rPr>
          <w:t>11</w:t>
        </w:r>
      </w:hyperlink>
      <w:r>
        <w:rPr/>
        <w:t>]. It is notable that the proband had symptoms of photophobia, the cause for which is </w:t>
      </w:r>
      <w:r>
        <w:rPr>
          <w:spacing w:val="-2"/>
        </w:rPr>
        <w:t>unknown.</w:t>
      </w:r>
    </w:p>
    <w:p>
      <w:pPr>
        <w:pStyle w:val="BodyText"/>
        <w:spacing w:line="259" w:lineRule="auto" w:before="2"/>
        <w:ind w:left="85" w:right="83" w:firstLine="226"/>
        <w:jc w:val="both"/>
      </w:pPr>
      <w:r>
        <w:rPr>
          <w:i/>
        </w:rPr>
        <w:t>POLG</w:t>
      </w:r>
      <w:r>
        <w:rPr/>
        <w:t>-related disorders are genetically </w:t>
      </w:r>
      <w:r>
        <w:rPr/>
        <w:t>heteroge- neous, and there are over 100 mutations associated with</w:t>
      </w:r>
      <w:r>
        <w:rPr>
          <w:spacing w:val="-13"/>
        </w:rPr>
        <w:t> </w:t>
      </w:r>
      <w:r>
        <w:rPr/>
        <w:t>AHS,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80</w:t>
      </w:r>
      <w:r>
        <w:rPr>
          <w:spacing w:val="-12"/>
        </w:rPr>
        <w:t> </w:t>
      </w:r>
      <w:r>
        <w:rPr/>
        <w:t>mutations</w:t>
      </w:r>
      <w:r>
        <w:rPr>
          <w:spacing w:val="-13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PEO</w:t>
      </w:r>
      <w:r>
        <w:rPr>
          <w:spacing w:val="-12"/>
        </w:rPr>
        <w:t> </w:t>
      </w:r>
      <w:r>
        <w:rPr/>
        <w:t>and over 25 mutations associated with SANDO-related </w:t>
      </w:r>
      <w:r>
        <w:rPr>
          <w:spacing w:val="-2"/>
        </w:rPr>
        <w:t>syndromes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34</w:t>
        </w:r>
      </w:hyperlink>
      <w:r>
        <w:rPr>
          <w:spacing w:val="-2"/>
        </w:rPr>
        <w:t>].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p.Leu304Arg</w:t>
      </w:r>
      <w:r>
        <w:rPr>
          <w:spacing w:val="-5"/>
        </w:rPr>
        <w:t> </w:t>
      </w:r>
      <w:r>
        <w:rPr>
          <w:spacing w:val="-2"/>
        </w:rPr>
        <w:t>variant</w:t>
      </w:r>
      <w:r>
        <w:rPr>
          <w:spacing w:val="-5"/>
        </w:rPr>
        <w:t> </w:t>
      </w:r>
      <w:r>
        <w:rPr>
          <w:spacing w:val="-2"/>
        </w:rPr>
        <w:t>found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proband has been reported in the literature in both homozygous and compound heterozygous state numerous</w:t>
      </w:r>
      <w:r>
        <w:rPr>
          <w:spacing w:val="-13"/>
        </w:rPr>
        <w:t> </w:t>
      </w:r>
      <w:r>
        <w:rPr/>
        <w:t>times.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p.Leu304Arg</w:t>
      </w:r>
      <w:r>
        <w:rPr>
          <w:spacing w:val="-12"/>
        </w:rPr>
        <w:t> </w:t>
      </w:r>
      <w:r>
        <w:rPr/>
        <w:t>variant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homozy- gous state has almost always been associated with SANDO/ANS</w:t>
      </w:r>
      <w:r>
        <w:rPr>
          <w:spacing w:val="-1"/>
        </w:rPr>
        <w:t> </w:t>
      </w:r>
      <w:r>
        <w:rPr/>
        <w:t>disease spectrum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literature,</w:t>
      </w:r>
      <w:r>
        <w:rPr>
          <w:spacing w:val="-1"/>
        </w:rPr>
        <w:t> </w:t>
      </w:r>
      <w:r>
        <w:rPr/>
        <w:t>with an</w:t>
      </w:r>
      <w:r>
        <w:rPr>
          <w:spacing w:val="-13"/>
        </w:rPr>
        <w:t> </w:t>
      </w:r>
      <w:r>
        <w:rPr/>
        <w:t>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onset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23</w:t>
      </w:r>
      <w:r>
        <w:rPr>
          <w:spacing w:val="-5"/>
        </w:rPr>
        <w:t> </w:t>
      </w:r>
      <w:r>
        <w:rPr/>
        <w:t>years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age</w:t>
      </w:r>
      <w:r>
        <w:rPr>
          <w:spacing w:val="-1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35</w:t>
        </w:r>
      </w:hyperlink>
      <w:r>
        <w:rPr/>
        <w:t>–</w:t>
      </w:r>
      <w:hyperlink w:history="true" w:anchor="_bookmark24">
        <w:r>
          <w:rPr>
            <w:color w:val="0000FF"/>
          </w:rPr>
          <w:t>38</w:t>
        </w:r>
      </w:hyperlink>
      <w:r>
        <w:rPr/>
        <w:t>]. The p.Leu304Arg variant in compound heterozygous state with other variants led to a range of phenotypic presentations [</w:t>
      </w:r>
      <w:hyperlink w:history="true" w:anchor="_bookmark22">
        <w:r>
          <w:rPr>
            <w:color w:val="0000FF"/>
          </w:rPr>
          <w:t>36</w:t>
        </w:r>
      </w:hyperlink>
      <w:r>
        <w:rPr/>
        <w:t>]. For instance, Van Goethem et al. described a sibship with compound heterozygous mutations (p.Leu304Arg/Ala467Thr) whose symp- toms of PEO and skeletal muscle weakness (red ragged fibers on muscle biopsy) had a mean age of onset of 25 </w:t>
      </w:r>
      <w:r>
        <w:rPr>
          <w:w w:val="110"/>
        </w:rPr>
        <w:t>± </w:t>
      </w:r>
      <w:r>
        <w:rPr/>
        <w:t>7 years, with no retinal or hepatic involvement [</w:t>
      </w:r>
      <w:hyperlink w:history="true" w:anchor="_bookmark5">
        <w:r>
          <w:rPr>
            <w:color w:val="0000FF"/>
          </w:rPr>
          <w:t>11</w:t>
        </w:r>
      </w:hyperlink>
      <w:r>
        <w:rPr/>
        <w:t>], whereas Stewart et al. described a patient with the same variants (p.Leu304Arg/ Ala467Thr) who had seizures, peripheral neuropathy and hepatopathy consistent with AHS [</w:t>
      </w:r>
      <w:hyperlink w:history="true" w:anchor="_bookmark26">
        <w:r>
          <w:rPr>
            <w:color w:val="0000FF"/>
          </w:rPr>
          <w:t>39</w:t>
        </w:r>
      </w:hyperlink>
      <w:r>
        <w:rPr/>
        <w:t>]. Further, both</w:t>
      </w:r>
      <w:r>
        <w:rPr>
          <w:spacing w:val="-7"/>
        </w:rPr>
        <w:t> </w:t>
      </w:r>
      <w:r>
        <w:rPr/>
        <w:t>missense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frameshifting</w:t>
      </w:r>
      <w:r>
        <w:rPr>
          <w:spacing w:val="-7"/>
        </w:rPr>
        <w:t> </w:t>
      </w:r>
      <w:r>
        <w:rPr/>
        <w:t>variants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trans</w:t>
      </w:r>
      <w:r>
        <w:rPr>
          <w:spacing w:val="-7"/>
        </w:rPr>
        <w:t> </w:t>
      </w:r>
      <w:r>
        <w:rPr/>
        <w:t>with the p.Leu304Arg variant have been associated with AHS</w:t>
      </w:r>
      <w:r>
        <w:rPr>
          <w:spacing w:val="-1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40</w:t>
        </w:r>
      </w:hyperlink>
      <w:r>
        <w:rPr/>
        <w:t>,</w:t>
      </w:r>
      <w:r>
        <w:rPr>
          <w:spacing w:val="-11"/>
        </w:rPr>
        <w:t> </w:t>
      </w:r>
      <w:hyperlink w:history="true" w:anchor="_bookmark31">
        <w:r>
          <w:rPr>
            <w:color w:val="0000FF"/>
          </w:rPr>
          <w:t>41</w:t>
        </w:r>
      </w:hyperlink>
      <w:r>
        <w:rPr/>
        <w:t>].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missense</w:t>
      </w:r>
      <w:r>
        <w:rPr>
          <w:spacing w:val="-10"/>
        </w:rPr>
        <w:t> </w:t>
      </w:r>
      <w:r>
        <w:rPr/>
        <w:t>variants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combination 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p.Leu304Arg</w:t>
      </w:r>
      <w:r>
        <w:rPr>
          <w:spacing w:val="-13"/>
        </w:rPr>
        <w:t> </w:t>
      </w:r>
      <w:r>
        <w:rPr/>
        <w:t>allele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with SANDO and AR PEO, respectively [</w:t>
      </w:r>
      <w:hyperlink w:history="true" w:anchor="_bookmark24">
        <w:r>
          <w:rPr>
            <w:color w:val="0000FF"/>
          </w:rPr>
          <w:t>38</w:t>
        </w:r>
      </w:hyperlink>
      <w:r>
        <w:rPr/>
        <w:t>, </w:t>
      </w:r>
      <w:hyperlink w:history="true" w:anchor="_bookmark32">
        <w:r>
          <w:rPr>
            <w:color w:val="0000FF"/>
          </w:rPr>
          <w:t>42</w:t>
        </w:r>
      </w:hyperlink>
      <w:r>
        <w:rPr/>
        <w:t>]. This is consistent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existing</w:t>
      </w:r>
      <w:r>
        <w:rPr>
          <w:spacing w:val="-1"/>
        </w:rPr>
        <w:t> </w:t>
      </w:r>
      <w:r>
        <w:rPr/>
        <w:t>literature wherein</w:t>
      </w:r>
      <w:r>
        <w:rPr>
          <w:spacing w:val="-1"/>
        </w:rPr>
        <w:t> </w:t>
      </w:r>
      <w:r>
        <w:rPr/>
        <w:t>there is only limited genotype–phenotype associations with </w:t>
      </w:r>
      <w:r>
        <w:rPr>
          <w:i/>
        </w:rPr>
        <w:t>POLG</w:t>
      </w:r>
      <w:r>
        <w:rPr>
          <w:i/>
          <w:spacing w:val="-2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(as</w:t>
      </w:r>
      <w:r>
        <w:rPr>
          <w:spacing w:val="-2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p.Leu304Arg</w:t>
      </w:r>
      <w:r>
        <w:rPr>
          <w:spacing w:val="-4"/>
        </w:rPr>
        <w:t> </w:t>
      </w:r>
      <w:r>
        <w:rPr/>
        <w:t>homozygous cases) [</w:t>
      </w:r>
      <w:hyperlink w:history="true" w:anchor="_bookmark36">
        <w:r>
          <w:rPr>
            <w:color w:val="0000FF"/>
          </w:rPr>
          <w:t>34</w:t>
        </w:r>
      </w:hyperlink>
      <w:r>
        <w:rPr/>
        <w:t>, </w:t>
      </w:r>
      <w:hyperlink w:history="true" w:anchor="_bookmark35">
        <w:r>
          <w:rPr>
            <w:color w:val="0000FF"/>
          </w:rPr>
          <w:t>43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85"/>
      </w:pPr>
      <w:r>
        <w:rPr>
          <w:spacing w:val="-2"/>
          <w:w w:val="105"/>
        </w:rPr>
        <w:t>Conclusion</w:t>
      </w:r>
    </w:p>
    <w:p>
      <w:pPr>
        <w:pStyle w:val="BodyText"/>
        <w:spacing w:before="38"/>
      </w:pPr>
    </w:p>
    <w:p>
      <w:pPr>
        <w:pStyle w:val="BodyText"/>
        <w:spacing w:line="259" w:lineRule="auto"/>
        <w:ind w:left="85" w:right="84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young</w:t>
      </w:r>
      <w:r>
        <w:rPr>
          <w:spacing w:val="-8"/>
        </w:rPr>
        <w:t> </w:t>
      </w:r>
      <w:r>
        <w:rPr>
          <w:spacing w:val="-2"/>
        </w:rPr>
        <w:t>boy,</w:t>
      </w:r>
      <w:r>
        <w:rPr>
          <w:spacing w:val="-9"/>
        </w:rPr>
        <w:t> </w:t>
      </w:r>
      <w:r>
        <w:rPr>
          <w:spacing w:val="-2"/>
        </w:rPr>
        <w:t>who</w:t>
      </w:r>
      <w:r>
        <w:rPr>
          <w:spacing w:val="-9"/>
        </w:rPr>
        <w:t> </w:t>
      </w:r>
      <w:r>
        <w:rPr>
          <w:spacing w:val="-2"/>
        </w:rPr>
        <w:t>carried</w:t>
      </w:r>
      <w:r>
        <w:rPr>
          <w:spacing w:val="-9"/>
        </w:rPr>
        <w:t> </w:t>
      </w:r>
      <w:r>
        <w:rPr>
          <w:spacing w:val="-2"/>
        </w:rPr>
        <w:t>homozygous </w:t>
      </w:r>
      <w:r>
        <w:rPr>
          <w:i/>
        </w:rPr>
        <w:t>POLG </w:t>
      </w:r>
      <w:r>
        <w:rPr/>
        <w:t>mutations and demonstrated a series of symp- toms associated with a broad category of </w:t>
      </w:r>
      <w:r>
        <w:rPr>
          <w:i/>
        </w:rPr>
        <w:t>POLG </w:t>
      </w:r>
      <w:r>
        <w:rPr/>
        <w:t>syndromes including seizures, headaches, areflexia/ hypotonia,</w:t>
      </w:r>
      <w:r>
        <w:rPr>
          <w:spacing w:val="-6"/>
        </w:rPr>
        <w:t> </w:t>
      </w:r>
      <w:r>
        <w:rPr/>
        <w:t>myopathy,</w:t>
      </w:r>
      <w:r>
        <w:rPr>
          <w:spacing w:val="-8"/>
        </w:rPr>
        <w:t> </w:t>
      </w:r>
      <w:r>
        <w:rPr/>
        <w:t>vomiting,</w:t>
      </w:r>
      <w:r>
        <w:rPr>
          <w:spacing w:val="-7"/>
        </w:rPr>
        <w:t> </w:t>
      </w:r>
      <w:r>
        <w:rPr/>
        <w:t>ophthalmoplegia</w:t>
      </w:r>
      <w:r>
        <w:rPr>
          <w:spacing w:val="-7"/>
        </w:rPr>
        <w:t> </w:t>
      </w:r>
      <w:r>
        <w:rPr/>
        <w:t>and ptosis. His features were most consistent with SANDO; however, the proband also demonstrated selective rod ON-bipolar cell dysfunction, a feature never</w:t>
      </w:r>
      <w:r>
        <w:rPr>
          <w:spacing w:val="49"/>
        </w:rPr>
        <w:t> </w:t>
      </w:r>
      <w:r>
        <w:rPr/>
        <w:t>previously</w:t>
      </w:r>
      <w:r>
        <w:rPr>
          <w:spacing w:val="49"/>
        </w:rPr>
        <w:t> </w:t>
      </w:r>
      <w:r>
        <w:rPr/>
        <w:t>reported</w:t>
      </w:r>
      <w:r>
        <w:rPr>
          <w:spacing w:val="50"/>
        </w:rPr>
        <w:t> </w:t>
      </w:r>
      <w:r>
        <w:rPr/>
        <w:t>in</w:t>
      </w:r>
      <w:r>
        <w:rPr>
          <w:spacing w:val="49"/>
        </w:rPr>
        <w:t> </w:t>
      </w:r>
      <w:r>
        <w:rPr/>
        <w:t>human</w:t>
      </w:r>
      <w:r>
        <w:rPr>
          <w:spacing w:val="48"/>
        </w:rPr>
        <w:t> </w:t>
      </w:r>
      <w:r>
        <w:rPr>
          <w:i/>
        </w:rPr>
        <w:t>POLG</w:t>
      </w:r>
      <w:r>
        <w:rPr/>
        <w:t>-</w:t>
      </w:r>
      <w:r>
        <w:rPr>
          <w:spacing w:val="-2"/>
        </w:rPr>
        <w:t>related</w:t>
      </w:r>
    </w:p>
    <w:p>
      <w:pPr>
        <w:pStyle w:val="BodyText"/>
        <w:spacing w:after="0" w:line="259" w:lineRule="auto"/>
        <w:jc w:val="both"/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5" w:space="327"/>
            <w:col w:w="4488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0950" w:h="14750"/>
          <w:pgMar w:header="668" w:footer="916" w:top="920" w:bottom="1100" w:left="850" w:right="850"/>
        </w:sectPr>
      </w:pPr>
    </w:p>
    <w:p>
      <w:pPr>
        <w:pStyle w:val="BodyText"/>
        <w:spacing w:line="259" w:lineRule="auto" w:before="71"/>
        <w:ind w:left="85" w:right="38"/>
        <w:jc w:val="both"/>
      </w:pPr>
      <w:r>
        <w:rPr/>
        <w:t>disorders. However, the role of </w:t>
      </w:r>
      <w:r>
        <w:rPr>
          <w:i/>
        </w:rPr>
        <w:t>POLG </w:t>
      </w:r>
      <w:r>
        <w:rPr/>
        <w:t>in </w:t>
      </w:r>
      <w:r>
        <w:rPr/>
        <w:t>retinal signaling is</w:t>
      </w:r>
      <w:r>
        <w:rPr>
          <w:spacing w:val="-1"/>
        </w:rPr>
        <w:t> </w:t>
      </w:r>
      <w:r>
        <w:rPr/>
        <w:t>unknown and</w:t>
      </w:r>
      <w:r>
        <w:rPr>
          <w:spacing w:val="11"/>
        </w:rPr>
        <w:t> </w:t>
      </w:r>
      <w:r>
        <w:rPr/>
        <w:t>needs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further</w:t>
      </w:r>
      <w:r>
        <w:rPr>
          <w:spacing w:val="1"/>
        </w:rPr>
        <w:t> </w:t>
      </w:r>
      <w:r>
        <w:rPr>
          <w:spacing w:val="-2"/>
        </w:rPr>
        <w:t>studied.</w:t>
      </w:r>
    </w:p>
    <w:p>
      <w:pPr>
        <w:spacing w:line="244" w:lineRule="auto" w:before="229"/>
        <w:ind w:left="85" w:right="38" w:firstLine="0"/>
        <w:jc w:val="both"/>
        <w:rPr>
          <w:sz w:val="17"/>
        </w:rPr>
      </w:pPr>
      <w:r>
        <w:rPr>
          <w:sz w:val="17"/>
        </w:rPr>
        <w:t>Acknowledgements</w:t>
      </w:r>
      <w:r>
        <w:rPr>
          <w:spacing w:val="80"/>
          <w:sz w:val="17"/>
        </w:rPr>
        <w:t> </w:t>
      </w:r>
      <w:bookmarkStart w:name="_bookmark3" w:id="17"/>
      <w:bookmarkEnd w:id="17"/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authors</w:t>
      </w:r>
      <w:r>
        <w:rPr>
          <w:spacing w:val="-2"/>
          <w:sz w:val="17"/>
        </w:rPr>
        <w:t> </w:t>
      </w:r>
      <w:r>
        <w:rPr>
          <w:sz w:val="17"/>
        </w:rPr>
        <w:t>thank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patient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family for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participation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study.</w:t>
      </w:r>
      <w:r>
        <w:rPr>
          <w:spacing w:val="-6"/>
          <w:sz w:val="17"/>
        </w:rPr>
        <w:t> </w:t>
      </w:r>
      <w:r>
        <w:rPr>
          <w:sz w:val="17"/>
        </w:rPr>
        <w:t>Parental</w:t>
      </w:r>
      <w:r>
        <w:rPr>
          <w:spacing w:val="-5"/>
          <w:sz w:val="17"/>
        </w:rPr>
        <w:t> </w:t>
      </w:r>
      <w:r>
        <w:rPr>
          <w:sz w:val="17"/>
        </w:rPr>
        <w:t>consent</w:t>
      </w:r>
      <w:r>
        <w:rPr>
          <w:spacing w:val="-5"/>
          <w:sz w:val="17"/>
        </w:rPr>
        <w:t> </w:t>
      </w:r>
      <w:r>
        <w:rPr>
          <w:sz w:val="17"/>
        </w:rPr>
        <w:t>was</w:t>
      </w:r>
      <w:r>
        <w:rPr>
          <w:spacing w:val="-7"/>
          <w:sz w:val="17"/>
        </w:rPr>
        <w:t> </w:t>
      </w:r>
      <w:r>
        <w:rPr>
          <w:sz w:val="17"/>
        </w:rPr>
        <w:t>obtained </w:t>
      </w:r>
      <w:bookmarkStart w:name="Funding" w:id="18"/>
      <w:bookmarkEnd w:id="18"/>
      <w:r>
        <w:rPr>
          <w:sz w:val="17"/>
        </w:rPr>
        <w:t>for</w:t>
      </w:r>
      <w:r>
        <w:rPr>
          <w:sz w:val="17"/>
        </w:rPr>
        <w:t> publishing the case report.</w:t>
      </w:r>
    </w:p>
    <w:p>
      <w:pPr>
        <w:pStyle w:val="BodyText"/>
        <w:spacing w:before="41"/>
        <w:rPr>
          <w:sz w:val="17"/>
        </w:rPr>
      </w:pPr>
    </w:p>
    <w:p>
      <w:pPr>
        <w:spacing w:line="244" w:lineRule="auto" w:before="0"/>
        <w:ind w:left="85" w:right="38" w:firstLine="0"/>
        <w:jc w:val="both"/>
        <w:rPr>
          <w:sz w:val="17"/>
        </w:rPr>
      </w:pPr>
      <w:r>
        <w:rPr>
          <w:sz w:val="17"/>
        </w:rPr>
        <w:t>Funding</w:t>
      </w:r>
      <w:r>
        <w:rPr>
          <w:spacing w:val="80"/>
          <w:sz w:val="17"/>
        </w:rPr>
        <w:t> </w:t>
      </w:r>
      <w:r>
        <w:rPr>
          <w:sz w:val="17"/>
        </w:rPr>
        <w:t>This</w:t>
      </w:r>
      <w:r>
        <w:rPr>
          <w:spacing w:val="-11"/>
          <w:sz w:val="17"/>
        </w:rPr>
        <w:t> </w:t>
      </w:r>
      <w:r>
        <w:rPr>
          <w:sz w:val="17"/>
        </w:rPr>
        <w:t>work</w:t>
      </w:r>
      <w:r>
        <w:rPr>
          <w:spacing w:val="-11"/>
          <w:sz w:val="17"/>
        </w:rPr>
        <w:t> </w:t>
      </w:r>
      <w:r>
        <w:rPr>
          <w:sz w:val="17"/>
        </w:rPr>
        <w:t>was</w:t>
      </w:r>
      <w:r>
        <w:rPr>
          <w:spacing w:val="-10"/>
          <w:sz w:val="17"/>
        </w:rPr>
        <w:t> </w:t>
      </w:r>
      <w:r>
        <w:rPr>
          <w:sz w:val="17"/>
        </w:rPr>
        <w:t>supported</w:t>
      </w:r>
      <w:r>
        <w:rPr>
          <w:spacing w:val="-11"/>
          <w:sz w:val="17"/>
        </w:rPr>
        <w:t> </w:t>
      </w:r>
      <w:r>
        <w:rPr>
          <w:sz w:val="17"/>
        </w:rPr>
        <w:t>by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Foundation</w:t>
      </w:r>
      <w:r>
        <w:rPr>
          <w:spacing w:val="-10"/>
          <w:sz w:val="17"/>
        </w:rPr>
        <w:t> </w:t>
      </w:r>
      <w:r>
        <w:rPr>
          <w:sz w:val="17"/>
        </w:rPr>
        <w:t>Fighting </w:t>
      </w:r>
      <w:bookmarkStart w:name="_bookmark4" w:id="19"/>
      <w:bookmarkEnd w:id="19"/>
      <w:r>
        <w:rPr>
          <w:sz w:val="17"/>
        </w:rPr>
        <w:t>Blindness,</w:t>
      </w:r>
      <w:r>
        <w:rPr>
          <w:sz w:val="17"/>
        </w:rPr>
        <w:t> USA (Grant No: CD-CL-0617-0727-HSC). The funding</w:t>
      </w:r>
      <w:r>
        <w:rPr>
          <w:spacing w:val="-10"/>
          <w:sz w:val="17"/>
        </w:rPr>
        <w:t> </w:t>
      </w:r>
      <w:r>
        <w:rPr>
          <w:sz w:val="17"/>
        </w:rPr>
        <w:t>organization</w:t>
      </w:r>
      <w:r>
        <w:rPr>
          <w:spacing w:val="-10"/>
          <w:sz w:val="17"/>
        </w:rPr>
        <w:t> </w:t>
      </w:r>
      <w:r>
        <w:rPr>
          <w:sz w:val="17"/>
        </w:rPr>
        <w:t>had</w:t>
      </w:r>
      <w:r>
        <w:rPr>
          <w:spacing w:val="-11"/>
          <w:sz w:val="17"/>
        </w:rPr>
        <w:t> </w:t>
      </w:r>
      <w:r>
        <w:rPr>
          <w:sz w:val="17"/>
        </w:rPr>
        <w:t>no</w:t>
      </w:r>
      <w:r>
        <w:rPr>
          <w:spacing w:val="-9"/>
          <w:sz w:val="17"/>
        </w:rPr>
        <w:t> </w:t>
      </w:r>
      <w:r>
        <w:rPr>
          <w:sz w:val="17"/>
        </w:rPr>
        <w:t>role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design</w:t>
      </w:r>
      <w:r>
        <w:rPr>
          <w:spacing w:val="-11"/>
          <w:sz w:val="17"/>
        </w:rPr>
        <w:t> </w:t>
      </w:r>
      <w:r>
        <w:rPr>
          <w:sz w:val="17"/>
        </w:rPr>
        <w:t>or</w:t>
      </w:r>
      <w:r>
        <w:rPr>
          <w:spacing w:val="-9"/>
          <w:sz w:val="17"/>
        </w:rPr>
        <w:t> </w:t>
      </w:r>
      <w:r>
        <w:rPr>
          <w:sz w:val="17"/>
        </w:rPr>
        <w:t>conduct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this research. AV is a consultant for ADVERUM Biotechnologies INC; this had no role in the design or conduct of the research.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85" w:right="0" w:firstLine="0"/>
        <w:jc w:val="left"/>
        <w:rPr>
          <w:sz w:val="17"/>
        </w:rPr>
      </w:pPr>
      <w:bookmarkStart w:name="_bookmark5" w:id="20"/>
      <w:bookmarkEnd w:id="20"/>
      <w:r>
        <w:rPr/>
      </w:r>
      <w:r>
        <w:rPr>
          <w:w w:val="105"/>
          <w:sz w:val="17"/>
        </w:rPr>
        <w:t>Compliance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ethical</w:t>
      </w:r>
      <w:r>
        <w:rPr>
          <w:spacing w:val="5"/>
          <w:w w:val="105"/>
          <w:sz w:val="17"/>
        </w:rPr>
        <w:t> </w:t>
      </w:r>
      <w:r>
        <w:rPr>
          <w:spacing w:val="-2"/>
          <w:w w:val="105"/>
          <w:sz w:val="17"/>
        </w:rPr>
        <w:t>standards</w:t>
      </w:r>
    </w:p>
    <w:p>
      <w:pPr>
        <w:pStyle w:val="BodyText"/>
        <w:spacing w:before="15"/>
        <w:rPr>
          <w:sz w:val="17"/>
        </w:rPr>
      </w:pPr>
    </w:p>
    <w:p>
      <w:pPr>
        <w:spacing w:line="244" w:lineRule="auto" w:before="0"/>
        <w:ind w:left="85" w:right="38" w:firstLine="0"/>
        <w:jc w:val="both"/>
        <w:rPr>
          <w:sz w:val="17"/>
        </w:rPr>
      </w:pPr>
      <w:r>
        <w:rPr>
          <w:sz w:val="17"/>
        </w:rPr>
        <w:t>Statement of human rights</w:t>
      </w:r>
      <w:r>
        <w:rPr>
          <w:spacing w:val="40"/>
          <w:sz w:val="17"/>
        </w:rPr>
        <w:t> </w:t>
      </w:r>
      <w:r>
        <w:rPr>
          <w:sz w:val="17"/>
        </w:rPr>
        <w:t>The study was approved by </w:t>
      </w:r>
      <w:r>
        <w:rPr>
          <w:sz w:val="17"/>
        </w:rPr>
        <w:t>the Research Ethics Board at the Hospital for Sick Children Tor- onto. The study protocols adhered to the tenets of the Declara- tion of Helsinki.</w:t>
      </w:r>
    </w:p>
    <w:p>
      <w:pPr>
        <w:pStyle w:val="BodyText"/>
        <w:spacing w:before="11"/>
        <w:rPr>
          <w:sz w:val="17"/>
        </w:rPr>
      </w:pPr>
    </w:p>
    <w:p>
      <w:pPr>
        <w:spacing w:line="244" w:lineRule="auto" w:before="0"/>
        <w:ind w:left="85" w:right="38" w:firstLine="0"/>
        <w:jc w:val="both"/>
        <w:rPr>
          <w:sz w:val="17"/>
        </w:rPr>
      </w:pPr>
      <w:r>
        <w:rPr>
          <w:sz w:val="17"/>
        </w:rPr>
        <w:t>Statement on the welfare of animals</w:t>
      </w:r>
      <w:r>
        <w:rPr>
          <w:spacing w:val="80"/>
          <w:sz w:val="17"/>
        </w:rPr>
        <w:t> </w:t>
      </w:r>
      <w:r>
        <w:rPr>
          <w:sz w:val="17"/>
        </w:rPr>
        <w:t>The study involved </w:t>
      </w:r>
      <w:r>
        <w:rPr>
          <w:sz w:val="17"/>
        </w:rPr>
        <w:t>no </w:t>
      </w:r>
      <w:bookmarkStart w:name="_bookmark6" w:id="21"/>
      <w:bookmarkEnd w:id="21"/>
      <w:r>
        <w:rPr>
          <w:sz w:val="17"/>
        </w:rPr>
        <w:t>research</w:t>
      </w:r>
      <w:r>
        <w:rPr>
          <w:sz w:val="17"/>
        </w:rPr>
        <w:t> on animals.</w:t>
      </w:r>
    </w:p>
    <w:p>
      <w:pPr>
        <w:pStyle w:val="BodyText"/>
        <w:spacing w:before="11"/>
        <w:rPr>
          <w:sz w:val="17"/>
        </w:rPr>
      </w:pPr>
    </w:p>
    <w:p>
      <w:pPr>
        <w:spacing w:line="244" w:lineRule="auto" w:before="0"/>
        <w:ind w:left="85" w:right="39" w:firstLine="0"/>
        <w:jc w:val="both"/>
        <w:rPr>
          <w:sz w:val="17"/>
        </w:rPr>
      </w:pPr>
      <w:r>
        <w:rPr>
          <w:sz w:val="17"/>
        </w:rPr>
        <w:t>Informed</w:t>
      </w:r>
      <w:r>
        <w:rPr>
          <w:spacing w:val="35"/>
          <w:sz w:val="17"/>
        </w:rPr>
        <w:t> </w:t>
      </w:r>
      <w:r>
        <w:rPr>
          <w:sz w:val="17"/>
        </w:rPr>
        <w:t>consent</w:t>
      </w:r>
      <w:r>
        <w:rPr>
          <w:spacing w:val="80"/>
          <w:sz w:val="17"/>
        </w:rPr>
        <w:t> </w:t>
      </w:r>
      <w:r>
        <w:rPr>
          <w:sz w:val="17"/>
        </w:rPr>
        <w:t>Parental</w:t>
      </w:r>
      <w:r>
        <w:rPr>
          <w:spacing w:val="35"/>
          <w:sz w:val="17"/>
        </w:rPr>
        <w:t> </w:t>
      </w:r>
      <w:r>
        <w:rPr>
          <w:sz w:val="17"/>
        </w:rPr>
        <w:t>informed</w:t>
      </w:r>
      <w:r>
        <w:rPr>
          <w:spacing w:val="35"/>
          <w:sz w:val="17"/>
        </w:rPr>
        <w:t> </w:t>
      </w:r>
      <w:r>
        <w:rPr>
          <w:sz w:val="17"/>
        </w:rPr>
        <w:t>consent</w:t>
      </w:r>
      <w:r>
        <w:rPr>
          <w:spacing w:val="35"/>
          <w:sz w:val="17"/>
        </w:rPr>
        <w:t> </w:t>
      </w:r>
      <w:r>
        <w:rPr>
          <w:sz w:val="17"/>
        </w:rPr>
        <w:t>was</w:t>
      </w:r>
      <w:r>
        <w:rPr>
          <w:spacing w:val="34"/>
          <w:sz w:val="17"/>
        </w:rPr>
        <w:t> </w:t>
      </w:r>
      <w:r>
        <w:rPr>
          <w:sz w:val="17"/>
        </w:rPr>
        <w:t>obtained for the study.</w:t>
      </w:r>
    </w:p>
    <w:p>
      <w:pPr>
        <w:pStyle w:val="BodyText"/>
        <w:spacing w:before="10"/>
        <w:rPr>
          <w:sz w:val="17"/>
        </w:rPr>
      </w:pPr>
    </w:p>
    <w:p>
      <w:pPr>
        <w:spacing w:line="244" w:lineRule="auto" w:before="0"/>
        <w:ind w:left="85" w:right="38" w:firstLine="0"/>
        <w:jc w:val="both"/>
        <w:rPr>
          <w:sz w:val="17"/>
        </w:rPr>
      </w:pPr>
      <w:bookmarkStart w:name="_bookmark7" w:id="22"/>
      <w:bookmarkEnd w:id="22"/>
      <w:r>
        <w:rPr/>
      </w:r>
      <w:r>
        <w:rPr>
          <w:sz w:val="17"/>
        </w:rPr>
        <w:t>Conflict of interest</w:t>
      </w:r>
      <w:r>
        <w:rPr>
          <w:spacing w:val="80"/>
          <w:sz w:val="17"/>
        </w:rPr>
        <w:t> </w:t>
      </w:r>
      <w:r>
        <w:rPr>
          <w:sz w:val="17"/>
        </w:rPr>
        <w:t>No conflicting relationships exist for </w:t>
      </w:r>
      <w:r>
        <w:rPr>
          <w:sz w:val="17"/>
        </w:rPr>
        <w:t>any </w:t>
      </w:r>
      <w:r>
        <w:rPr>
          <w:spacing w:val="-2"/>
          <w:sz w:val="17"/>
        </w:rPr>
        <w:t>author.</w:t>
      </w:r>
    </w:p>
    <w:p>
      <w:pPr>
        <w:pStyle w:val="BodyText"/>
        <w:rPr>
          <w:sz w:val="17"/>
        </w:rPr>
      </w:pPr>
    </w:p>
    <w:p>
      <w:pPr>
        <w:pStyle w:val="BodyText"/>
        <w:spacing w:before="118"/>
        <w:rPr>
          <w:sz w:val="17"/>
        </w:rPr>
      </w:pPr>
    </w:p>
    <w:p>
      <w:pPr>
        <w:pStyle w:val="BodyText"/>
        <w:ind w:left="85"/>
      </w:pPr>
      <w:bookmarkStart w:name="References" w:id="23"/>
      <w:bookmarkEnd w:id="23"/>
      <w:r>
        <w:rPr/>
      </w:r>
      <w:bookmarkStart w:name="_bookmark8" w:id="24"/>
      <w:bookmarkEnd w:id="24"/>
      <w:r>
        <w:rPr/>
      </w:r>
      <w:bookmarkStart w:name="_bookmark9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r>
        <w:rPr>
          <w:sz w:val="17"/>
        </w:rPr>
        <w:t>Kong YX, Van Bergen N, Trounce IA, Bui BV, </w:t>
      </w:r>
      <w:r>
        <w:rPr>
          <w:sz w:val="17"/>
        </w:rPr>
        <w:t>Chrysos- tomou V, Waugh H et al (2011) Increase in mitochondrial </w:t>
      </w:r>
      <w:bookmarkStart w:name="_bookmark10" w:id="26"/>
      <w:bookmarkEnd w:id="26"/>
      <w:r>
        <w:rPr>
          <w:sz w:val="17"/>
        </w:rPr>
        <w:t>DNA</w:t>
      </w:r>
      <w:r>
        <w:rPr>
          <w:sz w:val="17"/>
        </w:rPr>
        <w:t> mutations impairs retinal function and renders the retina vulnerable to injury. Aging Cell 10(4):572–583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bookmarkStart w:name="_bookmark11" w:id="27"/>
      <w:bookmarkEnd w:id="27"/>
      <w:r>
        <w:rPr/>
      </w:r>
      <w:r>
        <w:rPr>
          <w:sz w:val="17"/>
        </w:rPr>
        <w:t>DeBalsi KL, Hoff KE, Copeland WC (2017) Role of </w:t>
      </w:r>
      <w:r>
        <w:rPr>
          <w:sz w:val="17"/>
        </w:rPr>
        <w:t>the mitochondrial</w:t>
      </w:r>
      <w:r>
        <w:rPr>
          <w:spacing w:val="-11"/>
          <w:sz w:val="17"/>
        </w:rPr>
        <w:t> </w:t>
      </w:r>
      <w:r>
        <w:rPr>
          <w:sz w:val="17"/>
        </w:rPr>
        <w:t>DNA</w:t>
      </w:r>
      <w:r>
        <w:rPr>
          <w:spacing w:val="-11"/>
          <w:sz w:val="17"/>
        </w:rPr>
        <w:t> </w:t>
      </w:r>
      <w:r>
        <w:rPr>
          <w:sz w:val="17"/>
        </w:rPr>
        <w:t>replication</w:t>
      </w:r>
      <w:r>
        <w:rPr>
          <w:spacing w:val="-10"/>
          <w:sz w:val="17"/>
        </w:rPr>
        <w:t> </w:t>
      </w:r>
      <w:r>
        <w:rPr>
          <w:sz w:val="17"/>
        </w:rPr>
        <w:t>machinery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mitochondrial DNA mutagenesis, aging and age-related diseases. Ageing Res Rev 33:89–104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r>
        <w:rPr>
          <w:sz w:val="17"/>
        </w:rPr>
        <w:t>Zheng W, Khrapko K, Coller HA, Thilly WG, </w:t>
      </w:r>
      <w:r>
        <w:rPr>
          <w:sz w:val="17"/>
        </w:rPr>
        <w:t>Copeland </w:t>
      </w:r>
      <w:bookmarkStart w:name="_bookmark12" w:id="28"/>
      <w:bookmarkEnd w:id="28"/>
      <w:r>
        <w:rPr>
          <w:spacing w:val="-2"/>
          <w:sz w:val="17"/>
        </w:rPr>
        <w:t>WC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(2006)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Origins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human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mitochondrial point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mutations </w:t>
      </w:r>
      <w:r>
        <w:rPr>
          <w:sz w:val="17"/>
        </w:rPr>
        <w:t>as DNA polymerase gamma-mediated errors. Mutat Res </w:t>
      </w:r>
      <w:r>
        <w:rPr>
          <w:spacing w:val="-2"/>
          <w:sz w:val="17"/>
        </w:rPr>
        <w:t>599(1–2):11–20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r>
        <w:rPr>
          <w:sz w:val="17"/>
        </w:rPr>
        <w:t>Kujoth GC, Hiona A, Pugh TD, Someya S, Panzer </w:t>
      </w:r>
      <w:r>
        <w:rPr>
          <w:sz w:val="17"/>
        </w:rPr>
        <w:t>K, </w:t>
      </w:r>
      <w:bookmarkStart w:name="_bookmark13" w:id="29"/>
      <w:bookmarkEnd w:id="29"/>
      <w:r>
        <w:rPr>
          <w:sz w:val="17"/>
        </w:rPr>
        <w:t>Wohlgemuth</w:t>
      </w:r>
      <w:r>
        <w:rPr>
          <w:sz w:val="17"/>
        </w:rPr>
        <w:t> SE et al (2005) Mitochondrial DNA muta- tions, oxidative stress, and apoptosis in mammalian aging. Science 309(5733):481–484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bookmarkStart w:name="_bookmark15" w:id="30"/>
      <w:bookmarkEnd w:id="30"/>
      <w:r>
        <w:rPr/>
      </w:r>
      <w:r>
        <w:rPr>
          <w:sz w:val="17"/>
        </w:rPr>
        <w:t>Trifunovic</w:t>
      </w:r>
      <w:r>
        <w:rPr>
          <w:spacing w:val="-7"/>
          <w:sz w:val="17"/>
        </w:rPr>
        <w:t> </w:t>
      </w:r>
      <w:r>
        <w:rPr>
          <w:sz w:val="17"/>
        </w:rPr>
        <w:t>A,</w:t>
      </w:r>
      <w:r>
        <w:rPr>
          <w:spacing w:val="-8"/>
          <w:sz w:val="17"/>
        </w:rPr>
        <w:t> </w:t>
      </w:r>
      <w:r>
        <w:rPr>
          <w:sz w:val="17"/>
        </w:rPr>
        <w:t>Wredenberg</w:t>
      </w:r>
      <w:r>
        <w:rPr>
          <w:spacing w:val="-7"/>
          <w:sz w:val="17"/>
        </w:rPr>
        <w:t> </w:t>
      </w:r>
      <w:r>
        <w:rPr>
          <w:sz w:val="17"/>
        </w:rPr>
        <w:t>A,</w:t>
      </w:r>
      <w:r>
        <w:rPr>
          <w:spacing w:val="-7"/>
          <w:sz w:val="17"/>
        </w:rPr>
        <w:t> </w:t>
      </w:r>
      <w:r>
        <w:rPr>
          <w:sz w:val="17"/>
        </w:rPr>
        <w:t>Falkenberg</w:t>
      </w:r>
      <w:r>
        <w:rPr>
          <w:spacing w:val="-7"/>
          <w:sz w:val="17"/>
        </w:rPr>
        <w:t> </w:t>
      </w:r>
      <w:r>
        <w:rPr>
          <w:sz w:val="17"/>
        </w:rPr>
        <w:t>M,</w:t>
      </w:r>
      <w:r>
        <w:rPr>
          <w:spacing w:val="-8"/>
          <w:sz w:val="17"/>
        </w:rPr>
        <w:t> </w:t>
      </w:r>
      <w:r>
        <w:rPr>
          <w:sz w:val="17"/>
        </w:rPr>
        <w:t>Spelbrink</w:t>
      </w:r>
      <w:r>
        <w:rPr>
          <w:spacing w:val="-7"/>
          <w:sz w:val="17"/>
        </w:rPr>
        <w:t> </w:t>
      </w:r>
      <w:r>
        <w:rPr>
          <w:sz w:val="17"/>
        </w:rPr>
        <w:t>JN, Rovio</w:t>
      </w:r>
      <w:r>
        <w:rPr>
          <w:spacing w:val="-11"/>
          <w:sz w:val="17"/>
        </w:rPr>
        <w:t> </w:t>
      </w:r>
      <w:r>
        <w:rPr>
          <w:sz w:val="17"/>
        </w:rPr>
        <w:t>AT,</w:t>
      </w:r>
      <w:r>
        <w:rPr>
          <w:spacing w:val="-11"/>
          <w:sz w:val="17"/>
        </w:rPr>
        <w:t> </w:t>
      </w:r>
      <w:r>
        <w:rPr>
          <w:sz w:val="17"/>
        </w:rPr>
        <w:t>Bruder</w:t>
      </w:r>
      <w:r>
        <w:rPr>
          <w:spacing w:val="-10"/>
          <w:sz w:val="17"/>
        </w:rPr>
        <w:t> </w:t>
      </w:r>
      <w:r>
        <w:rPr>
          <w:sz w:val="17"/>
        </w:rPr>
        <w:t>CE</w:t>
      </w:r>
      <w:r>
        <w:rPr>
          <w:spacing w:val="-11"/>
          <w:sz w:val="17"/>
        </w:rPr>
        <w:t> </w:t>
      </w:r>
      <w:r>
        <w:rPr>
          <w:sz w:val="17"/>
        </w:rPr>
        <w:t>et</w:t>
      </w:r>
      <w:r>
        <w:rPr>
          <w:spacing w:val="-11"/>
          <w:sz w:val="17"/>
        </w:rPr>
        <w:t> </w:t>
      </w:r>
      <w:r>
        <w:rPr>
          <w:sz w:val="17"/>
        </w:rPr>
        <w:t>al</w:t>
      </w:r>
      <w:r>
        <w:rPr>
          <w:spacing w:val="-10"/>
          <w:sz w:val="17"/>
        </w:rPr>
        <w:t> </w:t>
      </w:r>
      <w:r>
        <w:rPr>
          <w:sz w:val="17"/>
        </w:rPr>
        <w:t>(2004)</w:t>
      </w:r>
      <w:r>
        <w:rPr>
          <w:spacing w:val="-11"/>
          <w:sz w:val="17"/>
        </w:rPr>
        <w:t> </w:t>
      </w:r>
      <w:r>
        <w:rPr>
          <w:sz w:val="17"/>
        </w:rPr>
        <w:t>Premature</w:t>
      </w:r>
      <w:r>
        <w:rPr>
          <w:spacing w:val="-10"/>
          <w:sz w:val="17"/>
        </w:rPr>
        <w:t> </w:t>
      </w:r>
      <w:r>
        <w:rPr>
          <w:sz w:val="17"/>
        </w:rPr>
        <w:t>ageing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mice </w:t>
      </w:r>
      <w:bookmarkStart w:name="_bookmark14" w:id="31"/>
      <w:bookmarkEnd w:id="31"/>
      <w:r>
        <w:rPr>
          <w:sz w:val="17"/>
        </w:rPr>
        <w:t>expressing</w:t>
      </w:r>
      <w:r>
        <w:rPr>
          <w:sz w:val="17"/>
        </w:rPr>
        <w:t> defective mitochondrial DNA polymerase. </w:t>
      </w:r>
      <w:bookmarkStart w:name="_bookmark16" w:id="32"/>
      <w:bookmarkEnd w:id="32"/>
      <w:r>
        <w:rPr>
          <w:sz w:val="17"/>
        </w:rPr>
        <w:t>Nature</w:t>
      </w:r>
      <w:r>
        <w:rPr>
          <w:sz w:val="17"/>
        </w:rPr>
        <w:t> 429(6990):417–423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r>
        <w:rPr>
          <w:sz w:val="17"/>
        </w:rPr>
        <w:t>Farnum</w:t>
      </w:r>
      <w:r>
        <w:rPr>
          <w:spacing w:val="-5"/>
          <w:sz w:val="17"/>
        </w:rPr>
        <w:t> </w:t>
      </w:r>
      <w:r>
        <w:rPr>
          <w:sz w:val="17"/>
        </w:rPr>
        <w:t>GA,</w:t>
      </w:r>
      <w:r>
        <w:rPr>
          <w:spacing w:val="-5"/>
          <w:sz w:val="17"/>
        </w:rPr>
        <w:t> </w:t>
      </w:r>
      <w:r>
        <w:rPr>
          <w:sz w:val="17"/>
        </w:rPr>
        <w:t>Nurminen</w:t>
      </w:r>
      <w:r>
        <w:rPr>
          <w:spacing w:val="-5"/>
          <w:sz w:val="17"/>
        </w:rPr>
        <w:t> </w:t>
      </w:r>
      <w:r>
        <w:rPr>
          <w:sz w:val="17"/>
        </w:rPr>
        <w:t>A,</w:t>
      </w:r>
      <w:r>
        <w:rPr>
          <w:spacing w:val="-5"/>
          <w:sz w:val="17"/>
        </w:rPr>
        <w:t> </w:t>
      </w:r>
      <w:r>
        <w:rPr>
          <w:sz w:val="17"/>
        </w:rPr>
        <w:t>Kaguni</w:t>
      </w:r>
      <w:r>
        <w:rPr>
          <w:spacing w:val="-5"/>
          <w:sz w:val="17"/>
        </w:rPr>
        <w:t> </w:t>
      </w:r>
      <w:r>
        <w:rPr>
          <w:sz w:val="17"/>
        </w:rPr>
        <w:t>LS</w:t>
      </w:r>
      <w:r>
        <w:rPr>
          <w:spacing w:val="-5"/>
          <w:sz w:val="17"/>
        </w:rPr>
        <w:t> </w:t>
      </w:r>
      <w:r>
        <w:rPr>
          <w:sz w:val="17"/>
        </w:rPr>
        <w:t>(2014)</w:t>
      </w:r>
      <w:r>
        <w:rPr>
          <w:spacing w:val="-5"/>
          <w:sz w:val="17"/>
        </w:rPr>
        <w:t> </w:t>
      </w:r>
      <w:r>
        <w:rPr>
          <w:sz w:val="17"/>
        </w:rPr>
        <w:t>Mapping</w:t>
      </w:r>
      <w:r>
        <w:rPr>
          <w:spacing w:val="-4"/>
          <w:sz w:val="17"/>
        </w:rPr>
        <w:t> </w:t>
      </w:r>
      <w:r>
        <w:rPr>
          <w:sz w:val="17"/>
        </w:rPr>
        <w:t>136 pathogenic mutations into functional modules in human DNA polymerase gamma establishes predictive genotype- </w:t>
      </w:r>
      <w:bookmarkStart w:name="_bookmark17" w:id="33"/>
      <w:bookmarkEnd w:id="33"/>
      <w:r>
        <w:rPr>
          <w:w w:val="99"/>
          <w:sz w:val="17"/>
        </w:rPr>
      </w:r>
      <w:bookmarkStart w:name="_bookmark18" w:id="34"/>
      <w:bookmarkEnd w:id="34"/>
      <w:r>
        <w:rPr>
          <w:sz w:val="17"/>
        </w:rPr>
        <w:t>phenotype</w:t>
      </w:r>
      <w:r>
        <w:rPr>
          <w:spacing w:val="-8"/>
          <w:sz w:val="17"/>
        </w:rPr>
        <w:t> </w:t>
      </w:r>
      <w:r>
        <w:rPr>
          <w:sz w:val="17"/>
        </w:rPr>
        <w:t>correlations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complete</w:t>
      </w:r>
      <w:r>
        <w:rPr>
          <w:spacing w:val="-8"/>
          <w:sz w:val="17"/>
        </w:rPr>
        <w:t> </w:t>
      </w:r>
      <w:r>
        <w:rPr>
          <w:sz w:val="17"/>
        </w:rPr>
        <w:t>spectrum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POLG syndromes. Biochim Biophys Acta 1837(7):1113–1121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63" w:val="left" w:leader="none"/>
        </w:tabs>
        <w:spacing w:line="244" w:lineRule="auto" w:before="0" w:after="0"/>
        <w:ind w:left="363" w:right="38" w:hanging="188"/>
        <w:jc w:val="both"/>
        <w:rPr>
          <w:sz w:val="17"/>
        </w:rPr>
      </w:pPr>
      <w:r>
        <w:rPr>
          <w:sz w:val="17"/>
        </w:rPr>
        <w:t>Cohen BH, Chinnery PF, Copeland WC (1993) POLG-</w:t>
      </w:r>
      <w:r>
        <w:rPr>
          <w:sz w:val="17"/>
        </w:rPr>
        <w:t>re- lated</w:t>
      </w:r>
      <w:r>
        <w:rPr>
          <w:spacing w:val="19"/>
          <w:sz w:val="17"/>
        </w:rPr>
        <w:t> </w:t>
      </w:r>
      <w:r>
        <w:rPr>
          <w:sz w:val="17"/>
        </w:rPr>
        <w:t>disorders.</w:t>
      </w:r>
      <w:r>
        <w:rPr>
          <w:spacing w:val="19"/>
          <w:sz w:val="17"/>
        </w:rPr>
        <w:t> </w:t>
      </w:r>
      <w:r>
        <w:rPr>
          <w:sz w:val="17"/>
        </w:rPr>
        <w:t>In:</w:t>
      </w:r>
      <w:r>
        <w:rPr>
          <w:spacing w:val="19"/>
          <w:sz w:val="17"/>
        </w:rPr>
        <w:t> </w:t>
      </w:r>
      <w:r>
        <w:rPr>
          <w:sz w:val="17"/>
        </w:rPr>
        <w:t>Adam</w:t>
      </w:r>
      <w:r>
        <w:rPr>
          <w:spacing w:val="19"/>
          <w:sz w:val="17"/>
        </w:rPr>
        <w:t> </w:t>
      </w:r>
      <w:r>
        <w:rPr>
          <w:sz w:val="17"/>
        </w:rPr>
        <w:t>MP,</w:t>
      </w:r>
      <w:r>
        <w:rPr>
          <w:spacing w:val="20"/>
          <w:sz w:val="17"/>
        </w:rPr>
        <w:t> </w:t>
      </w:r>
      <w:r>
        <w:rPr>
          <w:sz w:val="17"/>
        </w:rPr>
        <w:t>Ardinger</w:t>
      </w:r>
      <w:r>
        <w:rPr>
          <w:spacing w:val="19"/>
          <w:sz w:val="17"/>
        </w:rPr>
        <w:t> </w:t>
      </w:r>
      <w:r>
        <w:rPr>
          <w:sz w:val="17"/>
        </w:rPr>
        <w:t>HH,</w:t>
      </w:r>
      <w:r>
        <w:rPr>
          <w:spacing w:val="20"/>
          <w:sz w:val="17"/>
        </w:rPr>
        <w:t> </w:t>
      </w:r>
      <w:r>
        <w:rPr>
          <w:sz w:val="17"/>
        </w:rPr>
        <w:t>Pagon</w:t>
      </w:r>
      <w:r>
        <w:rPr>
          <w:spacing w:val="19"/>
          <w:sz w:val="17"/>
        </w:rPr>
        <w:t> </w:t>
      </w:r>
      <w:r>
        <w:rPr>
          <w:sz w:val="17"/>
        </w:rPr>
        <w:t>RA,</w:t>
      </w:r>
    </w:p>
    <w:p>
      <w:pPr>
        <w:spacing w:line="244" w:lineRule="auto" w:before="73"/>
        <w:ind w:left="356" w:right="84" w:firstLine="0"/>
        <w:jc w:val="both"/>
        <w:rPr>
          <w:sz w:val="17"/>
        </w:rPr>
      </w:pPr>
      <w:r>
        <w:rPr/>
        <w:br w:type="column"/>
      </w:r>
      <w:r>
        <w:rPr>
          <w:sz w:val="17"/>
        </w:rPr>
        <w:t>Wallace SE, Bean LJH, Stephens K, et al. (eds) </w:t>
      </w:r>
      <w:r>
        <w:rPr>
          <w:sz w:val="17"/>
        </w:rPr>
        <w:t>GeneRe- views((R)). University of Washington, Seattle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  <w:tab w:pos="356" w:val="left" w:leader="none"/>
        </w:tabs>
        <w:spacing w:line="244" w:lineRule="auto" w:before="0" w:after="0"/>
        <w:ind w:left="356" w:right="83" w:hanging="188"/>
        <w:jc w:val="both"/>
        <w:rPr>
          <w:sz w:val="17"/>
        </w:rPr>
      </w:pPr>
      <w:r>
        <w:rPr>
          <w:sz w:val="17"/>
        </w:rPr>
        <w:t>Filosto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Mancuso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Nishigaki</w:t>
      </w:r>
      <w:r>
        <w:rPr>
          <w:spacing w:val="-3"/>
          <w:sz w:val="17"/>
        </w:rPr>
        <w:t> </w:t>
      </w:r>
      <w:r>
        <w:rPr>
          <w:sz w:val="17"/>
        </w:rPr>
        <w:t>Y,</w:t>
      </w:r>
      <w:r>
        <w:rPr>
          <w:spacing w:val="-4"/>
          <w:sz w:val="17"/>
        </w:rPr>
        <w:t> </w:t>
      </w:r>
      <w:r>
        <w:rPr>
          <w:sz w:val="17"/>
        </w:rPr>
        <w:t>Pancrudo</w:t>
      </w:r>
      <w:r>
        <w:rPr>
          <w:spacing w:val="-4"/>
          <w:sz w:val="17"/>
        </w:rPr>
        <w:t> </w:t>
      </w:r>
      <w:r>
        <w:rPr>
          <w:sz w:val="17"/>
        </w:rPr>
        <w:t>J,</w:t>
      </w:r>
      <w:r>
        <w:rPr>
          <w:spacing w:val="-4"/>
          <w:sz w:val="17"/>
        </w:rPr>
        <w:t> </w:t>
      </w:r>
      <w:r>
        <w:rPr>
          <w:sz w:val="17"/>
        </w:rPr>
        <w:t>Harati</w:t>
      </w:r>
      <w:r>
        <w:rPr>
          <w:spacing w:val="-4"/>
          <w:sz w:val="17"/>
        </w:rPr>
        <w:t> </w:t>
      </w:r>
      <w:r>
        <w:rPr>
          <w:sz w:val="17"/>
        </w:rPr>
        <w:t>Y, Gooch C et al (2003) Clinical and genetic heterogeneity in progressive external ophthalmoplegia due to mutations in polymerase gamma. Arch Neurol 60(9):1279–1284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  <w:tab w:pos="356" w:val="left" w:leader="none"/>
        </w:tabs>
        <w:spacing w:line="244" w:lineRule="auto" w:before="0" w:after="0"/>
        <w:ind w:left="356" w:right="83" w:hanging="188"/>
        <w:jc w:val="both"/>
        <w:rPr>
          <w:sz w:val="17"/>
        </w:rPr>
      </w:pPr>
      <w:r>
        <w:rPr>
          <w:sz w:val="17"/>
        </w:rPr>
        <w:t>Luoma P, Melberg A, Rinne JO, Kaukonen JA, </w:t>
      </w:r>
      <w:r>
        <w:rPr>
          <w:sz w:val="17"/>
        </w:rPr>
        <w:t>Nupponen NN, Chalmers RM et al (2004) Parkinsonism, premature menopause, and mitochondrial DNA polymerase gamma mutations: clinical and molecular genetic study. Lancet </w:t>
      </w:r>
      <w:r>
        <w:rPr>
          <w:spacing w:val="-2"/>
          <w:sz w:val="17"/>
        </w:rPr>
        <w:t>364(9437):875–882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Van Goethem G, Luoma P, Rantamaki M, Al Memar </w:t>
      </w:r>
      <w:r>
        <w:rPr>
          <w:sz w:val="17"/>
        </w:rPr>
        <w:t>A, Kaakkola S, Hackman P et al (2004) POLG mutations in neurodegenerative disorders with ataxia but no muscle involvement. Neurology 63(7):1251–1257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Van Goethem G, Dermaut B, Lofgren A, Martin JJ, Van Broeckhoven C (2001) Mutation of POLG is </w:t>
      </w:r>
      <w:r>
        <w:rPr>
          <w:sz w:val="17"/>
        </w:rPr>
        <w:t>associated with</w:t>
      </w:r>
      <w:r>
        <w:rPr>
          <w:spacing w:val="-11"/>
          <w:sz w:val="17"/>
        </w:rPr>
        <w:t> </w:t>
      </w:r>
      <w:r>
        <w:rPr>
          <w:sz w:val="17"/>
        </w:rPr>
        <w:t>progressive</w:t>
      </w:r>
      <w:r>
        <w:rPr>
          <w:spacing w:val="-11"/>
          <w:sz w:val="17"/>
        </w:rPr>
        <w:t> </w:t>
      </w:r>
      <w:r>
        <w:rPr>
          <w:sz w:val="17"/>
        </w:rPr>
        <w:t>external</w:t>
      </w:r>
      <w:r>
        <w:rPr>
          <w:spacing w:val="-10"/>
          <w:sz w:val="17"/>
        </w:rPr>
        <w:t> </w:t>
      </w:r>
      <w:r>
        <w:rPr>
          <w:sz w:val="17"/>
        </w:rPr>
        <w:t>ophthalmoplegia</w:t>
      </w:r>
      <w:r>
        <w:rPr>
          <w:spacing w:val="-11"/>
          <w:sz w:val="17"/>
        </w:rPr>
        <w:t> </w:t>
      </w:r>
      <w:r>
        <w:rPr>
          <w:sz w:val="17"/>
        </w:rPr>
        <w:t>characterized</w:t>
      </w:r>
      <w:r>
        <w:rPr>
          <w:spacing w:val="-11"/>
          <w:sz w:val="17"/>
        </w:rPr>
        <w:t> </w:t>
      </w:r>
      <w:r>
        <w:rPr>
          <w:sz w:val="17"/>
        </w:rPr>
        <w:t>by mtDNA deletions. Nat Genet 28(3):211–212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Van</w:t>
      </w:r>
      <w:r>
        <w:rPr>
          <w:spacing w:val="-2"/>
          <w:sz w:val="17"/>
        </w:rPr>
        <w:t> </w:t>
      </w:r>
      <w:r>
        <w:rPr>
          <w:sz w:val="17"/>
        </w:rPr>
        <w:t>Goethem</w:t>
      </w:r>
      <w:r>
        <w:rPr>
          <w:spacing w:val="-1"/>
          <w:sz w:val="17"/>
        </w:rPr>
        <w:t> </w:t>
      </w:r>
      <w:r>
        <w:rPr>
          <w:sz w:val="17"/>
        </w:rPr>
        <w:t>G,</w:t>
      </w:r>
      <w:r>
        <w:rPr>
          <w:spacing w:val="-2"/>
          <w:sz w:val="17"/>
        </w:rPr>
        <w:t> </w:t>
      </w:r>
      <w:r>
        <w:rPr>
          <w:sz w:val="17"/>
        </w:rPr>
        <w:t>Martin</w:t>
      </w:r>
      <w:r>
        <w:rPr>
          <w:spacing w:val="-2"/>
          <w:sz w:val="17"/>
        </w:rPr>
        <w:t> </w:t>
      </w:r>
      <w:r>
        <w:rPr>
          <w:sz w:val="17"/>
        </w:rPr>
        <w:t>JJ,</w:t>
      </w:r>
      <w:r>
        <w:rPr>
          <w:spacing w:val="-2"/>
          <w:sz w:val="17"/>
        </w:rPr>
        <w:t> </w:t>
      </w:r>
      <w:r>
        <w:rPr>
          <w:sz w:val="17"/>
        </w:rPr>
        <w:t>Dermaut</w:t>
      </w:r>
      <w:r>
        <w:rPr>
          <w:spacing w:val="-1"/>
          <w:sz w:val="17"/>
        </w:rPr>
        <w:t> </w:t>
      </w:r>
      <w:r>
        <w:rPr>
          <w:sz w:val="17"/>
        </w:rPr>
        <w:t>B,</w:t>
      </w:r>
      <w:r>
        <w:rPr>
          <w:spacing w:val="-3"/>
          <w:sz w:val="17"/>
        </w:rPr>
        <w:t> </w:t>
      </w:r>
      <w:r>
        <w:rPr>
          <w:sz w:val="17"/>
        </w:rPr>
        <w:t>Lofgren</w:t>
      </w:r>
      <w:r>
        <w:rPr>
          <w:spacing w:val="-2"/>
          <w:sz w:val="17"/>
        </w:rPr>
        <w:t> </w:t>
      </w:r>
      <w:r>
        <w:rPr>
          <w:sz w:val="17"/>
        </w:rPr>
        <w:t>A,</w:t>
      </w:r>
      <w:r>
        <w:rPr>
          <w:spacing w:val="-2"/>
          <w:sz w:val="17"/>
        </w:rPr>
        <w:t> </w:t>
      </w:r>
      <w:r>
        <w:rPr>
          <w:sz w:val="17"/>
        </w:rPr>
        <w:t>Wibail A, Ververken D et al (2003) Recessive POLG mutations presenting</w:t>
      </w:r>
      <w:r>
        <w:rPr>
          <w:spacing w:val="-11"/>
          <w:sz w:val="17"/>
        </w:rPr>
        <w:t> </w:t>
      </w:r>
      <w:r>
        <w:rPr>
          <w:sz w:val="17"/>
        </w:rPr>
        <w:t>with</w:t>
      </w:r>
      <w:r>
        <w:rPr>
          <w:spacing w:val="-11"/>
          <w:sz w:val="17"/>
        </w:rPr>
        <w:t> </w:t>
      </w:r>
      <w:r>
        <w:rPr>
          <w:sz w:val="17"/>
        </w:rPr>
        <w:t>sensory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ataxic</w:t>
      </w:r>
      <w:r>
        <w:rPr>
          <w:spacing w:val="-11"/>
          <w:sz w:val="17"/>
        </w:rPr>
        <w:t> </w:t>
      </w:r>
      <w:r>
        <w:rPr>
          <w:sz w:val="17"/>
        </w:rPr>
        <w:t>neuropathy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compound heterozygote patients</w:t>
      </w:r>
      <w:r>
        <w:rPr>
          <w:sz w:val="17"/>
        </w:rPr>
        <w:t> with progressive external ophthal- moplegia. Neuromuscul Disord 13(2):133–142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Lamantea E, Tiranti V, Bordoni A, Toscano A, Bono </w:t>
      </w:r>
      <w:r>
        <w:rPr>
          <w:sz w:val="17"/>
        </w:rPr>
        <w:t>F, Servidei S et al (2002) Mutations of mitochondrial DNA polymerase gammaA are a frequent cause of autosomal dominant or recessive progressive external ophthalmople- gia. Ann Neurol 52(2):211–219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7" w:hanging="271"/>
        <w:jc w:val="both"/>
        <w:rPr>
          <w:sz w:val="17"/>
        </w:rPr>
      </w:pPr>
      <w:r>
        <w:rPr>
          <w:sz w:val="17"/>
        </w:rPr>
        <w:t>Saneto</w:t>
      </w:r>
      <w:r>
        <w:rPr>
          <w:spacing w:val="-2"/>
          <w:sz w:val="17"/>
        </w:rPr>
        <w:t> </w:t>
      </w:r>
      <w:r>
        <w:rPr>
          <w:sz w:val="17"/>
        </w:rPr>
        <w:t>RP,</w:t>
      </w:r>
      <w:r>
        <w:rPr>
          <w:spacing w:val="-2"/>
          <w:sz w:val="17"/>
        </w:rPr>
        <w:t> </w:t>
      </w:r>
      <w:r>
        <w:rPr>
          <w:sz w:val="17"/>
        </w:rPr>
        <w:t>Cohen</w:t>
      </w:r>
      <w:r>
        <w:rPr>
          <w:spacing w:val="-2"/>
          <w:sz w:val="17"/>
        </w:rPr>
        <w:t> </w:t>
      </w:r>
      <w:r>
        <w:rPr>
          <w:sz w:val="17"/>
        </w:rPr>
        <w:t>BH,</w:t>
      </w:r>
      <w:r>
        <w:rPr>
          <w:spacing w:val="-2"/>
          <w:sz w:val="17"/>
        </w:rPr>
        <w:t> </w:t>
      </w:r>
      <w:r>
        <w:rPr>
          <w:sz w:val="17"/>
        </w:rPr>
        <w:t>Copeland</w:t>
      </w:r>
      <w:r>
        <w:rPr>
          <w:spacing w:val="-2"/>
          <w:sz w:val="17"/>
        </w:rPr>
        <w:t> </w:t>
      </w:r>
      <w:r>
        <w:rPr>
          <w:sz w:val="17"/>
        </w:rPr>
        <w:t>WC,</w:t>
      </w:r>
      <w:r>
        <w:rPr>
          <w:spacing w:val="-2"/>
          <w:sz w:val="17"/>
        </w:rPr>
        <w:t> </w:t>
      </w:r>
      <w:r>
        <w:rPr>
          <w:sz w:val="17"/>
        </w:rPr>
        <w:t>Naviaux</w:t>
      </w:r>
      <w:r>
        <w:rPr>
          <w:spacing w:val="-2"/>
          <w:sz w:val="17"/>
        </w:rPr>
        <w:t> </w:t>
      </w:r>
      <w:r>
        <w:rPr>
          <w:sz w:val="17"/>
        </w:rPr>
        <w:t>RK</w:t>
      </w:r>
      <w:r>
        <w:rPr>
          <w:spacing w:val="-2"/>
          <w:sz w:val="17"/>
        </w:rPr>
        <w:t> </w:t>
      </w:r>
      <w:r>
        <w:rPr>
          <w:sz w:val="17"/>
        </w:rPr>
        <w:t>(2013) </w:t>
      </w:r>
      <w:r>
        <w:rPr>
          <w:spacing w:val="-4"/>
          <w:sz w:val="17"/>
        </w:rPr>
        <w:t>Alpers–Huttenlocher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syndrome.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Pediatr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Neurol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48(3):167–178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Harding BN (1990) Progressive neuronal degeneration </w:t>
      </w:r>
      <w:r>
        <w:rPr>
          <w:sz w:val="17"/>
        </w:rPr>
        <w:t>of childhood with liver disease (Alpers–Huttenlocher syn- drome): a personal review. J Child Neurol 5(4):273–287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Worle H, Kohler B, Schlote W, Winkler P, Bastanier </w:t>
      </w:r>
      <w:r>
        <w:rPr>
          <w:sz w:val="17"/>
        </w:rPr>
        <w:t>CK (1998)</w:t>
      </w:r>
      <w:r>
        <w:rPr>
          <w:spacing w:val="-8"/>
          <w:sz w:val="17"/>
        </w:rPr>
        <w:t> </w:t>
      </w:r>
      <w:r>
        <w:rPr>
          <w:sz w:val="17"/>
        </w:rPr>
        <w:t>Progressive</w:t>
      </w:r>
      <w:r>
        <w:rPr>
          <w:spacing w:val="-9"/>
          <w:sz w:val="17"/>
        </w:rPr>
        <w:t> </w:t>
      </w:r>
      <w:r>
        <w:rPr>
          <w:sz w:val="17"/>
        </w:rPr>
        <w:t>cerebral</w:t>
      </w:r>
      <w:r>
        <w:rPr>
          <w:spacing w:val="-8"/>
          <w:sz w:val="17"/>
        </w:rPr>
        <w:t> </w:t>
      </w:r>
      <w:r>
        <w:rPr>
          <w:sz w:val="17"/>
        </w:rPr>
        <w:t>degeneration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childhood</w:t>
      </w:r>
      <w:r>
        <w:rPr>
          <w:spacing w:val="-9"/>
          <w:sz w:val="17"/>
        </w:rPr>
        <w:t> </w:t>
      </w:r>
      <w:r>
        <w:rPr>
          <w:sz w:val="17"/>
        </w:rPr>
        <w:t>with liver disease (Alpers Huttenlocher disease) with cyto- chrome oxidase deficiency presenting with epilepsia par- tialis continua as the first clinical manifestation. Clin Neuropathol 17(2):63–68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Hakonen AH, Heiskanen S, Juvonen V, Lappalainen </w:t>
      </w:r>
      <w:r>
        <w:rPr>
          <w:sz w:val="17"/>
        </w:rPr>
        <w:t>I, Luoma PT, Rantamaki M et al (2005) Mitochondrial DNA polymerase W748S mutation: a common cause of autoso- mal recessive ataxia with ancient European origin. Am J Hum Genet 77(3):430–441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Di Fonzo A, Bordoni A, Crimi M, Sara G, Del Bo R, Bre- solin N et al (2003) POLG mutations in sporadic </w:t>
      </w:r>
      <w:r>
        <w:rPr>
          <w:sz w:val="17"/>
        </w:rPr>
        <w:t>mito- chondrial disorders with multiple mtDNA deletions. Hum Mutat 22(6):498–499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Audo I, Robson AG, Holder GE, Moore AT (2008) </w:t>
      </w:r>
      <w:r>
        <w:rPr>
          <w:sz w:val="17"/>
        </w:rPr>
        <w:t>The negative</w:t>
      </w:r>
      <w:r>
        <w:rPr>
          <w:spacing w:val="-11"/>
          <w:sz w:val="17"/>
        </w:rPr>
        <w:t> </w:t>
      </w:r>
      <w:r>
        <w:rPr>
          <w:sz w:val="17"/>
        </w:rPr>
        <w:t>ERG:</w:t>
      </w:r>
      <w:r>
        <w:rPr>
          <w:spacing w:val="-11"/>
          <w:sz w:val="17"/>
        </w:rPr>
        <w:t> </w:t>
      </w:r>
      <w:r>
        <w:rPr>
          <w:sz w:val="17"/>
        </w:rPr>
        <w:t>clinical</w:t>
      </w:r>
      <w:r>
        <w:rPr>
          <w:spacing w:val="-10"/>
          <w:sz w:val="17"/>
        </w:rPr>
        <w:t> </w:t>
      </w:r>
      <w:r>
        <w:rPr>
          <w:sz w:val="17"/>
        </w:rPr>
        <w:t>phenotypes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disease</w:t>
      </w:r>
      <w:r>
        <w:rPr>
          <w:spacing w:val="-10"/>
          <w:sz w:val="17"/>
        </w:rPr>
        <w:t> </w:t>
      </w:r>
      <w:r>
        <w:rPr>
          <w:sz w:val="17"/>
        </w:rPr>
        <w:t>mechanisms of</w:t>
      </w:r>
      <w:r>
        <w:rPr>
          <w:spacing w:val="-1"/>
          <w:sz w:val="17"/>
        </w:rPr>
        <w:t> </w:t>
      </w:r>
      <w:r>
        <w:rPr>
          <w:sz w:val="17"/>
        </w:rPr>
        <w:t>inner retinal dysfunction. Surv Ophthalmol</w:t>
      </w:r>
      <w:r>
        <w:rPr>
          <w:spacing w:val="-1"/>
          <w:sz w:val="17"/>
        </w:rPr>
        <w:t> </w:t>
      </w:r>
      <w:r>
        <w:rPr>
          <w:sz w:val="17"/>
        </w:rPr>
        <w:t>53(1):16–40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Nguyen</w:t>
      </w:r>
      <w:r>
        <w:rPr>
          <w:spacing w:val="-2"/>
          <w:sz w:val="17"/>
        </w:rPr>
        <w:t> </w:t>
      </w:r>
      <w:r>
        <w:rPr>
          <w:sz w:val="17"/>
        </w:rPr>
        <w:t>KV,</w:t>
      </w:r>
      <w:r>
        <w:rPr>
          <w:spacing w:val="-4"/>
          <w:sz w:val="17"/>
        </w:rPr>
        <w:t> </w:t>
      </w:r>
      <w:r>
        <w:rPr>
          <w:sz w:val="17"/>
        </w:rPr>
        <w:t>Sharief</w:t>
      </w:r>
      <w:r>
        <w:rPr>
          <w:spacing w:val="-2"/>
          <w:sz w:val="17"/>
        </w:rPr>
        <w:t> </w:t>
      </w:r>
      <w:r>
        <w:rPr>
          <w:sz w:val="17"/>
        </w:rPr>
        <w:t>FS,</w:t>
      </w:r>
      <w:r>
        <w:rPr>
          <w:spacing w:val="-4"/>
          <w:sz w:val="17"/>
        </w:rPr>
        <w:t> </w:t>
      </w:r>
      <w:r>
        <w:rPr>
          <w:sz w:val="17"/>
        </w:rPr>
        <w:t>Chan</w:t>
      </w:r>
      <w:r>
        <w:rPr>
          <w:spacing w:val="-2"/>
          <w:sz w:val="17"/>
        </w:rPr>
        <w:t> </w:t>
      </w:r>
      <w:r>
        <w:rPr>
          <w:sz w:val="17"/>
        </w:rPr>
        <w:t>SS,</w:t>
      </w:r>
      <w:r>
        <w:rPr>
          <w:spacing w:val="-3"/>
          <w:sz w:val="17"/>
        </w:rPr>
        <w:t> </w:t>
      </w:r>
      <w:r>
        <w:rPr>
          <w:sz w:val="17"/>
        </w:rPr>
        <w:t>Copeland</w:t>
      </w:r>
      <w:r>
        <w:rPr>
          <w:spacing w:val="-2"/>
          <w:sz w:val="17"/>
        </w:rPr>
        <w:t> </w:t>
      </w:r>
      <w:r>
        <w:rPr>
          <w:sz w:val="17"/>
        </w:rPr>
        <w:t>WC,</w:t>
      </w:r>
      <w:r>
        <w:rPr>
          <w:spacing w:val="-3"/>
          <w:sz w:val="17"/>
        </w:rPr>
        <w:t> </w:t>
      </w:r>
      <w:r>
        <w:rPr>
          <w:sz w:val="17"/>
        </w:rPr>
        <w:t>Naviaux RK</w:t>
      </w:r>
      <w:r>
        <w:rPr>
          <w:spacing w:val="67"/>
          <w:sz w:val="17"/>
        </w:rPr>
        <w:t> </w:t>
      </w:r>
      <w:r>
        <w:rPr>
          <w:sz w:val="17"/>
        </w:rPr>
        <w:t>(2006)</w:t>
      </w:r>
      <w:r>
        <w:rPr>
          <w:spacing w:val="68"/>
          <w:sz w:val="17"/>
        </w:rPr>
        <w:t> </w:t>
      </w:r>
      <w:r>
        <w:rPr>
          <w:sz w:val="17"/>
        </w:rPr>
        <w:t>Molecular</w:t>
      </w:r>
      <w:r>
        <w:rPr>
          <w:spacing w:val="67"/>
          <w:sz w:val="17"/>
        </w:rPr>
        <w:t> </w:t>
      </w:r>
      <w:r>
        <w:rPr>
          <w:sz w:val="17"/>
        </w:rPr>
        <w:t>diagnosis</w:t>
      </w:r>
      <w:r>
        <w:rPr>
          <w:spacing w:val="67"/>
          <w:sz w:val="17"/>
        </w:rPr>
        <w:t> </w:t>
      </w:r>
      <w:r>
        <w:rPr>
          <w:sz w:val="17"/>
        </w:rPr>
        <w:t>of</w:t>
      </w:r>
      <w:r>
        <w:rPr>
          <w:spacing w:val="67"/>
          <w:sz w:val="17"/>
        </w:rPr>
        <w:t> </w:t>
      </w:r>
      <w:r>
        <w:rPr>
          <w:sz w:val="17"/>
        </w:rPr>
        <w:t>Alpers</w:t>
      </w:r>
      <w:r>
        <w:rPr>
          <w:spacing w:val="68"/>
          <w:sz w:val="17"/>
        </w:rPr>
        <w:t> </w:t>
      </w:r>
      <w:r>
        <w:rPr>
          <w:sz w:val="17"/>
        </w:rPr>
        <w:t>syndrome. J Hepatol 45(1):108–116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Boyd SG, Harden A, Egger J, Pampiglione G (1986) </w:t>
      </w:r>
      <w:r>
        <w:rPr>
          <w:sz w:val="17"/>
        </w:rPr>
        <w:t>Pro- gressive neuronal degeneration of childhood with liver disease (‘‘Alpers’ disease’’): characteristic neurophysio- logical features. Neuropediatrics 17(2):75–80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4" w:lineRule="auto" w:before="0" w:after="0"/>
        <w:ind w:left="356" w:right="83" w:hanging="271"/>
        <w:jc w:val="both"/>
        <w:rPr>
          <w:sz w:val="17"/>
        </w:rPr>
      </w:pPr>
      <w:r>
        <w:rPr>
          <w:sz w:val="17"/>
        </w:rPr>
        <w:t>Marmor MF, Holder GE, Seeliger MW, Yamamoto </w:t>
      </w:r>
      <w:r>
        <w:rPr>
          <w:sz w:val="17"/>
        </w:rPr>
        <w:t>S, International</w:t>
      </w:r>
      <w:r>
        <w:rPr>
          <w:spacing w:val="20"/>
          <w:sz w:val="17"/>
        </w:rPr>
        <w:t> </w:t>
      </w:r>
      <w:r>
        <w:rPr>
          <w:sz w:val="17"/>
        </w:rPr>
        <w:t>Society</w:t>
      </w:r>
      <w:r>
        <w:rPr>
          <w:spacing w:val="19"/>
          <w:sz w:val="17"/>
        </w:rPr>
        <w:t> </w:t>
      </w:r>
      <w:r>
        <w:rPr>
          <w:sz w:val="17"/>
        </w:rPr>
        <w:t>for</w:t>
      </w:r>
      <w:r>
        <w:rPr>
          <w:spacing w:val="19"/>
          <w:sz w:val="17"/>
        </w:rPr>
        <w:t> </w:t>
      </w:r>
      <w:r>
        <w:rPr>
          <w:sz w:val="17"/>
        </w:rPr>
        <w:t>Clinical</w:t>
      </w:r>
      <w:r>
        <w:rPr>
          <w:spacing w:val="19"/>
          <w:sz w:val="17"/>
        </w:rPr>
        <w:t> </w:t>
      </w:r>
      <w:r>
        <w:rPr>
          <w:sz w:val="17"/>
        </w:rPr>
        <w:t>Electrophysiology</w:t>
      </w:r>
      <w:r>
        <w:rPr>
          <w:spacing w:val="21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V</w:t>
      </w:r>
    </w:p>
    <w:p>
      <w:pPr>
        <w:pStyle w:val="ListParagraph"/>
        <w:spacing w:after="0" w:line="244" w:lineRule="auto"/>
        <w:jc w:val="both"/>
        <w:rPr>
          <w:sz w:val="17"/>
        </w:rPr>
        <w:sectPr>
          <w:type w:val="continuous"/>
          <w:pgSz w:w="10950" w:h="14750"/>
          <w:pgMar w:header="668" w:footer="916" w:top="820" w:bottom="1100" w:left="850" w:right="850"/>
          <w:cols w:num="2" w:equalWidth="0">
            <w:col w:w="4435" w:space="334"/>
            <w:col w:w="4481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0950" w:h="14750"/>
          <w:pgMar w:header="668" w:footer="916" w:top="920" w:bottom="1100" w:left="850" w:right="850"/>
        </w:sectPr>
      </w:pPr>
    </w:p>
    <w:p>
      <w:pPr>
        <w:spacing w:line="244" w:lineRule="auto" w:before="73"/>
        <w:ind w:left="363" w:right="39" w:firstLine="0"/>
        <w:jc w:val="both"/>
        <w:rPr>
          <w:sz w:val="17"/>
        </w:rPr>
      </w:pPr>
      <w:bookmarkStart w:name="_bookmark19" w:id="35"/>
      <w:bookmarkEnd w:id="35"/>
      <w:r>
        <w:rPr/>
      </w:r>
      <w:bookmarkStart w:name="_bookmark20" w:id="36"/>
      <w:bookmarkEnd w:id="36"/>
      <w:r>
        <w:rPr/>
      </w:r>
      <w:r>
        <w:rPr>
          <w:sz w:val="17"/>
        </w:rPr>
        <w:t>(2004) Standard for clinical electroretinography </w:t>
      </w:r>
      <w:r>
        <w:rPr>
          <w:sz w:val="17"/>
        </w:rPr>
        <w:t>(2004 update). Doc Ophthalmol 108(2):107–114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r>
        <w:rPr>
          <w:sz w:val="17"/>
        </w:rPr>
        <w:t>McCulloch DL, Marmor MF, Brigell MG, Hamilton </w:t>
      </w:r>
      <w:r>
        <w:rPr>
          <w:sz w:val="17"/>
        </w:rPr>
        <w:t>R, </w:t>
      </w:r>
      <w:bookmarkStart w:name="_bookmark22" w:id="37"/>
      <w:bookmarkEnd w:id="37"/>
      <w:r>
        <w:rPr>
          <w:sz w:val="17"/>
        </w:rPr>
        <w:t>Holder</w:t>
      </w:r>
      <w:r>
        <w:rPr>
          <w:spacing w:val="-6"/>
          <w:sz w:val="17"/>
        </w:rPr>
        <w:t> </w:t>
      </w:r>
      <w:r>
        <w:rPr>
          <w:sz w:val="17"/>
        </w:rPr>
        <w:t>GE,</w:t>
      </w:r>
      <w:r>
        <w:rPr>
          <w:spacing w:val="-6"/>
          <w:sz w:val="17"/>
        </w:rPr>
        <w:t> </w:t>
      </w:r>
      <w:r>
        <w:rPr>
          <w:sz w:val="17"/>
        </w:rPr>
        <w:t>Tzekov</w:t>
      </w:r>
      <w:r>
        <w:rPr>
          <w:spacing w:val="-5"/>
          <w:sz w:val="17"/>
        </w:rPr>
        <w:t> </w:t>
      </w:r>
      <w:r>
        <w:rPr>
          <w:sz w:val="17"/>
        </w:rPr>
        <w:t>R</w:t>
      </w:r>
      <w:r>
        <w:rPr>
          <w:spacing w:val="-7"/>
          <w:sz w:val="17"/>
        </w:rPr>
        <w:t> </w:t>
      </w:r>
      <w:r>
        <w:rPr>
          <w:sz w:val="17"/>
        </w:rPr>
        <w:t>et</w:t>
      </w:r>
      <w:r>
        <w:rPr>
          <w:spacing w:val="-6"/>
          <w:sz w:val="17"/>
        </w:rPr>
        <w:t> </w:t>
      </w:r>
      <w:r>
        <w:rPr>
          <w:sz w:val="17"/>
        </w:rPr>
        <w:t>al</w:t>
      </w:r>
      <w:r>
        <w:rPr>
          <w:spacing w:val="-7"/>
          <w:sz w:val="17"/>
        </w:rPr>
        <w:t> </w:t>
      </w:r>
      <w:r>
        <w:rPr>
          <w:sz w:val="17"/>
        </w:rPr>
        <w:t>(2015)</w:t>
      </w:r>
      <w:r>
        <w:rPr>
          <w:spacing w:val="-6"/>
          <w:sz w:val="17"/>
        </w:rPr>
        <w:t> </w:t>
      </w:r>
      <w:r>
        <w:rPr>
          <w:sz w:val="17"/>
        </w:rPr>
        <w:t>ISCEV</w:t>
      </w:r>
      <w:r>
        <w:rPr>
          <w:spacing w:val="-6"/>
          <w:sz w:val="17"/>
        </w:rPr>
        <w:t> </w:t>
      </w:r>
      <w:r>
        <w:rPr>
          <w:sz w:val="17"/>
        </w:rPr>
        <w:t>standard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full- </w:t>
      </w:r>
      <w:bookmarkStart w:name="_bookmark21" w:id="38"/>
      <w:bookmarkEnd w:id="38"/>
      <w:r>
        <w:rPr>
          <w:sz w:val="17"/>
        </w:rPr>
        <w:t>field</w:t>
      </w:r>
      <w:r>
        <w:rPr>
          <w:sz w:val="17"/>
        </w:rPr>
        <w:t> clinical electroretinography (2015 update). Doc Oph- thalmol 130(1):1–12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r>
        <w:rPr>
          <w:sz w:val="17"/>
        </w:rPr>
        <w:t>Hanisch F, Kornhuber M, Alston CL, Taylor </w:t>
      </w:r>
      <w:r>
        <w:rPr>
          <w:sz w:val="17"/>
        </w:rPr>
        <w:t>RW, Deschauer</w:t>
      </w:r>
      <w:r>
        <w:rPr>
          <w:spacing w:val="-11"/>
          <w:sz w:val="17"/>
        </w:rPr>
        <w:t> </w:t>
      </w:r>
      <w:r>
        <w:rPr>
          <w:sz w:val="17"/>
        </w:rPr>
        <w:t>M,</w:t>
      </w:r>
      <w:r>
        <w:rPr>
          <w:spacing w:val="-11"/>
          <w:sz w:val="17"/>
        </w:rPr>
        <w:t> </w:t>
      </w:r>
      <w:r>
        <w:rPr>
          <w:sz w:val="17"/>
        </w:rPr>
        <w:t>Zierz</w:t>
      </w:r>
      <w:r>
        <w:rPr>
          <w:spacing w:val="-10"/>
          <w:sz w:val="17"/>
        </w:rPr>
        <w:t> </w:t>
      </w:r>
      <w:r>
        <w:rPr>
          <w:sz w:val="17"/>
        </w:rPr>
        <w:t>S</w:t>
      </w:r>
      <w:r>
        <w:rPr>
          <w:spacing w:val="-11"/>
          <w:sz w:val="17"/>
        </w:rPr>
        <w:t> </w:t>
      </w:r>
      <w:r>
        <w:rPr>
          <w:sz w:val="17"/>
        </w:rPr>
        <w:t>(2015)</w:t>
      </w:r>
      <w:r>
        <w:rPr>
          <w:spacing w:val="-11"/>
          <w:sz w:val="17"/>
        </w:rPr>
        <w:t> </w:t>
      </w:r>
      <w:r>
        <w:rPr>
          <w:sz w:val="17"/>
        </w:rPr>
        <w:t>SANDO</w:t>
      </w:r>
      <w:r>
        <w:rPr>
          <w:spacing w:val="-10"/>
          <w:sz w:val="17"/>
        </w:rPr>
        <w:t> </w:t>
      </w:r>
      <w:r>
        <w:rPr>
          <w:sz w:val="17"/>
        </w:rPr>
        <w:t>syndrome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a</w:t>
      </w:r>
      <w:r>
        <w:rPr>
          <w:spacing w:val="-11"/>
          <w:sz w:val="17"/>
        </w:rPr>
        <w:t> </w:t>
      </w:r>
      <w:r>
        <w:rPr>
          <w:sz w:val="17"/>
        </w:rPr>
        <w:t>cohort </w:t>
      </w:r>
      <w:bookmarkStart w:name="_bookmark23" w:id="39"/>
      <w:bookmarkEnd w:id="39"/>
      <w:r>
        <w:rPr>
          <w:sz w:val="17"/>
        </w:rPr>
        <w:t>of</w:t>
      </w:r>
      <w:r>
        <w:rPr>
          <w:sz w:val="17"/>
        </w:rPr>
        <w:t> 107 patients with CPEO and mitochondrial DNA dele- tions. J Neurol Neurosurg Psychiatry 86(6):630–634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r>
        <w:rPr>
          <w:sz w:val="17"/>
        </w:rPr>
        <w:t>Wong</w:t>
      </w:r>
      <w:r>
        <w:rPr>
          <w:spacing w:val="-11"/>
          <w:sz w:val="17"/>
        </w:rPr>
        <w:t> </w:t>
      </w:r>
      <w:r>
        <w:rPr>
          <w:sz w:val="17"/>
        </w:rPr>
        <w:t>LJ,</w:t>
      </w:r>
      <w:r>
        <w:rPr>
          <w:spacing w:val="-11"/>
          <w:sz w:val="17"/>
        </w:rPr>
        <w:t> </w:t>
      </w:r>
      <w:r>
        <w:rPr>
          <w:sz w:val="17"/>
        </w:rPr>
        <w:t>Naviaux</w:t>
      </w:r>
      <w:r>
        <w:rPr>
          <w:spacing w:val="-10"/>
          <w:sz w:val="17"/>
        </w:rPr>
        <w:t> </w:t>
      </w:r>
      <w:r>
        <w:rPr>
          <w:sz w:val="17"/>
        </w:rPr>
        <w:t>RK,</w:t>
      </w:r>
      <w:r>
        <w:rPr>
          <w:spacing w:val="-11"/>
          <w:sz w:val="17"/>
        </w:rPr>
        <w:t> </w:t>
      </w:r>
      <w:r>
        <w:rPr>
          <w:sz w:val="17"/>
        </w:rPr>
        <w:t>Brunetti-Pierri</w:t>
      </w:r>
      <w:r>
        <w:rPr>
          <w:spacing w:val="-11"/>
          <w:sz w:val="17"/>
        </w:rPr>
        <w:t> </w:t>
      </w:r>
      <w:r>
        <w:rPr>
          <w:sz w:val="17"/>
        </w:rPr>
        <w:t>N,</w:t>
      </w:r>
      <w:r>
        <w:rPr>
          <w:spacing w:val="-10"/>
          <w:sz w:val="17"/>
        </w:rPr>
        <w:t> </w:t>
      </w:r>
      <w:r>
        <w:rPr>
          <w:sz w:val="17"/>
        </w:rPr>
        <w:t>Zhang</w:t>
      </w:r>
      <w:r>
        <w:rPr>
          <w:spacing w:val="-11"/>
          <w:sz w:val="17"/>
        </w:rPr>
        <w:t> </w:t>
      </w:r>
      <w:r>
        <w:rPr>
          <w:sz w:val="17"/>
        </w:rPr>
        <w:t>Q,</w:t>
      </w:r>
      <w:r>
        <w:rPr>
          <w:spacing w:val="-10"/>
          <w:sz w:val="17"/>
        </w:rPr>
        <w:t> </w:t>
      </w:r>
      <w:r>
        <w:rPr>
          <w:sz w:val="17"/>
        </w:rPr>
        <w:t>Schmitt ES,</w:t>
      </w:r>
      <w:r>
        <w:rPr>
          <w:spacing w:val="-11"/>
          <w:sz w:val="17"/>
        </w:rPr>
        <w:t> </w:t>
      </w:r>
      <w:r>
        <w:rPr>
          <w:sz w:val="17"/>
        </w:rPr>
        <w:t>Truong</w:t>
      </w:r>
      <w:r>
        <w:rPr>
          <w:spacing w:val="-11"/>
          <w:sz w:val="17"/>
        </w:rPr>
        <w:t> </w:t>
      </w:r>
      <w:r>
        <w:rPr>
          <w:sz w:val="17"/>
        </w:rPr>
        <w:t>C</w:t>
      </w:r>
      <w:r>
        <w:rPr>
          <w:spacing w:val="-10"/>
          <w:sz w:val="17"/>
        </w:rPr>
        <w:t> </w:t>
      </w:r>
      <w:r>
        <w:rPr>
          <w:sz w:val="17"/>
        </w:rPr>
        <w:t>et</w:t>
      </w:r>
      <w:r>
        <w:rPr>
          <w:spacing w:val="-11"/>
          <w:sz w:val="17"/>
        </w:rPr>
        <w:t> </w:t>
      </w:r>
      <w:r>
        <w:rPr>
          <w:sz w:val="17"/>
        </w:rPr>
        <w:t>al</w:t>
      </w:r>
      <w:r>
        <w:rPr>
          <w:spacing w:val="-11"/>
          <w:sz w:val="17"/>
        </w:rPr>
        <w:t> </w:t>
      </w:r>
      <w:r>
        <w:rPr>
          <w:sz w:val="17"/>
        </w:rPr>
        <w:t>(2008)</w:t>
      </w:r>
      <w:r>
        <w:rPr>
          <w:spacing w:val="-10"/>
          <w:sz w:val="17"/>
        </w:rPr>
        <w:t> </w:t>
      </w:r>
      <w:r>
        <w:rPr>
          <w:sz w:val="17"/>
        </w:rPr>
        <w:t>Molecular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clinical</w:t>
      </w:r>
      <w:r>
        <w:rPr>
          <w:spacing w:val="-11"/>
          <w:sz w:val="17"/>
        </w:rPr>
        <w:t> </w:t>
      </w:r>
      <w:r>
        <w:rPr>
          <w:sz w:val="17"/>
        </w:rPr>
        <w:t>genetics</w:t>
      </w:r>
      <w:r>
        <w:rPr>
          <w:spacing w:val="-11"/>
          <w:sz w:val="17"/>
        </w:rPr>
        <w:t> </w:t>
      </w:r>
      <w:r>
        <w:rPr>
          <w:sz w:val="17"/>
        </w:rPr>
        <w:t>of </w:t>
      </w:r>
      <w:bookmarkStart w:name="_bookmark24" w:id="40"/>
      <w:bookmarkEnd w:id="40"/>
      <w:r>
        <w:rPr>
          <w:sz w:val="17"/>
        </w:rPr>
        <w:t>mitochondrial</w:t>
      </w:r>
      <w:r>
        <w:rPr>
          <w:spacing w:val="-11"/>
          <w:sz w:val="17"/>
        </w:rPr>
        <w:t> </w:t>
      </w:r>
      <w:r>
        <w:rPr>
          <w:sz w:val="17"/>
        </w:rPr>
        <w:t>diseases</w:t>
      </w:r>
      <w:r>
        <w:rPr>
          <w:spacing w:val="-11"/>
          <w:sz w:val="17"/>
        </w:rPr>
        <w:t> </w:t>
      </w:r>
      <w:r>
        <w:rPr>
          <w:sz w:val="17"/>
        </w:rPr>
        <w:t>due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-11"/>
          <w:sz w:val="17"/>
        </w:rPr>
        <w:t> </w:t>
      </w:r>
      <w:r>
        <w:rPr>
          <w:sz w:val="17"/>
        </w:rPr>
        <w:t>POLG</w:t>
      </w:r>
      <w:r>
        <w:rPr>
          <w:spacing w:val="-11"/>
          <w:sz w:val="17"/>
        </w:rPr>
        <w:t> </w:t>
      </w:r>
      <w:r>
        <w:rPr>
          <w:sz w:val="17"/>
        </w:rPr>
        <w:t>mutations.</w:t>
      </w:r>
      <w:r>
        <w:rPr>
          <w:spacing w:val="-10"/>
          <w:sz w:val="17"/>
        </w:rPr>
        <w:t> </w:t>
      </w:r>
      <w:r>
        <w:rPr>
          <w:sz w:val="17"/>
        </w:rPr>
        <w:t>Hum</w:t>
      </w:r>
      <w:r>
        <w:rPr>
          <w:spacing w:val="-11"/>
          <w:sz w:val="17"/>
        </w:rPr>
        <w:t> </w:t>
      </w:r>
      <w:r>
        <w:rPr>
          <w:sz w:val="17"/>
        </w:rPr>
        <w:t>Mutat </w:t>
      </w:r>
      <w:r>
        <w:rPr>
          <w:spacing w:val="-2"/>
          <w:sz w:val="17"/>
        </w:rPr>
        <w:t>29(9):E150–E172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9" w:hanging="271"/>
        <w:jc w:val="both"/>
        <w:rPr>
          <w:sz w:val="17"/>
        </w:rPr>
      </w:pPr>
      <w:bookmarkStart w:name="_bookmark25" w:id="41"/>
      <w:bookmarkEnd w:id="41"/>
      <w:r>
        <w:rPr/>
      </w:r>
      <w:r>
        <w:rPr>
          <w:sz w:val="17"/>
        </w:rPr>
        <w:t>Finsterer J, Zarrouk MS (2012) Epilepsy in </w:t>
      </w:r>
      <w:r>
        <w:rPr>
          <w:sz w:val="17"/>
        </w:rPr>
        <w:t>mitochondrial disorders. Seizure 21(5):316–321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9" w:hanging="271"/>
        <w:jc w:val="both"/>
        <w:rPr>
          <w:sz w:val="17"/>
        </w:rPr>
      </w:pPr>
      <w:r>
        <w:rPr>
          <w:sz w:val="17"/>
        </w:rPr>
        <w:t>Fadic R, Russell JA, Vedanarayanan VV, Lehar M, </w:t>
      </w:r>
      <w:r>
        <w:rPr>
          <w:sz w:val="17"/>
        </w:rPr>
        <w:t>Kuncl </w:t>
      </w:r>
      <w:bookmarkStart w:name="_bookmark26" w:id="42"/>
      <w:bookmarkEnd w:id="42"/>
      <w:r>
        <w:rPr>
          <w:sz w:val="17"/>
        </w:rPr>
        <w:t>RW,</w:t>
      </w:r>
      <w:r>
        <w:rPr>
          <w:sz w:val="17"/>
        </w:rPr>
        <w:t> Johns DR (1997) Sensory ataxic neuropathy as the presenting feature of a novel mitochondrial disease. Neu- rology 49(1):239–245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9" w:hanging="271"/>
        <w:jc w:val="both"/>
        <w:rPr>
          <w:sz w:val="17"/>
        </w:rPr>
      </w:pPr>
      <w:r>
        <w:rPr>
          <w:sz w:val="17"/>
        </w:rPr>
        <w:t>Young</w:t>
      </w:r>
      <w:r>
        <w:rPr>
          <w:spacing w:val="-5"/>
          <w:sz w:val="17"/>
        </w:rPr>
        <w:t> </w:t>
      </w:r>
      <w:r>
        <w:rPr>
          <w:sz w:val="17"/>
        </w:rPr>
        <w:t>MJ,</w:t>
      </w:r>
      <w:r>
        <w:rPr>
          <w:spacing w:val="-5"/>
          <w:sz w:val="17"/>
        </w:rPr>
        <w:t> </w:t>
      </w:r>
      <w:r>
        <w:rPr>
          <w:sz w:val="17"/>
        </w:rPr>
        <w:t>Longley</w:t>
      </w:r>
      <w:r>
        <w:rPr>
          <w:spacing w:val="-5"/>
          <w:sz w:val="17"/>
        </w:rPr>
        <w:t> </w:t>
      </w:r>
      <w:r>
        <w:rPr>
          <w:sz w:val="17"/>
        </w:rPr>
        <w:t>MJ,</w:t>
      </w:r>
      <w:r>
        <w:rPr>
          <w:spacing w:val="-5"/>
          <w:sz w:val="17"/>
        </w:rPr>
        <w:t> </w:t>
      </w:r>
      <w:r>
        <w:rPr>
          <w:sz w:val="17"/>
        </w:rPr>
        <w:t>Li</w:t>
      </w:r>
      <w:r>
        <w:rPr>
          <w:spacing w:val="-6"/>
          <w:sz w:val="17"/>
        </w:rPr>
        <w:t> </w:t>
      </w:r>
      <w:r>
        <w:rPr>
          <w:sz w:val="17"/>
        </w:rPr>
        <w:t>FY,</w:t>
      </w:r>
      <w:r>
        <w:rPr>
          <w:spacing w:val="-5"/>
          <w:sz w:val="17"/>
        </w:rPr>
        <w:t> </w:t>
      </w:r>
      <w:r>
        <w:rPr>
          <w:sz w:val="17"/>
        </w:rPr>
        <w:t>Kasiviswanathan</w:t>
      </w:r>
      <w:r>
        <w:rPr>
          <w:spacing w:val="-4"/>
          <w:sz w:val="17"/>
        </w:rPr>
        <w:t> </w:t>
      </w:r>
      <w:r>
        <w:rPr>
          <w:sz w:val="17"/>
        </w:rPr>
        <w:t>R,</w:t>
      </w:r>
      <w:r>
        <w:rPr>
          <w:spacing w:val="-6"/>
          <w:sz w:val="17"/>
        </w:rPr>
        <w:t> </w:t>
      </w:r>
      <w:r>
        <w:rPr>
          <w:sz w:val="17"/>
        </w:rPr>
        <w:t>Wong </w:t>
      </w:r>
      <w:bookmarkStart w:name="_bookmark28" w:id="43"/>
      <w:bookmarkEnd w:id="43"/>
      <w:r>
        <w:rPr>
          <w:sz w:val="17"/>
        </w:rPr>
        <w:t>LJ,</w:t>
      </w:r>
      <w:r>
        <w:rPr>
          <w:sz w:val="17"/>
        </w:rPr>
        <w:t> Copeland WC (2011) Biochemical analysis of human </w:t>
      </w:r>
      <w:bookmarkStart w:name="_bookmark27" w:id="44"/>
      <w:bookmarkEnd w:id="44"/>
      <w:r>
        <w:rPr>
          <w:sz w:val="17"/>
        </w:rPr>
        <w:t>POLG2</w:t>
      </w:r>
      <w:r>
        <w:rPr>
          <w:sz w:val="17"/>
        </w:rPr>
        <w:t> variants associated with mitochondrial disease. Hum Mol Genet 20(15):3052–3066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bookmarkStart w:name="_bookmark29" w:id="45"/>
      <w:bookmarkEnd w:id="45"/>
      <w:r>
        <w:rPr/>
      </w:r>
      <w:r>
        <w:rPr>
          <w:sz w:val="17"/>
        </w:rPr>
        <w:t>Milone M, Massie R (2010) Polymerase gamma 1 </w:t>
      </w:r>
      <w:r>
        <w:rPr>
          <w:sz w:val="17"/>
        </w:rPr>
        <w:t>muta- tions: clinical correlations. Neurologist 16(2):84–91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9" w:hanging="271"/>
        <w:jc w:val="both"/>
        <w:rPr>
          <w:sz w:val="17"/>
        </w:rPr>
      </w:pPr>
      <w:bookmarkStart w:name="_bookmark31" w:id="46"/>
      <w:bookmarkEnd w:id="46"/>
      <w:r>
        <w:rPr/>
      </w:r>
      <w:r>
        <w:rPr>
          <w:sz w:val="17"/>
        </w:rPr>
        <w:t>Tzoulis C, Engelsen BA, Telstad W, Aasly J, Zeviani </w:t>
      </w:r>
      <w:r>
        <w:rPr>
          <w:sz w:val="17"/>
        </w:rPr>
        <w:t>M, Winterthun S et al (2006) The spectrum of clinical disease </w:t>
      </w:r>
      <w:bookmarkStart w:name="_bookmark30" w:id="47"/>
      <w:bookmarkEnd w:id="47"/>
      <w:r>
        <w:rPr>
          <w:sz w:val="17"/>
        </w:rPr>
        <w:t>caused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A467T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W748S</w:t>
      </w:r>
      <w:r>
        <w:rPr>
          <w:spacing w:val="-8"/>
          <w:sz w:val="17"/>
        </w:rPr>
        <w:t> </w:t>
      </w:r>
      <w:r>
        <w:rPr>
          <w:sz w:val="17"/>
        </w:rPr>
        <w:t>POLG</w:t>
      </w:r>
      <w:r>
        <w:rPr>
          <w:spacing w:val="-9"/>
          <w:sz w:val="17"/>
        </w:rPr>
        <w:t> </w:t>
      </w:r>
      <w:r>
        <w:rPr>
          <w:sz w:val="17"/>
        </w:rPr>
        <w:t>mutations: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9"/>
          <w:sz w:val="17"/>
        </w:rPr>
        <w:t> </w:t>
      </w:r>
      <w:r>
        <w:rPr>
          <w:sz w:val="17"/>
        </w:rPr>
        <w:t>study </w:t>
      </w:r>
      <w:bookmarkStart w:name="_bookmark32" w:id="48"/>
      <w:bookmarkEnd w:id="48"/>
      <w:r>
        <w:rPr>
          <w:sz w:val="17"/>
        </w:rPr>
        <w:t>of</w:t>
      </w:r>
      <w:r>
        <w:rPr>
          <w:sz w:val="17"/>
        </w:rPr>
        <w:t> 26 cases. Brain 129(Pt 7):1685–1692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r>
        <w:rPr>
          <w:sz w:val="17"/>
        </w:rPr>
        <w:t>Stumpf JD, Saneto RP, Copeland WC (2013) Clinical </w:t>
      </w:r>
      <w:r>
        <w:rPr>
          <w:sz w:val="17"/>
        </w:rPr>
        <w:t>and </w:t>
      </w:r>
      <w:bookmarkStart w:name="_bookmark33" w:id="49"/>
      <w:bookmarkEnd w:id="49"/>
      <w:r>
        <w:rPr>
          <w:sz w:val="17"/>
        </w:rPr>
        <w:t>molecular</w:t>
      </w:r>
      <w:r>
        <w:rPr>
          <w:spacing w:val="-6"/>
          <w:sz w:val="17"/>
        </w:rPr>
        <w:t> </w:t>
      </w:r>
      <w:r>
        <w:rPr>
          <w:sz w:val="17"/>
        </w:rPr>
        <w:t>features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POLG-related</w:t>
      </w:r>
      <w:r>
        <w:rPr>
          <w:spacing w:val="-6"/>
          <w:sz w:val="17"/>
        </w:rPr>
        <w:t> </w:t>
      </w:r>
      <w:r>
        <w:rPr>
          <w:sz w:val="17"/>
        </w:rPr>
        <w:t>mitochondrial</w:t>
      </w:r>
      <w:r>
        <w:rPr>
          <w:spacing w:val="-6"/>
          <w:sz w:val="17"/>
        </w:rPr>
        <w:t> </w:t>
      </w:r>
      <w:r>
        <w:rPr>
          <w:sz w:val="17"/>
        </w:rPr>
        <w:t>disease. Cold Spring Harb Perspect Biol 5(4):a011395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bookmarkStart w:name="_bookmark35" w:id="50"/>
      <w:bookmarkEnd w:id="50"/>
      <w:r>
        <w:rPr/>
      </w:r>
      <w:r>
        <w:rPr>
          <w:sz w:val="17"/>
        </w:rPr>
        <w:t>Pagnamenta AT, Taanman JW, Wilson CJ, Anderson </w:t>
      </w:r>
      <w:r>
        <w:rPr>
          <w:sz w:val="17"/>
        </w:rPr>
        <w:t>NE, Marotta</w:t>
      </w:r>
      <w:r>
        <w:rPr>
          <w:spacing w:val="-8"/>
          <w:sz w:val="17"/>
        </w:rPr>
        <w:t> </w:t>
      </w:r>
      <w:r>
        <w:rPr>
          <w:sz w:val="17"/>
        </w:rPr>
        <w:t>R,</w:t>
      </w:r>
      <w:r>
        <w:rPr>
          <w:spacing w:val="-9"/>
          <w:sz w:val="17"/>
        </w:rPr>
        <w:t> </w:t>
      </w:r>
      <w:r>
        <w:rPr>
          <w:sz w:val="17"/>
        </w:rPr>
        <w:t>Duncan</w:t>
      </w:r>
      <w:r>
        <w:rPr>
          <w:spacing w:val="-9"/>
          <w:sz w:val="17"/>
        </w:rPr>
        <w:t> </w:t>
      </w:r>
      <w:r>
        <w:rPr>
          <w:sz w:val="17"/>
        </w:rPr>
        <w:t>AJ</w:t>
      </w:r>
      <w:r>
        <w:rPr>
          <w:spacing w:val="-9"/>
          <w:sz w:val="17"/>
        </w:rPr>
        <w:t> </w:t>
      </w:r>
      <w:r>
        <w:rPr>
          <w:sz w:val="17"/>
        </w:rPr>
        <w:t>et</w:t>
      </w:r>
      <w:r>
        <w:rPr>
          <w:spacing w:val="-9"/>
          <w:sz w:val="17"/>
        </w:rPr>
        <w:t> </w:t>
      </w:r>
      <w:r>
        <w:rPr>
          <w:sz w:val="17"/>
        </w:rPr>
        <w:t>al</w:t>
      </w:r>
      <w:r>
        <w:rPr>
          <w:spacing w:val="-9"/>
          <w:sz w:val="17"/>
        </w:rPr>
        <w:t> </w:t>
      </w:r>
      <w:r>
        <w:rPr>
          <w:sz w:val="17"/>
        </w:rPr>
        <w:t>(2006)</w:t>
      </w:r>
      <w:r>
        <w:rPr>
          <w:spacing w:val="-10"/>
          <w:sz w:val="17"/>
        </w:rPr>
        <w:t> </w:t>
      </w:r>
      <w:r>
        <w:rPr>
          <w:sz w:val="17"/>
        </w:rPr>
        <w:t>Dominant</w:t>
      </w:r>
      <w:r>
        <w:rPr>
          <w:spacing w:val="-9"/>
          <w:sz w:val="17"/>
        </w:rPr>
        <w:t> </w:t>
      </w:r>
      <w:r>
        <w:rPr>
          <w:sz w:val="17"/>
        </w:rPr>
        <w:t>inheritance</w:t>
      </w:r>
      <w:r>
        <w:rPr>
          <w:spacing w:val="-8"/>
          <w:sz w:val="17"/>
        </w:rPr>
        <w:t> </w:t>
      </w:r>
      <w:r>
        <w:rPr>
          <w:sz w:val="17"/>
        </w:rPr>
        <w:t>of premature ovarian failure associated with mutant mito- </w:t>
      </w:r>
      <w:bookmarkStart w:name="_bookmark34" w:id="51"/>
      <w:bookmarkEnd w:id="51"/>
      <w:r>
        <w:rPr>
          <w:sz w:val="17"/>
        </w:rPr>
        <w:t>chondrial</w:t>
      </w:r>
      <w:r>
        <w:rPr>
          <w:sz w:val="17"/>
        </w:rPr>
        <w:t> DNA polymerase gamma. Hum Reprod </w:t>
      </w:r>
      <w:r>
        <w:rPr>
          <w:spacing w:val="-2"/>
          <w:sz w:val="17"/>
        </w:rPr>
        <w:t>21(10):2467–2473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8" w:hanging="271"/>
        <w:jc w:val="both"/>
        <w:rPr>
          <w:sz w:val="17"/>
        </w:rPr>
      </w:pPr>
      <w:r>
        <w:rPr>
          <w:sz w:val="17"/>
        </w:rPr>
        <w:t>Pillers DA, Fitzgerald KM, Duncan NM, Rash SM, </w:t>
      </w:r>
      <w:r>
        <w:rPr>
          <w:sz w:val="17"/>
        </w:rPr>
        <w:t>White RA, Dwinnell SJ et al (1999) Duchenne/Becker muscular dystrophy:</w:t>
      </w:r>
      <w:r>
        <w:rPr>
          <w:spacing w:val="-7"/>
          <w:sz w:val="17"/>
        </w:rPr>
        <w:t> </w:t>
      </w:r>
      <w:r>
        <w:rPr>
          <w:sz w:val="17"/>
        </w:rPr>
        <w:t>correlation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phenotype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z w:val="17"/>
        </w:rPr>
        <w:t>electroretinography </w:t>
      </w:r>
      <w:bookmarkStart w:name="_bookmark36" w:id="52"/>
      <w:bookmarkEnd w:id="52"/>
      <w:r>
        <w:rPr>
          <w:sz w:val="17"/>
        </w:rPr>
        <w:t>with</w:t>
      </w:r>
      <w:r>
        <w:rPr>
          <w:sz w:val="17"/>
        </w:rPr>
        <w:t> sites of dystrophin mutations. Hum Genet </w:t>
      </w:r>
      <w:r>
        <w:rPr>
          <w:spacing w:val="-2"/>
          <w:sz w:val="17"/>
        </w:rPr>
        <w:t>105(1–2):2–9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4" w:lineRule="auto" w:before="0" w:after="0"/>
        <w:ind w:left="363" w:right="39" w:hanging="271"/>
        <w:jc w:val="both"/>
        <w:rPr>
          <w:sz w:val="17"/>
        </w:rPr>
      </w:pPr>
      <w:r>
        <w:rPr>
          <w:sz w:val="17"/>
        </w:rPr>
        <w:t>Rahman S, Copeland WC (2019) POLG-related </w:t>
      </w:r>
      <w:r>
        <w:rPr>
          <w:sz w:val="17"/>
        </w:rPr>
        <w:t>disorders and their neurological manifestations. Nat Rev Neurol </w:t>
      </w:r>
      <w:r>
        <w:rPr>
          <w:spacing w:val="-2"/>
          <w:sz w:val="17"/>
        </w:rPr>
        <w:t>15(1):40–52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73" w:after="0"/>
        <w:ind w:left="370" w:right="82" w:hanging="271"/>
        <w:jc w:val="both"/>
        <w:rPr>
          <w:sz w:val="17"/>
        </w:rPr>
      </w:pPr>
      <w:r>
        <w:rPr/>
        <w:br w:type="column"/>
      </w:r>
      <w:r>
        <w:rPr>
          <w:spacing w:val="-2"/>
          <w:sz w:val="17"/>
        </w:rPr>
        <w:t>Naimi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Bannwarth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Procaccio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V,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Pouget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J,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Desnuelle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C, </w:t>
      </w:r>
      <w:r>
        <w:rPr>
          <w:sz w:val="17"/>
        </w:rPr>
        <w:t>Pellissier JF et al (2006) Molecular analysis of </w:t>
      </w:r>
      <w:r>
        <w:rPr>
          <w:sz w:val="17"/>
        </w:rPr>
        <w:t>ANT1, TWINKLE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POLG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patients</w:t>
      </w:r>
      <w:r>
        <w:rPr>
          <w:spacing w:val="-11"/>
          <w:sz w:val="17"/>
        </w:rPr>
        <w:t> </w:t>
      </w:r>
      <w:r>
        <w:rPr>
          <w:sz w:val="17"/>
        </w:rPr>
        <w:t>with</w:t>
      </w:r>
      <w:r>
        <w:rPr>
          <w:spacing w:val="-10"/>
          <w:sz w:val="17"/>
        </w:rPr>
        <w:t> </w:t>
      </w:r>
      <w:r>
        <w:rPr>
          <w:sz w:val="17"/>
        </w:rPr>
        <w:t>multiple</w:t>
      </w:r>
      <w:r>
        <w:rPr>
          <w:spacing w:val="-11"/>
          <w:sz w:val="17"/>
        </w:rPr>
        <w:t> </w:t>
      </w:r>
      <w:r>
        <w:rPr>
          <w:sz w:val="17"/>
        </w:rPr>
        <w:t>deletions</w:t>
      </w:r>
      <w:r>
        <w:rPr>
          <w:spacing w:val="-10"/>
          <w:sz w:val="17"/>
        </w:rPr>
        <w:t> </w:t>
      </w:r>
      <w:r>
        <w:rPr>
          <w:sz w:val="17"/>
        </w:rPr>
        <w:t>or depletion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mitochondrial</w:t>
      </w:r>
      <w:r>
        <w:rPr>
          <w:spacing w:val="-1"/>
          <w:sz w:val="17"/>
        </w:rPr>
        <w:t> </w:t>
      </w:r>
      <w:r>
        <w:rPr>
          <w:sz w:val="17"/>
        </w:rPr>
        <w:t>DNA</w:t>
      </w:r>
      <w:r>
        <w:rPr>
          <w:spacing w:val="-2"/>
          <w:sz w:val="17"/>
        </w:rPr>
        <w:t> </w:t>
      </w:r>
      <w:r>
        <w:rPr>
          <w:sz w:val="17"/>
        </w:rPr>
        <w:t>by</w:t>
      </w:r>
      <w:r>
        <w:rPr>
          <w:spacing w:val="-2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dHPLC-based</w:t>
      </w:r>
      <w:r>
        <w:rPr>
          <w:spacing w:val="-1"/>
          <w:sz w:val="17"/>
        </w:rPr>
        <w:t> </w:t>
      </w:r>
      <w:r>
        <w:rPr>
          <w:sz w:val="17"/>
        </w:rPr>
        <w:t>assay. Eur J Hum Genet 14(8):917–922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Tang</w:t>
      </w:r>
      <w:r>
        <w:rPr>
          <w:spacing w:val="-4"/>
          <w:sz w:val="17"/>
        </w:rPr>
        <w:t> </w:t>
      </w:r>
      <w:r>
        <w:rPr>
          <w:sz w:val="17"/>
        </w:rPr>
        <w:t>S,</w:t>
      </w:r>
      <w:r>
        <w:rPr>
          <w:spacing w:val="-3"/>
          <w:sz w:val="17"/>
        </w:rPr>
        <w:t> </w:t>
      </w:r>
      <w:r>
        <w:rPr>
          <w:sz w:val="17"/>
        </w:rPr>
        <w:t>Wang</w:t>
      </w:r>
      <w:r>
        <w:rPr>
          <w:spacing w:val="-3"/>
          <w:sz w:val="17"/>
        </w:rPr>
        <w:t> </w:t>
      </w:r>
      <w:r>
        <w:rPr>
          <w:sz w:val="17"/>
        </w:rPr>
        <w:t>J,</w:t>
      </w:r>
      <w:r>
        <w:rPr>
          <w:spacing w:val="-4"/>
          <w:sz w:val="17"/>
        </w:rPr>
        <w:t> </w:t>
      </w:r>
      <w:r>
        <w:rPr>
          <w:sz w:val="17"/>
        </w:rPr>
        <w:t>Lee</w:t>
      </w:r>
      <w:r>
        <w:rPr>
          <w:spacing w:val="-3"/>
          <w:sz w:val="17"/>
        </w:rPr>
        <w:t> </w:t>
      </w:r>
      <w:r>
        <w:rPr>
          <w:sz w:val="17"/>
        </w:rPr>
        <w:t>NC,</w:t>
      </w:r>
      <w:r>
        <w:rPr>
          <w:spacing w:val="-3"/>
          <w:sz w:val="17"/>
        </w:rPr>
        <w:t> </w:t>
      </w:r>
      <w:r>
        <w:rPr>
          <w:sz w:val="17"/>
        </w:rPr>
        <w:t>Milone</w:t>
      </w:r>
      <w:r>
        <w:rPr>
          <w:spacing w:val="-3"/>
          <w:sz w:val="17"/>
        </w:rPr>
        <w:t> </w:t>
      </w:r>
      <w:r>
        <w:rPr>
          <w:sz w:val="17"/>
        </w:rPr>
        <w:t>M,</w:t>
      </w:r>
      <w:r>
        <w:rPr>
          <w:spacing w:val="-3"/>
          <w:sz w:val="17"/>
        </w:rPr>
        <w:t> </w:t>
      </w:r>
      <w:r>
        <w:rPr>
          <w:sz w:val="17"/>
        </w:rPr>
        <w:t>Halberg</w:t>
      </w:r>
      <w:r>
        <w:rPr>
          <w:spacing w:val="-3"/>
          <w:sz w:val="17"/>
        </w:rPr>
        <w:t> </w:t>
      </w:r>
      <w:r>
        <w:rPr>
          <w:sz w:val="17"/>
        </w:rPr>
        <w:t>MC,</w:t>
      </w:r>
      <w:r>
        <w:rPr>
          <w:spacing w:val="-4"/>
          <w:sz w:val="17"/>
        </w:rPr>
        <w:t> </w:t>
      </w:r>
      <w:r>
        <w:rPr>
          <w:sz w:val="17"/>
        </w:rPr>
        <w:t>Schmitt ES et al (2011) Mitochondrial DNA polymerase gamma mutations: an ever expanding molecular and clinical spec- trum. J Med Genet 48(10):669–681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Sonam K, Bindu PS, Srinivas Bharath MM, Govindaraj </w:t>
      </w:r>
      <w:r>
        <w:rPr>
          <w:sz w:val="17"/>
        </w:rPr>
        <w:t>P, Gayathri N, Arvinda HR et al (2017) Mitochondrial oxidative phosphorylation disorders in children: pheno- typic,</w:t>
      </w:r>
      <w:r>
        <w:rPr>
          <w:spacing w:val="-9"/>
          <w:sz w:val="17"/>
        </w:rPr>
        <w:t> </w:t>
      </w:r>
      <w:r>
        <w:rPr>
          <w:sz w:val="17"/>
        </w:rPr>
        <w:t>genotypic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biochemical</w:t>
      </w:r>
      <w:r>
        <w:rPr>
          <w:spacing w:val="-8"/>
          <w:sz w:val="17"/>
        </w:rPr>
        <w:t> </w:t>
      </w:r>
      <w:r>
        <w:rPr>
          <w:sz w:val="17"/>
        </w:rPr>
        <w:t>correlations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85</w:t>
      </w:r>
      <w:r>
        <w:rPr>
          <w:spacing w:val="-9"/>
          <w:sz w:val="17"/>
        </w:rPr>
        <w:t> </w:t>
      </w:r>
      <w:r>
        <w:rPr>
          <w:sz w:val="17"/>
        </w:rPr>
        <w:t>patients from South India. Mitochondrion 32:42–49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Rouzier</w:t>
      </w:r>
      <w:r>
        <w:rPr>
          <w:spacing w:val="-11"/>
          <w:sz w:val="17"/>
        </w:rPr>
        <w:t> </w:t>
      </w:r>
      <w:r>
        <w:rPr>
          <w:sz w:val="17"/>
        </w:rPr>
        <w:t>C,</w:t>
      </w:r>
      <w:r>
        <w:rPr>
          <w:spacing w:val="-11"/>
          <w:sz w:val="17"/>
        </w:rPr>
        <w:t> </w:t>
      </w:r>
      <w:r>
        <w:rPr>
          <w:sz w:val="17"/>
        </w:rPr>
        <w:t>Chaussenot</w:t>
      </w:r>
      <w:r>
        <w:rPr>
          <w:spacing w:val="-10"/>
          <w:sz w:val="17"/>
        </w:rPr>
        <w:t> </w:t>
      </w:r>
      <w:r>
        <w:rPr>
          <w:sz w:val="17"/>
        </w:rPr>
        <w:t>A,</w:t>
      </w:r>
      <w:r>
        <w:rPr>
          <w:spacing w:val="-11"/>
          <w:sz w:val="17"/>
        </w:rPr>
        <w:t> </w:t>
      </w:r>
      <w:r>
        <w:rPr>
          <w:sz w:val="17"/>
        </w:rPr>
        <w:t>Serre</w:t>
      </w:r>
      <w:r>
        <w:rPr>
          <w:spacing w:val="-11"/>
          <w:sz w:val="17"/>
        </w:rPr>
        <w:t> </w:t>
      </w:r>
      <w:r>
        <w:rPr>
          <w:sz w:val="17"/>
        </w:rPr>
        <w:t>V,</w:t>
      </w:r>
      <w:r>
        <w:rPr>
          <w:spacing w:val="-10"/>
          <w:sz w:val="17"/>
        </w:rPr>
        <w:t> </w:t>
      </w:r>
      <w:r>
        <w:rPr>
          <w:sz w:val="17"/>
        </w:rPr>
        <w:t>Fragaki</w:t>
      </w:r>
      <w:r>
        <w:rPr>
          <w:spacing w:val="-11"/>
          <w:sz w:val="17"/>
        </w:rPr>
        <w:t> </w:t>
      </w:r>
      <w:r>
        <w:rPr>
          <w:sz w:val="17"/>
        </w:rPr>
        <w:t>K,</w:t>
      </w:r>
      <w:r>
        <w:rPr>
          <w:spacing w:val="-10"/>
          <w:sz w:val="17"/>
        </w:rPr>
        <w:t> </w:t>
      </w:r>
      <w:r>
        <w:rPr>
          <w:sz w:val="17"/>
        </w:rPr>
        <w:t>Bannwarth</w:t>
      </w:r>
      <w:r>
        <w:rPr>
          <w:spacing w:val="-11"/>
          <w:sz w:val="17"/>
        </w:rPr>
        <w:t> </w:t>
      </w:r>
      <w:r>
        <w:rPr>
          <w:sz w:val="17"/>
        </w:rPr>
        <w:t>S, Ait-El-Mkadem S et al (2014) Quantitative multiplex </w:t>
      </w:r>
      <w:r>
        <w:rPr>
          <w:sz w:val="17"/>
        </w:rPr>
        <w:t>PCR of short fluorescent fragments for the detection of large intragenic POLG rearrangements in a large French cohort. Eur J Hum Genet 22(4):542–550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Stewart JD, Horvath R, Baruffini E, Ferrero I, Bulst </w:t>
      </w:r>
      <w:r>
        <w:rPr>
          <w:sz w:val="17"/>
        </w:rPr>
        <w:t>S, Watkins PB et al (2010) Polymerase gamma gene POLG determines the risk of sodium valproate-induced liver tox- icity. Hepatology 52(5):1791–1796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Navarro-Sastre A, Tort F, Garcia-Villoria J, Pons </w:t>
      </w:r>
      <w:r>
        <w:rPr>
          <w:sz w:val="17"/>
        </w:rPr>
        <w:t>MR, Nascimento</w:t>
      </w:r>
      <w:r>
        <w:rPr>
          <w:spacing w:val="-3"/>
          <w:sz w:val="17"/>
        </w:rPr>
        <w:t> </w:t>
      </w:r>
      <w:r>
        <w:rPr>
          <w:sz w:val="17"/>
        </w:rPr>
        <w:t>A,</w:t>
      </w:r>
      <w:r>
        <w:rPr>
          <w:spacing w:val="-2"/>
          <w:sz w:val="17"/>
        </w:rPr>
        <w:t> </w:t>
      </w:r>
      <w:r>
        <w:rPr>
          <w:sz w:val="17"/>
        </w:rPr>
        <w:t>Colomer</w:t>
      </w:r>
      <w:r>
        <w:rPr>
          <w:spacing w:val="-3"/>
          <w:sz w:val="17"/>
        </w:rPr>
        <w:t> </w:t>
      </w:r>
      <w:r>
        <w:rPr>
          <w:sz w:val="17"/>
        </w:rPr>
        <w:t>J</w:t>
      </w:r>
      <w:r>
        <w:rPr>
          <w:spacing w:val="-3"/>
          <w:sz w:val="17"/>
        </w:rPr>
        <w:t> </w:t>
      </w:r>
      <w:r>
        <w:rPr>
          <w:sz w:val="17"/>
        </w:rPr>
        <w:t>et</w:t>
      </w:r>
      <w:r>
        <w:rPr>
          <w:spacing w:val="-3"/>
          <w:sz w:val="17"/>
        </w:rPr>
        <w:t> </w:t>
      </w:r>
      <w:r>
        <w:rPr>
          <w:sz w:val="17"/>
        </w:rPr>
        <w:t>al</w:t>
      </w:r>
      <w:r>
        <w:rPr>
          <w:spacing w:val="-2"/>
          <w:sz w:val="17"/>
        </w:rPr>
        <w:t> </w:t>
      </w:r>
      <w:r>
        <w:rPr>
          <w:sz w:val="17"/>
        </w:rPr>
        <w:t>(2012)</w:t>
      </w:r>
      <w:r>
        <w:rPr>
          <w:spacing w:val="-3"/>
          <w:sz w:val="17"/>
        </w:rPr>
        <w:t> </w:t>
      </w:r>
      <w:r>
        <w:rPr>
          <w:sz w:val="17"/>
        </w:rPr>
        <w:t>Mitochondrial</w:t>
      </w:r>
      <w:r>
        <w:rPr>
          <w:spacing w:val="-2"/>
          <w:sz w:val="17"/>
        </w:rPr>
        <w:t> </w:t>
      </w:r>
      <w:r>
        <w:rPr>
          <w:sz w:val="17"/>
        </w:rPr>
        <w:t>DNA depletion</w:t>
      </w:r>
      <w:r>
        <w:rPr>
          <w:spacing w:val="-5"/>
          <w:sz w:val="17"/>
        </w:rPr>
        <w:t> </w:t>
      </w:r>
      <w:r>
        <w:rPr>
          <w:sz w:val="17"/>
        </w:rPr>
        <w:t>syndrome:</w:t>
      </w:r>
      <w:r>
        <w:rPr>
          <w:spacing w:val="-5"/>
          <w:sz w:val="17"/>
        </w:rPr>
        <w:t> </w:t>
      </w:r>
      <w:r>
        <w:rPr>
          <w:sz w:val="17"/>
        </w:rPr>
        <w:t>new</w:t>
      </w:r>
      <w:r>
        <w:rPr>
          <w:spacing w:val="-5"/>
          <w:sz w:val="17"/>
        </w:rPr>
        <w:t> </w:t>
      </w:r>
      <w:r>
        <w:rPr>
          <w:sz w:val="17"/>
        </w:rPr>
        <w:t>descriptions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use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citrate synthase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helpful</w:t>
      </w:r>
      <w:r>
        <w:rPr>
          <w:spacing w:val="-5"/>
          <w:sz w:val="17"/>
        </w:rPr>
        <w:t> </w:t>
      </w:r>
      <w:r>
        <w:rPr>
          <w:sz w:val="17"/>
        </w:rPr>
        <w:t>tool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better</w:t>
      </w:r>
      <w:r>
        <w:rPr>
          <w:spacing w:val="-5"/>
          <w:sz w:val="17"/>
        </w:rPr>
        <w:t> </w:t>
      </w:r>
      <w:r>
        <w:rPr>
          <w:sz w:val="17"/>
        </w:rPr>
        <w:t>characterise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patients. Mol Genet Metab 107(3):409–415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Cardenas JF, Amato RS (2010) Compound </w:t>
      </w:r>
      <w:r>
        <w:rPr>
          <w:sz w:val="17"/>
        </w:rPr>
        <w:t>heterozygous polymerase gamma gene mutation in a patient with Alpers disease. Semin Pediatr Neurol 17(1):62–64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Scuderi C, Borgione E, Castello F, Lo Giudice M, </w:t>
      </w:r>
      <w:r>
        <w:rPr>
          <w:sz w:val="17"/>
        </w:rPr>
        <w:t>Santa Paola S, Giambirtone M et al (2015) The in cis T251I and P587L POLG1 base changes: description of a new family and literature review. Neuromuscul Disord 25(4):333–339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83" w:hanging="271"/>
        <w:jc w:val="both"/>
        <w:rPr>
          <w:sz w:val="17"/>
        </w:rPr>
      </w:pPr>
      <w:r>
        <w:rPr>
          <w:sz w:val="17"/>
        </w:rPr>
        <w:t>Horvath R, Hudson G, Ferrari G, Futterer N, Ahola </w:t>
      </w:r>
      <w:r>
        <w:rPr>
          <w:sz w:val="17"/>
        </w:rPr>
        <w:t>S, Lamantea E et al (2006) Phenotypic spectrum associated with mutations of the mitochondrial polymerase gamma gene. Brain 129(Pt 7):1674–1684</w:t>
      </w:r>
    </w:p>
    <w:p>
      <w:pPr>
        <w:pStyle w:val="BodyText"/>
        <w:spacing w:before="105"/>
        <w:rPr>
          <w:sz w:val="17"/>
        </w:rPr>
      </w:pPr>
    </w:p>
    <w:p>
      <w:pPr>
        <w:spacing w:line="244" w:lineRule="auto" w:before="0"/>
        <w:ind w:left="92" w:right="83" w:firstLine="0"/>
        <w:jc w:val="both"/>
        <w:rPr>
          <w:sz w:val="17"/>
        </w:rPr>
      </w:pPr>
      <w:r>
        <w:rPr>
          <w:sz w:val="17"/>
        </w:rPr>
        <w:t>Publisher’s</w:t>
      </w:r>
      <w:r>
        <w:rPr>
          <w:spacing w:val="40"/>
          <w:sz w:val="17"/>
        </w:rPr>
        <w:t> </w:t>
      </w:r>
      <w:r>
        <w:rPr>
          <w:sz w:val="17"/>
        </w:rPr>
        <w:t>Note</w:t>
      </w:r>
      <w:r>
        <w:rPr>
          <w:spacing w:val="40"/>
          <w:sz w:val="17"/>
        </w:rPr>
        <w:t> </w:t>
      </w:r>
      <w:r>
        <w:rPr>
          <w:sz w:val="17"/>
        </w:rPr>
        <w:t>Springer</w:t>
      </w:r>
      <w:r>
        <w:rPr>
          <w:spacing w:val="40"/>
          <w:sz w:val="17"/>
        </w:rPr>
        <w:t> </w:t>
      </w:r>
      <w:r>
        <w:rPr>
          <w:sz w:val="17"/>
        </w:rPr>
        <w:t>Nature</w:t>
      </w:r>
      <w:r>
        <w:rPr>
          <w:spacing w:val="40"/>
          <w:sz w:val="17"/>
        </w:rPr>
        <w:t> </w:t>
      </w:r>
      <w:r>
        <w:rPr>
          <w:sz w:val="17"/>
        </w:rPr>
        <w:t>remains</w:t>
      </w:r>
      <w:r>
        <w:rPr>
          <w:spacing w:val="40"/>
          <w:sz w:val="17"/>
        </w:rPr>
        <w:t> </w:t>
      </w:r>
      <w:r>
        <w:rPr>
          <w:sz w:val="17"/>
        </w:rPr>
        <w:t>neutral</w:t>
      </w:r>
      <w:r>
        <w:rPr>
          <w:spacing w:val="40"/>
          <w:sz w:val="17"/>
        </w:rPr>
        <w:t> </w:t>
      </w:r>
      <w:r>
        <w:rPr>
          <w:sz w:val="17"/>
        </w:rPr>
        <w:t>with regard to jurisdictional claims in published maps and institutional affiliations.</w:t>
      </w:r>
    </w:p>
    <w:sectPr>
      <w:type w:val="continuous"/>
      <w:pgSz w:w="10950" w:h="14750"/>
      <w:pgMar w:header="668" w:footer="916" w:top="820" w:bottom="1100" w:left="850" w:right="850"/>
      <w:cols w:num="2" w:equalWidth="0">
        <w:col w:w="4435" w:space="320"/>
        <w:col w:w="44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5837298</wp:posOffset>
              </wp:positionH>
              <wp:positionV relativeFrom="page">
                <wp:posOffset>8638748</wp:posOffset>
              </wp:positionV>
              <wp:extent cx="531495" cy="2152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31495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20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w w:val="85"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7"/>
                              <w:w w:val="8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w w:val="335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9.629791pt;margin-top:680.216431pt;width:41.85pt;height:16.95pt;mso-position-horizontal-relative:page;mso-position-vertical-relative:page;z-index:-16289280" type="#_x0000_t202" id="docshape5" filled="false" stroked="false">
              <v:textbox inset="0,0,0,0">
                <w:txbxContent>
                  <w:p>
                    <w:pPr>
                      <w:spacing w:line="320" w:lineRule="exact" w:before="0"/>
                      <w:ind w:left="2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85"/>
                        <w:sz w:val="30"/>
                      </w:rPr>
                      <w:t>1</w:t>
                    </w:r>
                    <w:r>
                      <w:rPr>
                        <w:rFonts w:ascii="Arial"/>
                        <w:spacing w:val="-7"/>
                        <w:w w:val="85"/>
                        <w:sz w:val="3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335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599300</wp:posOffset>
              </wp:positionH>
              <wp:positionV relativeFrom="page">
                <wp:posOffset>8638748</wp:posOffset>
              </wp:positionV>
              <wp:extent cx="531495" cy="2152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31495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20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w w:val="85"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7"/>
                              <w:w w:val="8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w w:val="335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88999pt;margin-top:680.216431pt;width:41.85pt;height:16.95pt;mso-position-horizontal-relative:page;mso-position-vertical-relative:page;z-index:-16288768" type="#_x0000_t202" id="docshape6" filled="false" stroked="false">
              <v:textbox inset="0,0,0,0">
                <w:txbxContent>
                  <w:p>
                    <w:pPr>
                      <w:spacing w:line="320" w:lineRule="exact" w:before="0"/>
                      <w:ind w:left="2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85"/>
                        <w:sz w:val="30"/>
                      </w:rPr>
                      <w:t>1</w:t>
                    </w:r>
                    <w:r>
                      <w:rPr>
                        <w:rFonts w:ascii="Arial"/>
                        <w:spacing w:val="-7"/>
                        <w:w w:val="85"/>
                        <w:sz w:val="3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335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5837298</wp:posOffset>
              </wp:positionH>
              <wp:positionV relativeFrom="page">
                <wp:posOffset>8638748</wp:posOffset>
              </wp:positionV>
              <wp:extent cx="531495" cy="2152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31495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20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w w:val="85"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7"/>
                              <w:w w:val="8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w w:val="335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9.629791pt;margin-top:680.216431pt;width:41.85pt;height:16.95pt;mso-position-horizontal-relative:page;mso-position-vertical-relative:page;z-index:-16285184" type="#_x0000_t202" id="docshape19" filled="false" stroked="false">
              <v:textbox inset="0,0,0,0">
                <w:txbxContent>
                  <w:p>
                    <w:pPr>
                      <w:spacing w:line="320" w:lineRule="exact" w:before="0"/>
                      <w:ind w:left="2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85"/>
                        <w:sz w:val="30"/>
                      </w:rPr>
                      <w:t>1</w:t>
                    </w:r>
                    <w:r>
                      <w:rPr>
                        <w:rFonts w:ascii="Arial"/>
                        <w:spacing w:val="-7"/>
                        <w:w w:val="85"/>
                        <w:sz w:val="3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335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599300</wp:posOffset>
              </wp:positionH>
              <wp:positionV relativeFrom="page">
                <wp:posOffset>8638748</wp:posOffset>
              </wp:positionV>
              <wp:extent cx="531495" cy="2152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31495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20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w w:val="85"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7"/>
                              <w:w w:val="8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w w:val="335"/>
                              <w:sz w:val="3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88999pt;margin-top:680.216431pt;width:41.85pt;height:16.95pt;mso-position-horizontal-relative:page;mso-position-vertical-relative:page;z-index:-16284672" type="#_x0000_t202" id="docshape20" filled="false" stroked="false">
              <v:textbox inset="0,0,0,0">
                <w:txbxContent>
                  <w:p>
                    <w:pPr>
                      <w:spacing w:line="320" w:lineRule="exact" w:before="0"/>
                      <w:ind w:left="2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85"/>
                        <w:sz w:val="30"/>
                      </w:rPr>
                      <w:t>1</w:t>
                    </w:r>
                    <w:r>
                      <w:rPr>
                        <w:rFonts w:ascii="Arial"/>
                        <w:spacing w:val="-7"/>
                        <w:w w:val="85"/>
                        <w:sz w:val="3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335"/>
                        <w:sz w:val="3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581299</wp:posOffset>
              </wp:positionH>
              <wp:positionV relativeFrom="page">
                <wp:posOffset>411951</wp:posOffset>
              </wp:positionV>
              <wp:extent cx="1682750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827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Doc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Ophthalmol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(2021)</w:t>
                          </w:r>
                          <w:r>
                            <w:rPr>
                              <w:spacing w:val="10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142:111–118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5.771599pt;margin-top:32.437126pt;width:132.5pt;height:10.5pt;mso-position-horizontal-relative:page;mso-position-vertical-relative:page;z-index:-16291328" type="#_x0000_t202" id="docshape1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Doc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Ophthalmol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(2021)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142:111–118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594004</wp:posOffset>
              </wp:positionH>
              <wp:positionV relativeFrom="page">
                <wp:posOffset>575287</wp:posOffset>
              </wp:positionV>
              <wp:extent cx="5760085" cy="1270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6008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12700">
                            <a:moveTo>
                              <a:pt x="5759996" y="0"/>
                            </a:moveTo>
                            <a:lnTo>
                              <a:pt x="0" y="0"/>
                            </a:lnTo>
                            <a:lnTo>
                              <a:pt x="0" y="12240"/>
                            </a:lnTo>
                            <a:lnTo>
                              <a:pt x="5759996" y="12240"/>
                            </a:lnTo>
                            <a:lnTo>
                              <a:pt x="57599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6.771999pt;margin-top:45.298214pt;width:453.542999pt;height:.96381pt;mso-position-horizontal-relative:page;mso-position-vertical-relative:page;z-index:-16290816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555899</wp:posOffset>
              </wp:positionH>
              <wp:positionV relativeFrom="page">
                <wp:posOffset>411231</wp:posOffset>
              </wp:positionV>
              <wp:extent cx="250825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082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112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771599pt;margin-top:32.380424pt;width:19.75pt;height:10.5pt;mso-position-horizontal-relative:page;mso-position-vertical-relative:page;z-index:-16290304" type="#_x0000_t202" id="docshape3" filled="false" stroked="false">
              <v:textbox inset="0,0,0,0">
                <w:txbxContent>
                  <w:p>
                    <w:pPr>
                      <w:spacing w:line="189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112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4683850</wp:posOffset>
              </wp:positionH>
              <wp:positionV relativeFrom="page">
                <wp:posOffset>411231</wp:posOffset>
              </wp:positionV>
              <wp:extent cx="1682750" cy="1333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827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Doc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Ophthalmol</w:t>
                          </w:r>
                          <w:r>
                            <w:rPr>
                              <w:spacing w:val="9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(2021)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142:111–118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807159pt;margin-top:32.380424pt;width:132.5pt;height:10.5pt;mso-position-horizontal-relative:page;mso-position-vertical-relative:page;z-index:-16289792" type="#_x0000_t202" id="docshape4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Doc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Ophthalmol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(2021)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142:111–118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594004</wp:posOffset>
              </wp:positionH>
              <wp:positionV relativeFrom="page">
                <wp:posOffset>575287</wp:posOffset>
              </wp:positionV>
              <wp:extent cx="5760085" cy="1270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576008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12700">
                            <a:moveTo>
                              <a:pt x="5759996" y="0"/>
                            </a:moveTo>
                            <a:lnTo>
                              <a:pt x="0" y="0"/>
                            </a:lnTo>
                            <a:lnTo>
                              <a:pt x="0" y="12240"/>
                            </a:lnTo>
                            <a:lnTo>
                              <a:pt x="5759996" y="12240"/>
                            </a:lnTo>
                            <a:lnTo>
                              <a:pt x="57599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6.771999pt;margin-top:45.298214pt;width:453.542999pt;height:.96381pt;mso-position-horizontal-relative:page;mso-position-vertical-relative:page;z-index:-16288256" id="docshape1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581299</wp:posOffset>
              </wp:positionH>
              <wp:positionV relativeFrom="page">
                <wp:posOffset>411231</wp:posOffset>
              </wp:positionV>
              <wp:extent cx="1682750" cy="13335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827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Doc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Ophthalmol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(2021)</w:t>
                          </w:r>
                          <w:r>
                            <w:rPr>
                              <w:spacing w:val="10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142:111–118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771599pt;margin-top:32.380424pt;width:132.5pt;height:10.5pt;mso-position-horizontal-relative:page;mso-position-vertical-relative:page;z-index:-16287744" type="#_x0000_t202" id="docshape14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Doc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Ophthalmol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(2021)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142:111–118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6154600</wp:posOffset>
              </wp:positionH>
              <wp:positionV relativeFrom="page">
                <wp:posOffset>411231</wp:posOffset>
              </wp:positionV>
              <wp:extent cx="250825" cy="13335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5082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113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614227pt;margin-top:32.380424pt;width:19.75pt;height:10.5pt;mso-position-horizontal-relative:page;mso-position-vertical-relative:page;z-index:-16287232" type="#_x0000_t202" id="docshape15" filled="false" stroked="false">
              <v:textbox inset="0,0,0,0">
                <w:txbxContent>
                  <w:p>
                    <w:pPr>
                      <w:spacing w:line="189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113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594004</wp:posOffset>
              </wp:positionH>
              <wp:positionV relativeFrom="page">
                <wp:posOffset>575287</wp:posOffset>
              </wp:positionV>
              <wp:extent cx="5760085" cy="1270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76008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12700">
                            <a:moveTo>
                              <a:pt x="5759996" y="0"/>
                            </a:moveTo>
                            <a:lnTo>
                              <a:pt x="0" y="0"/>
                            </a:lnTo>
                            <a:lnTo>
                              <a:pt x="0" y="12240"/>
                            </a:lnTo>
                            <a:lnTo>
                              <a:pt x="5759996" y="12240"/>
                            </a:lnTo>
                            <a:lnTo>
                              <a:pt x="57599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6.771999pt;margin-top:45.298214pt;width:453.542999pt;height:.96381pt;mso-position-horizontal-relative:page;mso-position-vertical-relative:page;z-index:-16286720" id="docshape1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555899</wp:posOffset>
              </wp:positionH>
              <wp:positionV relativeFrom="page">
                <wp:posOffset>411231</wp:posOffset>
              </wp:positionV>
              <wp:extent cx="250825" cy="13335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5082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114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771599pt;margin-top:32.380424pt;width:19.75pt;height:10.5pt;mso-position-horizontal-relative:page;mso-position-vertical-relative:page;z-index:-16286208" type="#_x0000_t202" id="docshape17" filled="false" stroked="false">
              <v:textbox inset="0,0,0,0">
                <w:txbxContent>
                  <w:p>
                    <w:pPr>
                      <w:spacing w:line="189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114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4683850</wp:posOffset>
              </wp:positionH>
              <wp:positionV relativeFrom="page">
                <wp:posOffset>411231</wp:posOffset>
              </wp:positionV>
              <wp:extent cx="1682750" cy="13335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6827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9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Doc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Ophthalmol</w:t>
                          </w:r>
                          <w:r>
                            <w:rPr>
                              <w:spacing w:val="9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(2021)</w:t>
                          </w:r>
                          <w:r>
                            <w:rPr>
                              <w:spacing w:val="8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142:111–118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807159pt;margin-top:32.380424pt;width:132.5pt;height:10.5pt;mso-position-horizontal-relative:page;mso-position-vertical-relative:page;z-index:-16285696" type="#_x0000_t202" id="docshape18" filled="false" stroked="false">
              <v:textbox inset="0,0,0,0">
                <w:txbxContent>
                  <w:p>
                    <w:pPr>
                      <w:spacing w:line="189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Doc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Ophthalmol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(2021)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142:111–118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1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9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3" w:right="83" w:hanging="27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8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ossmark.crossref.org/dialog/?doi=10.1007/s10633-020-09777-w&amp;amp%3Bdomain=pdf" TargetMode="External"/><Relationship Id="rId12" Type="http://schemas.openxmlformats.org/officeDocument/2006/relationships/hyperlink" Target="https://doi.org/10.1007/s10633-020-09777-w" TargetMode="External"/><Relationship Id="rId13" Type="http://schemas.openxmlformats.org/officeDocument/2006/relationships/hyperlink" Target="mailto:ajoy.vincent@sickkids.ca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image" Target="media/image3.jpeg"/><Relationship Id="rId19" Type="http://schemas.openxmlformats.org/officeDocument/2006/relationships/image" Target="media/image4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 Green Sanderson </dc:creator>
  <cp:keywords>POLG,POLG1,Polymerase gamma,Electroretinography,Light signal transduction,Retinal bipolar cells</cp:keywords>
  <dc:subject>Documenta Ophthalmologica, https://doi.org/10.1007/s10633-020-09777-w</dc:subject>
  <dc:title>Rod bipolar cell dysfunction in POLG retinopathy</dc:title>
  <dcterms:created xsi:type="dcterms:W3CDTF">2025-07-04T18:30:08Z</dcterms:created>
  <dcterms:modified xsi:type="dcterms:W3CDTF">2025-07-04T18:30:08Z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Springer</vt:lpwstr>
  </property>
  <property fmtid="{D5CDD505-2E9C-101B-9397-08002B2CF9AE}" pid="4" name="CrossMarkDomains[1]">
    <vt:lpwstr>springer.com</vt:lpwstr>
  </property>
  <property fmtid="{D5CDD505-2E9C-101B-9397-08002B2CF9AE}" pid="5" name="CrossMarkDomains[2]">
    <vt:lpwstr>springerlink.com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LastSaved">
    <vt:filetime>2025-07-04T00:00:00Z</vt:filetime>
  </property>
  <property fmtid="{D5CDD505-2E9C-101B-9397-08002B2CF9AE}" pid="9" name="Producer">
    <vt:lpwstr>Acrobat Distiller 10.1.8 (Windows)</vt:lpwstr>
  </property>
  <property fmtid="{D5CDD505-2E9C-101B-9397-08002B2CF9AE}" pid="10" name="doi">
    <vt:lpwstr>10.1007/s10633-020-09777-w</vt:lpwstr>
  </property>
  <property fmtid="{D5CDD505-2E9C-101B-9397-08002B2CF9AE}" pid="11" name="robots">
    <vt:lpwstr>noindex</vt:lpwstr>
  </property>
</Properties>
</file>