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6"/>
        <w:ind w:left="3639" w:right="1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1507007</wp:posOffset>
            </wp:positionH>
            <wp:positionV relativeFrom="paragraph">
              <wp:posOffset>74891</wp:posOffset>
            </wp:positionV>
            <wp:extent cx="444207" cy="4441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07" cy="4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419176</wp:posOffset>
            </wp:positionH>
            <wp:positionV relativeFrom="paragraph">
              <wp:posOffset>65265</wp:posOffset>
            </wp:positionV>
            <wp:extent cx="694982" cy="758202"/>
            <wp:effectExtent l="0" t="0" r="0" b="0"/>
            <wp:wrapNone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82" cy="75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6"/>
        </w:rPr>
        <w:t>Available</w:t>
      </w:r>
      <w:r>
        <w:rPr>
          <w:rFonts w:ascii="Arial"/>
          <w:spacing w:val="1"/>
          <w:w w:val="105"/>
          <w:sz w:val="16"/>
        </w:rPr>
        <w:t> </w:t>
      </w:r>
      <w:r>
        <w:rPr>
          <w:rFonts w:ascii="Arial"/>
          <w:w w:val="105"/>
          <w:sz w:val="16"/>
        </w:rPr>
        <w:t>online</w:t>
      </w:r>
      <w:r>
        <w:rPr>
          <w:rFonts w:ascii="Arial"/>
          <w:spacing w:val="2"/>
          <w:w w:val="105"/>
          <w:sz w:val="16"/>
        </w:rPr>
        <w:t> </w:t>
      </w:r>
      <w:r>
        <w:rPr>
          <w:rFonts w:ascii="Arial"/>
          <w:w w:val="105"/>
          <w:sz w:val="16"/>
        </w:rPr>
        <w:t>at</w:t>
      </w:r>
      <w:r>
        <w:rPr>
          <w:rFonts w:ascii="Arial"/>
          <w:spacing w:val="1"/>
          <w:w w:val="105"/>
          <w:sz w:val="16"/>
        </w:rPr>
        <w:t> </w:t>
      </w:r>
      <w:hyperlink r:id="rId7">
        <w:r>
          <w:rPr>
            <w:rFonts w:ascii="Arial"/>
            <w:color w:val="0080AC"/>
            <w:spacing w:val="-2"/>
            <w:w w:val="105"/>
            <w:sz w:val="16"/>
          </w:rPr>
          <w:t>www.sciencedirect.com</w:t>
        </w:r>
      </w:hyperlink>
    </w:p>
    <w:p>
      <w:pPr>
        <w:pStyle w:val="BodyText"/>
        <w:spacing w:before="5"/>
        <w:rPr>
          <w:rFonts w:ascii="Arial"/>
          <w:sz w:val="13"/>
        </w:rPr>
      </w:pPr>
      <w:r>
        <w:rPr>
          <w:rFonts w:ascii="Arial"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3107855</wp:posOffset>
            </wp:positionH>
            <wp:positionV relativeFrom="paragraph">
              <wp:posOffset>113560</wp:posOffset>
            </wp:positionV>
            <wp:extent cx="1240852" cy="167640"/>
            <wp:effectExtent l="0" t="0" r="0" b="0"/>
            <wp:wrapTopAndBottom/>
            <wp:docPr id="3" name="Image 3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Journal log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85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6"/>
        <w:rPr>
          <w:rFonts w:ascii="Arial"/>
          <w:sz w:val="16"/>
        </w:rPr>
      </w:pPr>
    </w:p>
    <w:p>
      <w:pPr>
        <w:spacing w:before="0"/>
        <w:ind w:left="3639" w:right="0" w:firstLine="0"/>
        <w:jc w:val="center"/>
        <w:rPr>
          <w:sz w:val="16"/>
        </w:rPr>
      </w:pPr>
      <w:hyperlink r:id="rId9">
        <w:r>
          <w:rPr>
            <w:color w:val="0080AC"/>
            <w:sz w:val="16"/>
          </w:rPr>
          <w:t>Neuromuscular</w:t>
        </w:r>
        <w:r>
          <w:rPr>
            <w:color w:val="0080AC"/>
            <w:spacing w:val="9"/>
            <w:sz w:val="16"/>
          </w:rPr>
          <w:t> </w:t>
        </w:r>
        <w:r>
          <w:rPr>
            <w:color w:val="0080AC"/>
            <w:sz w:val="16"/>
          </w:rPr>
          <w:t>Disorders</w:t>
        </w:r>
        <w:r>
          <w:rPr>
            <w:color w:val="0080AC"/>
            <w:spacing w:val="10"/>
            <w:sz w:val="16"/>
          </w:rPr>
          <w:t> </w:t>
        </w:r>
        <w:r>
          <w:rPr>
            <w:color w:val="0080AC"/>
            <w:sz w:val="16"/>
          </w:rPr>
          <w:t>30</w:t>
        </w:r>
        <w:r>
          <w:rPr>
            <w:color w:val="0080AC"/>
            <w:spacing w:val="9"/>
            <w:sz w:val="16"/>
          </w:rPr>
          <w:t> </w:t>
        </w:r>
        <w:r>
          <w:rPr>
            <w:color w:val="0080AC"/>
            <w:sz w:val="16"/>
          </w:rPr>
          <w:t>(2020)</w:t>
        </w:r>
        <w:r>
          <w:rPr>
            <w:color w:val="0080AC"/>
            <w:spacing w:val="10"/>
            <w:sz w:val="16"/>
          </w:rPr>
          <w:t> </w:t>
        </w:r>
        <w:r>
          <w:rPr>
            <w:color w:val="0080AC"/>
            <w:spacing w:val="-2"/>
            <w:sz w:val="16"/>
          </w:rPr>
          <w:t>590–592</w:t>
        </w:r>
      </w:hyperlink>
    </w:p>
    <w:p>
      <w:pPr>
        <w:pStyle w:val="BodyText"/>
        <w:spacing w:before="85"/>
        <w:rPr>
          <w:sz w:val="16"/>
        </w:rPr>
      </w:pPr>
    </w:p>
    <w:p>
      <w:pPr>
        <w:spacing w:before="1"/>
        <w:ind w:left="3639" w:right="2" w:firstLine="0"/>
        <w:jc w:val="center"/>
        <w:rPr>
          <w:sz w:val="24"/>
        </w:rPr>
      </w:pPr>
      <w:bookmarkStart w:name="MRI findings in SANDO variety of the ata" w:id="1"/>
      <w:bookmarkEnd w:id="1"/>
      <w:r>
        <w:rPr/>
      </w:r>
      <w:r>
        <w:rPr>
          <w:sz w:val="24"/>
        </w:rPr>
        <w:t>Case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report</w:t>
      </w:r>
    </w:p>
    <w:p>
      <w:pPr>
        <w:spacing w:line="240" w:lineRule="auto" w:before="9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050"/>
      </w:pPr>
      <w:r>
        <w:rPr/>
        <w:drawing>
          <wp:inline distT="0" distB="0" distL="0" distR="0">
            <wp:extent cx="620173" cy="7528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73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38"/>
        <w:ind w:left="94" w:right="0" w:firstLine="0"/>
        <w:jc w:val="left"/>
        <w:rPr>
          <w:sz w:val="16"/>
        </w:rPr>
      </w:pPr>
      <w:hyperlink r:id="rId11">
        <w:r>
          <w:rPr>
            <w:color w:val="0080AC"/>
            <w:spacing w:val="-2"/>
            <w:sz w:val="16"/>
          </w:rPr>
          <w:t>www.elsevier.com/locate/nmd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840" w:bottom="280" w:left="566" w:right="566"/>
          <w:cols w:num="2" w:equalWidth="0">
            <w:col w:w="6952" w:space="1524"/>
            <w:col w:w="2302"/>
          </w:cols>
        </w:sectPr>
      </w:pPr>
    </w:p>
    <w:p>
      <w:pPr>
        <w:pStyle w:val="Title"/>
        <w:spacing w:line="244" w:lineRule="auto"/>
      </w:pPr>
      <w:r>
        <w:rPr/>
        <w:t>MRI</w:t>
      </w:r>
      <w:r>
        <w:rPr>
          <w:spacing w:val="32"/>
        </w:rPr>
        <w:t> </w:t>
      </w:r>
      <w:r>
        <w:rPr/>
        <w:t>findings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SANDO</w:t>
      </w:r>
      <w:r>
        <w:rPr>
          <w:spacing w:val="32"/>
        </w:rPr>
        <w:t> </w:t>
      </w:r>
      <w:r>
        <w:rPr/>
        <w:t>variety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ataxia-neuropathy</w:t>
      </w:r>
      <w:r>
        <w:rPr>
          <w:spacing w:val="31"/>
        </w:rPr>
        <w:t> </w:t>
      </w:r>
      <w:r>
        <w:rPr/>
        <w:t>spectrum</w:t>
      </w:r>
      <w:r>
        <w:rPr>
          <w:spacing w:val="32"/>
        </w:rPr>
        <w:t> </w:t>
      </w:r>
      <w:r>
        <w:rPr/>
        <w:t>with a</w:t>
      </w:r>
      <w:r>
        <w:rPr>
          <w:spacing w:val="40"/>
        </w:rPr>
        <w:t> </w:t>
      </w:r>
      <w:r>
        <w:rPr/>
        <w:t>novel</w:t>
      </w:r>
      <w:r>
        <w:rPr>
          <w:spacing w:val="40"/>
        </w:rPr>
        <w:t> </w:t>
      </w:r>
      <w:r>
        <w:rPr/>
        <w:t>mutation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POLG</w:t>
      </w:r>
      <w:r>
        <w:rPr>
          <w:spacing w:val="40"/>
        </w:rPr>
        <w:t> </w:t>
      </w:r>
      <w:r>
        <w:rPr/>
        <w:t>(c.3287G</w:t>
      </w:r>
      <w:r>
        <w:rPr>
          <w:rFonts w:ascii="Arial"/>
          <w:i/>
        </w:rPr>
        <w:t>&gt;</w:t>
      </w:r>
      <w:r>
        <w:rPr>
          <w:i/>
        </w:rPr>
        <w:t>T</w:t>
      </w:r>
      <w:r>
        <w:rPr/>
        <w:t>):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report</w:t>
      </w:r>
    </w:p>
    <w:p>
      <w:pPr>
        <w:spacing w:line="342" w:lineRule="exact" w:before="127"/>
        <w:ind w:left="148" w:right="328" w:firstLine="0"/>
        <w:jc w:val="center"/>
        <w:rPr>
          <w:sz w:val="26"/>
        </w:rPr>
      </w:pPr>
      <w:r>
        <w:rPr>
          <w:sz w:val="26"/>
        </w:rPr>
        <w:t>Juan</w:t>
      </w:r>
      <w:r>
        <w:rPr>
          <w:spacing w:val="-2"/>
          <w:sz w:val="26"/>
        </w:rPr>
        <w:t> </w:t>
      </w:r>
      <w:r>
        <w:rPr>
          <w:sz w:val="26"/>
        </w:rPr>
        <w:t>Didier</w:t>
      </w:r>
      <w:r>
        <w:rPr>
          <w:spacing w:val="1"/>
          <w:sz w:val="26"/>
        </w:rPr>
        <w:t> </w:t>
      </w:r>
      <w:r>
        <w:rPr>
          <w:sz w:val="26"/>
        </w:rPr>
        <w:t>Parada-Garza</w:t>
      </w:r>
      <w:hyperlink w:history="true" w:anchor="_bookmark0">
        <w:r>
          <w:rPr>
            <w:color w:val="0080AC"/>
            <w:sz w:val="26"/>
            <w:vertAlign w:val="superscript"/>
          </w:rPr>
          <w:t>a</w:t>
        </w:r>
      </w:hyperlink>
      <w:r>
        <w:rPr>
          <w:sz w:val="26"/>
          <w:vertAlign w:val="superscript"/>
        </w:rPr>
        <w:t>,</w:t>
      </w:r>
      <w:hyperlink w:history="true" w:anchor="_bookmark2">
        <w:r>
          <w:rPr>
            <w:rFonts w:ascii="Geneva" w:hAnsi="Geneva"/>
            <w:color w:val="0080AC"/>
            <w:sz w:val="26"/>
            <w:vertAlign w:val="superscript"/>
          </w:rPr>
          <w:t>∗</w:t>
        </w:r>
      </w:hyperlink>
      <w:r>
        <w:rPr>
          <w:sz w:val="26"/>
          <w:vertAlign w:val="baseline"/>
        </w:rPr>
        <w:t>,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German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López-Valencia</w:t>
      </w:r>
      <w:r>
        <w:rPr>
          <w:spacing w:val="-41"/>
          <w:sz w:val="26"/>
          <w:vertAlign w:val="baseline"/>
        </w:rPr>
        <w:t> </w:t>
      </w:r>
      <w:hyperlink w:history="true" w:anchor="_bookmark0">
        <w:r>
          <w:rPr>
            <w:color w:val="0080AC"/>
            <w:sz w:val="26"/>
            <w:vertAlign w:val="superscript"/>
          </w:rPr>
          <w:t>a</w:t>
        </w:r>
      </w:hyperlink>
      <w:r>
        <w:rPr>
          <w:sz w:val="26"/>
          <w:vertAlign w:val="baseline"/>
        </w:rPr>
        <w:t>,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Luis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Adrián</w:t>
      </w:r>
      <w:r>
        <w:rPr>
          <w:spacing w:val="8"/>
          <w:sz w:val="26"/>
          <w:vertAlign w:val="baseline"/>
        </w:rPr>
        <w:t> </w:t>
      </w:r>
      <w:r>
        <w:rPr>
          <w:sz w:val="26"/>
          <w:vertAlign w:val="baseline"/>
        </w:rPr>
        <w:t>Miranda-</w:t>
      </w:r>
      <w:r>
        <w:rPr>
          <w:spacing w:val="14"/>
          <w:sz w:val="26"/>
          <w:vertAlign w:val="baseline"/>
        </w:rPr>
        <w:t>Garc</w:t>
      </w:r>
      <w:r>
        <w:rPr>
          <w:spacing w:val="13"/>
          <w:sz w:val="26"/>
          <w:vertAlign w:val="baseline"/>
        </w:rPr>
        <w:t>i</w:t>
      </w:r>
      <w:r>
        <w:rPr>
          <w:spacing w:val="-87"/>
          <w:sz w:val="26"/>
          <w:vertAlign w:val="baseline"/>
        </w:rPr>
        <w:t>a</w:t>
      </w:r>
      <w:r>
        <w:rPr>
          <w:spacing w:val="14"/>
          <w:sz w:val="26"/>
          <w:vertAlign w:val="baseline"/>
        </w:rPr>
        <w:t>´</w:t>
      </w:r>
      <w:r>
        <w:rPr>
          <w:spacing w:val="-27"/>
          <w:sz w:val="26"/>
          <w:vertAlign w:val="baseline"/>
        </w:rPr>
        <w:t> </w:t>
      </w:r>
      <w:hyperlink w:history="true" w:anchor="_bookmark0">
        <w:r>
          <w:rPr>
            <w:color w:val="0080AC"/>
            <w:spacing w:val="-5"/>
            <w:sz w:val="26"/>
            <w:vertAlign w:val="superscript"/>
          </w:rPr>
          <w:t>a</w:t>
        </w:r>
      </w:hyperlink>
      <w:r>
        <w:rPr>
          <w:spacing w:val="-5"/>
          <w:sz w:val="26"/>
          <w:vertAlign w:val="baseline"/>
        </w:rPr>
        <w:t>,</w:t>
      </w:r>
    </w:p>
    <w:p>
      <w:pPr>
        <w:spacing w:line="295" w:lineRule="exact" w:before="0"/>
        <w:ind w:left="148" w:right="338" w:firstLine="0"/>
        <w:jc w:val="center"/>
        <w:rPr>
          <w:sz w:val="26"/>
        </w:rPr>
      </w:pPr>
      <w:r>
        <w:rPr>
          <w:spacing w:val="-2"/>
          <w:sz w:val="26"/>
        </w:rPr>
        <w:t>Guillermo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Pérez-</w:t>
      </w:r>
      <w:r>
        <w:rPr>
          <w:spacing w:val="12"/>
          <w:sz w:val="26"/>
        </w:rPr>
        <w:t>Garc</w:t>
      </w:r>
      <w:r>
        <w:rPr>
          <w:spacing w:val="13"/>
          <w:sz w:val="26"/>
        </w:rPr>
        <w:t>i</w:t>
      </w:r>
      <w:r>
        <w:rPr>
          <w:spacing w:val="-88"/>
          <w:sz w:val="26"/>
        </w:rPr>
        <w:t>a</w:t>
      </w:r>
      <w:r>
        <w:rPr>
          <w:spacing w:val="13"/>
          <w:sz w:val="26"/>
        </w:rPr>
        <w:t>´</w:t>
      </w:r>
      <w:r>
        <w:rPr>
          <w:spacing w:val="-26"/>
          <w:sz w:val="26"/>
        </w:rPr>
        <w:t> </w:t>
      </w:r>
      <w:hyperlink w:history="true" w:anchor="_bookmark1">
        <w:r>
          <w:rPr>
            <w:color w:val="0080AC"/>
            <w:spacing w:val="-2"/>
            <w:sz w:val="26"/>
            <w:vertAlign w:val="superscript"/>
          </w:rPr>
          <w:t>b</w:t>
        </w:r>
      </w:hyperlink>
      <w:r>
        <w:rPr>
          <w:spacing w:val="-2"/>
          <w:sz w:val="26"/>
          <w:vertAlign w:val="baseline"/>
        </w:rPr>
        <w:t>,</w:t>
      </w:r>
      <w:r>
        <w:rPr>
          <w:spacing w:val="13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José</w:t>
      </w:r>
      <w:r>
        <w:rPr>
          <w:spacing w:val="14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Luis</w:t>
      </w:r>
      <w:r>
        <w:rPr>
          <w:spacing w:val="13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Ruiz-Sandoval</w:t>
      </w:r>
      <w:hyperlink w:history="true" w:anchor="_bookmark0">
        <w:r>
          <w:rPr>
            <w:color w:val="0080AC"/>
            <w:spacing w:val="-2"/>
            <w:sz w:val="26"/>
            <w:vertAlign w:val="superscript"/>
          </w:rPr>
          <w:t>a</w:t>
        </w:r>
      </w:hyperlink>
    </w:p>
    <w:p>
      <w:pPr>
        <w:spacing w:line="203" w:lineRule="exact" w:before="94"/>
        <w:ind w:left="150" w:right="325" w:firstLine="0"/>
        <w:jc w:val="center"/>
        <w:rPr>
          <w:i/>
          <w:sz w:val="16"/>
        </w:rPr>
      </w:pPr>
      <w:bookmarkStart w:name="_bookmark0" w:id="2"/>
      <w:bookmarkEnd w:id="2"/>
      <w:r>
        <w:rPr/>
      </w:r>
      <w:r>
        <w:rPr>
          <w:position w:val="6"/>
          <w:sz w:val="12"/>
        </w:rPr>
        <w:t>a</w:t>
      </w:r>
      <w:r>
        <w:rPr>
          <w:spacing w:val="-8"/>
          <w:position w:val="6"/>
          <w:sz w:val="12"/>
        </w:rPr>
        <w:t> </w:t>
      </w:r>
      <w:bookmarkStart w:name="_bookmark1" w:id="3"/>
      <w:bookmarkEnd w:id="3"/>
      <w:r>
        <w:rPr>
          <w:spacing w:val="-7"/>
          <w:position w:val="6"/>
          <w:sz w:val="12"/>
        </w:rPr>
      </w:r>
      <w:r>
        <w:rPr>
          <w:i/>
          <w:sz w:val="16"/>
        </w:rPr>
        <w:t>Department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Neurology,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Hospital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Civil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Guadalajara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“Fray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Antonio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Alcalde”,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Hospital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278.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Guadalajara,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Jalisco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44280,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Mexico</w:t>
      </w:r>
    </w:p>
    <w:p>
      <w:pPr>
        <w:spacing w:line="203" w:lineRule="exact" w:before="0"/>
        <w:ind w:left="152" w:right="325" w:firstLine="0"/>
        <w:jc w:val="center"/>
        <w:rPr>
          <w:i/>
          <w:sz w:val="16"/>
        </w:rPr>
      </w:pPr>
      <w:r>
        <w:rPr>
          <w:position w:val="6"/>
          <w:sz w:val="12"/>
        </w:rPr>
        <w:t>b</w:t>
      </w:r>
      <w:r>
        <w:rPr>
          <w:spacing w:val="-8"/>
          <w:position w:val="6"/>
          <w:sz w:val="12"/>
        </w:rPr>
        <w:t> </w:t>
      </w:r>
      <w:r>
        <w:rPr>
          <w:i/>
          <w:sz w:val="16"/>
        </w:rPr>
        <w:t>Department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Neurosciences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(Dr.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Ruiz-Sandoval),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Centro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Universitario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Ciencias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la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Salud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(CUCS),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Universidad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Guadalajara,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Mexico</w:t>
      </w:r>
    </w:p>
    <w:p>
      <w:pPr>
        <w:spacing w:before="83"/>
        <w:ind w:left="150" w:right="325" w:firstLine="0"/>
        <w:jc w:val="center"/>
        <w:rPr>
          <w:sz w:val="16"/>
        </w:rPr>
      </w:pPr>
      <w:r>
        <w:rPr>
          <w:sz w:val="16"/>
        </w:rPr>
        <w:t>Received</w:t>
      </w:r>
      <w:r>
        <w:rPr>
          <w:spacing w:val="12"/>
          <w:sz w:val="16"/>
        </w:rPr>
        <w:t> </w:t>
      </w:r>
      <w:r>
        <w:rPr>
          <w:sz w:val="16"/>
        </w:rPr>
        <w:t>3</w:t>
      </w:r>
      <w:r>
        <w:rPr>
          <w:spacing w:val="12"/>
          <w:sz w:val="16"/>
        </w:rPr>
        <w:t> </w:t>
      </w:r>
      <w:r>
        <w:rPr>
          <w:sz w:val="16"/>
        </w:rPr>
        <w:t>December</w:t>
      </w:r>
      <w:r>
        <w:rPr>
          <w:spacing w:val="13"/>
          <w:sz w:val="16"/>
        </w:rPr>
        <w:t> </w:t>
      </w:r>
      <w:r>
        <w:rPr>
          <w:sz w:val="16"/>
        </w:rPr>
        <w:t>2019;</w:t>
      </w:r>
      <w:r>
        <w:rPr>
          <w:spacing w:val="12"/>
          <w:sz w:val="16"/>
        </w:rPr>
        <w:t> </w:t>
      </w:r>
      <w:r>
        <w:rPr>
          <w:sz w:val="16"/>
        </w:rPr>
        <w:t>received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revised</w:t>
      </w:r>
      <w:r>
        <w:rPr>
          <w:spacing w:val="12"/>
          <w:sz w:val="16"/>
        </w:rPr>
        <w:t> </w:t>
      </w:r>
      <w:r>
        <w:rPr>
          <w:sz w:val="16"/>
        </w:rPr>
        <w:t>form</w:t>
      </w:r>
      <w:r>
        <w:rPr>
          <w:spacing w:val="13"/>
          <w:sz w:val="16"/>
        </w:rPr>
        <w:t> </w:t>
      </w:r>
      <w:r>
        <w:rPr>
          <w:sz w:val="16"/>
        </w:rPr>
        <w:t>26</w:t>
      </w:r>
      <w:r>
        <w:rPr>
          <w:spacing w:val="12"/>
          <w:sz w:val="16"/>
        </w:rPr>
        <w:t> </w:t>
      </w:r>
      <w:r>
        <w:rPr>
          <w:sz w:val="16"/>
        </w:rPr>
        <w:t>April</w:t>
      </w:r>
      <w:r>
        <w:rPr>
          <w:spacing w:val="12"/>
          <w:sz w:val="16"/>
        </w:rPr>
        <w:t> </w:t>
      </w:r>
      <w:r>
        <w:rPr>
          <w:sz w:val="16"/>
        </w:rPr>
        <w:t>2020;</w:t>
      </w:r>
      <w:r>
        <w:rPr>
          <w:spacing w:val="13"/>
          <w:sz w:val="16"/>
        </w:rPr>
        <w:t> </w:t>
      </w:r>
      <w:r>
        <w:rPr>
          <w:sz w:val="16"/>
        </w:rPr>
        <w:t>accepted</w:t>
      </w:r>
      <w:r>
        <w:rPr>
          <w:spacing w:val="12"/>
          <w:sz w:val="16"/>
        </w:rPr>
        <w:t> </w:t>
      </w:r>
      <w:r>
        <w:rPr>
          <w:sz w:val="16"/>
        </w:rPr>
        <w:t>27</w:t>
      </w:r>
      <w:r>
        <w:rPr>
          <w:spacing w:val="13"/>
          <w:sz w:val="16"/>
        </w:rPr>
        <w:t> </w:t>
      </w:r>
      <w:r>
        <w:rPr>
          <w:sz w:val="16"/>
        </w:rPr>
        <w:t>April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2020</w:t>
      </w:r>
    </w:p>
    <w:p>
      <w:pPr>
        <w:pStyle w:val="BodyText"/>
      </w:pP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419176</wp:posOffset>
                </wp:positionH>
                <wp:positionV relativeFrom="paragraph">
                  <wp:posOffset>193308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15.221105pt;width:520.1pt;height:.1pt;mso-position-horizontal-relative:page;mso-position-vertical-relative:paragraph;z-index:-15728128;mso-wrap-distance-left:0;mso-wrap-distance-right:0" id="docshape1" coordorigin="660,304" coordsize="10402,0" path="m660,304l11061,304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4"/>
        <w:ind w:left="94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Abstract</w:t>
      </w:r>
    </w:p>
    <w:p>
      <w:pPr>
        <w:spacing w:line="254" w:lineRule="auto" w:before="132"/>
        <w:ind w:left="94" w:right="264" w:firstLine="239"/>
        <w:jc w:val="both"/>
        <w:rPr>
          <w:sz w:val="18"/>
        </w:rPr>
      </w:pPr>
      <w:r>
        <w:rPr>
          <w:sz w:val="18"/>
        </w:rPr>
        <w:t>Sensory ataxic neuropathy with dysarthria and ophthalmoparesis (SANDO) is an adult onset sensory ataxic neuropathy, dysarthria and chronic progressive external ophthalmoplegia associated with mutations in POLG1. We report a 38-year-old woman with a history of progressive gait instability and bilateral ptosis. Neurological examination found ataxia, ophthalmoplegia, and dysarthria. MRI showed bilateral thalamic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cerebellar</w:t>
      </w:r>
      <w:r>
        <w:rPr>
          <w:spacing w:val="30"/>
          <w:sz w:val="18"/>
        </w:rPr>
        <w:t> </w:t>
      </w:r>
      <w:r>
        <w:rPr>
          <w:sz w:val="18"/>
        </w:rPr>
        <w:t>lesions.</w:t>
      </w:r>
      <w:r>
        <w:rPr>
          <w:spacing w:val="30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POLG</w:t>
      </w:r>
      <w:r>
        <w:rPr>
          <w:spacing w:val="30"/>
          <w:sz w:val="18"/>
        </w:rPr>
        <w:t> </w:t>
      </w:r>
      <w:r>
        <w:rPr>
          <w:sz w:val="18"/>
        </w:rPr>
        <w:t>related</w:t>
      </w:r>
      <w:r>
        <w:rPr>
          <w:spacing w:val="30"/>
          <w:sz w:val="18"/>
        </w:rPr>
        <w:t> </w:t>
      </w:r>
      <w:r>
        <w:rPr>
          <w:sz w:val="18"/>
        </w:rPr>
        <w:t>disorder</w:t>
      </w:r>
      <w:r>
        <w:rPr>
          <w:spacing w:val="30"/>
          <w:sz w:val="18"/>
        </w:rPr>
        <w:t> </w:t>
      </w:r>
      <w:r>
        <w:rPr>
          <w:sz w:val="18"/>
        </w:rPr>
        <w:t>was</w:t>
      </w:r>
      <w:r>
        <w:rPr>
          <w:spacing w:val="30"/>
          <w:sz w:val="18"/>
        </w:rPr>
        <w:t> </w:t>
      </w:r>
      <w:r>
        <w:rPr>
          <w:sz w:val="18"/>
        </w:rPr>
        <w:t>suspected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after</w:t>
      </w:r>
      <w:r>
        <w:rPr>
          <w:spacing w:val="30"/>
          <w:sz w:val="18"/>
        </w:rPr>
        <w:t> </w:t>
      </w:r>
      <w:r>
        <w:rPr>
          <w:sz w:val="18"/>
        </w:rPr>
        <w:t>DNA</w:t>
      </w:r>
      <w:r>
        <w:rPr>
          <w:spacing w:val="30"/>
          <w:sz w:val="18"/>
        </w:rPr>
        <w:t> </w:t>
      </w:r>
      <w:r>
        <w:rPr>
          <w:sz w:val="18"/>
        </w:rPr>
        <w:t>sequencing</w:t>
      </w:r>
      <w:r>
        <w:rPr>
          <w:spacing w:val="30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SANDO</w:t>
      </w:r>
      <w:r>
        <w:rPr>
          <w:spacing w:val="30"/>
          <w:sz w:val="18"/>
        </w:rPr>
        <w:t> </w:t>
      </w:r>
      <w:r>
        <w:rPr>
          <w:sz w:val="18"/>
        </w:rPr>
        <w:t>with</w:t>
      </w:r>
      <w:r>
        <w:rPr>
          <w:spacing w:val="30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novel</w:t>
      </w:r>
      <w:r>
        <w:rPr>
          <w:spacing w:val="30"/>
          <w:sz w:val="18"/>
        </w:rPr>
        <w:t> </w:t>
      </w:r>
      <w:r>
        <w:rPr>
          <w:sz w:val="18"/>
        </w:rPr>
        <w:t>mutation</w:t>
      </w:r>
      <w:r>
        <w:rPr>
          <w:spacing w:val="30"/>
          <w:sz w:val="18"/>
        </w:rPr>
        <w:t> </w:t>
      </w:r>
      <w:r>
        <w:rPr>
          <w:sz w:val="18"/>
        </w:rPr>
        <w:t>in POLG was confirmed.</w:t>
      </w:r>
    </w:p>
    <w:p>
      <w:pPr>
        <w:spacing w:line="206" w:lineRule="exact" w:before="0"/>
        <w:ind w:left="94" w:right="0" w:firstLine="0"/>
        <w:jc w:val="both"/>
        <w:rPr>
          <w:sz w:val="18"/>
        </w:rPr>
      </w:pPr>
      <w:r>
        <w:rPr>
          <w:sz w:val="18"/>
        </w:rPr>
        <w:t>©</w:t>
      </w:r>
      <w:r>
        <w:rPr>
          <w:spacing w:val="12"/>
          <w:sz w:val="18"/>
        </w:rPr>
        <w:t> </w:t>
      </w:r>
      <w:r>
        <w:rPr>
          <w:sz w:val="18"/>
        </w:rPr>
        <w:t>2020</w:t>
      </w:r>
      <w:r>
        <w:rPr>
          <w:spacing w:val="13"/>
          <w:sz w:val="18"/>
        </w:rPr>
        <w:t> </w:t>
      </w:r>
      <w:r>
        <w:rPr>
          <w:sz w:val="18"/>
        </w:rPr>
        <w:t>Elsevier</w:t>
      </w:r>
      <w:r>
        <w:rPr>
          <w:spacing w:val="13"/>
          <w:sz w:val="18"/>
        </w:rPr>
        <w:t> </w:t>
      </w:r>
      <w:r>
        <w:rPr>
          <w:sz w:val="18"/>
        </w:rPr>
        <w:t>B.V.</w:t>
      </w:r>
      <w:r>
        <w:rPr>
          <w:spacing w:val="13"/>
          <w:sz w:val="18"/>
        </w:rPr>
        <w:t> </w:t>
      </w:r>
      <w:r>
        <w:rPr>
          <w:sz w:val="18"/>
        </w:rPr>
        <w:t>All</w:t>
      </w:r>
      <w:r>
        <w:rPr>
          <w:spacing w:val="13"/>
          <w:sz w:val="18"/>
        </w:rPr>
        <w:t> </w:t>
      </w:r>
      <w:r>
        <w:rPr>
          <w:sz w:val="18"/>
        </w:rPr>
        <w:t>rights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reserved.</w:t>
      </w:r>
    </w:p>
    <w:p>
      <w:pPr>
        <w:pStyle w:val="BodyText"/>
        <w:spacing w:before="196"/>
        <w:rPr>
          <w:sz w:val="18"/>
        </w:rPr>
      </w:pPr>
    </w:p>
    <w:p>
      <w:pPr>
        <w:spacing w:before="1"/>
        <w:ind w:left="94" w:right="0" w:firstLine="0"/>
        <w:jc w:val="left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8"/>
          <w:sz w:val="16"/>
        </w:rPr>
        <w:t> </w:t>
      </w:r>
      <w:r>
        <w:rPr>
          <w:sz w:val="16"/>
        </w:rPr>
        <w:t>Ataxia-neuropathy</w:t>
      </w:r>
      <w:r>
        <w:rPr>
          <w:spacing w:val="6"/>
          <w:sz w:val="16"/>
        </w:rPr>
        <w:t> </w:t>
      </w:r>
      <w:r>
        <w:rPr>
          <w:sz w:val="16"/>
        </w:rPr>
        <w:t>spectrum;</w:t>
      </w:r>
      <w:r>
        <w:rPr>
          <w:spacing w:val="7"/>
          <w:sz w:val="16"/>
        </w:rPr>
        <w:t> </w:t>
      </w:r>
      <w:r>
        <w:rPr>
          <w:sz w:val="16"/>
        </w:rPr>
        <w:t>CPEO;</w:t>
      </w:r>
      <w:r>
        <w:rPr>
          <w:spacing w:val="6"/>
          <w:sz w:val="16"/>
        </w:rPr>
        <w:t> </w:t>
      </w:r>
      <w:r>
        <w:rPr>
          <w:sz w:val="16"/>
        </w:rPr>
        <w:t>Mitochondrial</w:t>
      </w:r>
      <w:r>
        <w:rPr>
          <w:spacing w:val="7"/>
          <w:sz w:val="16"/>
        </w:rPr>
        <w:t> </w:t>
      </w:r>
      <w:r>
        <w:rPr>
          <w:sz w:val="16"/>
        </w:rPr>
        <w:t>disease;</w:t>
      </w:r>
      <w:r>
        <w:rPr>
          <w:spacing w:val="6"/>
          <w:sz w:val="16"/>
        </w:rPr>
        <w:t> </w:t>
      </w:r>
      <w:r>
        <w:rPr>
          <w:sz w:val="16"/>
        </w:rPr>
        <w:t>POLG</w:t>
      </w:r>
      <w:r>
        <w:rPr>
          <w:spacing w:val="7"/>
          <w:sz w:val="16"/>
        </w:rPr>
        <w:t> </w:t>
      </w:r>
      <w:r>
        <w:rPr>
          <w:sz w:val="16"/>
        </w:rPr>
        <w:t>gene;</w:t>
      </w:r>
      <w:r>
        <w:rPr>
          <w:spacing w:val="6"/>
          <w:sz w:val="16"/>
        </w:rPr>
        <w:t> </w:t>
      </w:r>
      <w:r>
        <w:rPr>
          <w:sz w:val="16"/>
        </w:rPr>
        <w:t>POLG</w:t>
      </w:r>
      <w:r>
        <w:rPr>
          <w:spacing w:val="6"/>
          <w:sz w:val="16"/>
        </w:rPr>
        <w:t> </w:t>
      </w:r>
      <w:r>
        <w:rPr>
          <w:sz w:val="16"/>
        </w:rPr>
        <w:t>mutation;</w:t>
      </w:r>
      <w:r>
        <w:rPr>
          <w:spacing w:val="7"/>
          <w:sz w:val="16"/>
        </w:rPr>
        <w:t> </w:t>
      </w:r>
      <w:r>
        <w:rPr>
          <w:sz w:val="16"/>
        </w:rPr>
        <w:t>Ophthalmoparesis;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SANDO.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419176</wp:posOffset>
                </wp:positionH>
                <wp:positionV relativeFrom="paragraph">
                  <wp:posOffset>133026</wp:posOffset>
                </wp:positionV>
                <wp:extent cx="66052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10.474547pt;width:520.1pt;height:.1pt;mso-position-horizontal-relative:page;mso-position-vertical-relative:paragraph;z-index:-15727616;mso-wrap-distance-left:0;mso-wrap-distance-right:0" id="docshape2" coordorigin="660,209" coordsize="10402,0" path="m660,209l11061,209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after="0"/>
        <w:sectPr>
          <w:type w:val="continuous"/>
          <w:pgSz w:w="11910" w:h="15880"/>
          <w:pgMar w:top="840" w:bottom="280" w:left="566" w:right="566"/>
        </w:sectPr>
      </w:pPr>
    </w:p>
    <w:p>
      <w:pPr>
        <w:pStyle w:val="Heading1"/>
        <w:numPr>
          <w:ilvl w:val="0"/>
          <w:numId w:val="1"/>
        </w:numPr>
        <w:tabs>
          <w:tab w:pos="325" w:val="left" w:leader="none"/>
        </w:tabs>
        <w:spacing w:line="240" w:lineRule="auto" w:before="99" w:after="0"/>
        <w:ind w:left="325" w:right="0" w:hanging="231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/>
        <w:ind w:left="94" w:right="38" w:firstLine="239"/>
        <w:jc w:val="both"/>
      </w:pPr>
      <w:bookmarkStart w:name="2 Case report" w:id="5"/>
      <w:bookmarkEnd w:id="5"/>
      <w:r>
        <w:rPr/>
      </w:r>
      <w:r>
        <w:rPr/>
        <w:t>In</w:t>
      </w:r>
      <w:r>
        <w:rPr>
          <w:spacing w:val="40"/>
        </w:rPr>
        <w:t> </w:t>
      </w:r>
      <w:r>
        <w:rPr/>
        <w:t>patients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mitochondrial</w:t>
      </w:r>
      <w:r>
        <w:rPr>
          <w:spacing w:val="40"/>
        </w:rPr>
        <w:t> </w:t>
      </w:r>
      <w:r>
        <w:rPr/>
        <w:t>diseases,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frequent clinical symptom is chronic progressive external ophthalmoplegia (CPEO), the latter is often associated with multisystem presentations, so the term CPEO-plus has been employed to include all patients within the spectrum. Sensory ataxic neuropathy with dysarthria and ophthalmoparesis (SANDO) is one of the most common chronic progressive external ophthalmoplegia-plus (CPEO-plus) syndromes </w:t>
      </w:r>
      <w:hyperlink w:history="true" w:anchor="_bookmark11">
        <w:r>
          <w:rPr>
            <w:color w:val="0080AC"/>
          </w:rPr>
          <w:t>[1</w:t>
        </w:r>
      </w:hyperlink>
      <w:r>
        <w:rPr/>
        <w:t>,</w:t>
      </w:r>
      <w:hyperlink w:history="true" w:anchor="_bookmark12">
        <w:r>
          <w:rPr>
            <w:color w:val="0080AC"/>
          </w:rPr>
          <w:t>2]</w:t>
        </w:r>
      </w:hyperlink>
      <w:r>
        <w:rPr/>
        <w:t>. The POLG gene, which is located in chromosome 15q25.7 encodes the polymerase gamma enzyme that participates in</w:t>
      </w:r>
      <w:r>
        <w:rPr>
          <w:spacing w:val="40"/>
        </w:rPr>
        <w:t> </w:t>
      </w:r>
      <w:r>
        <w:rPr/>
        <w:t>the replication and repair of mitochondrial DNA. Certain mutations in this gene give rise to the so-called "POLG- related disorders", which include CPEO itself, epilepsy, parkinsonism, infertility in men, Alpers syndrome and ataxia- neuropathy spectrum (SANO, SANDO and MIRAS)</w:t>
      </w:r>
      <w:hyperlink w:history="true" w:anchor="_bookmark11">
        <w:r>
          <w:rPr>
            <w:color w:val="0080AC"/>
          </w:rPr>
          <w:t>[1</w:t>
        </w:r>
      </w:hyperlink>
      <w:r>
        <w:rPr/>
        <w:t>–</w:t>
      </w:r>
      <w:hyperlink w:history="true" w:anchor="_bookmark4">
        <w:r>
          <w:rPr>
            <w:color w:val="0080AC"/>
          </w:rPr>
          <w:t>3]</w:t>
        </w:r>
      </w:hyperlink>
      <w:r>
        <w:rPr/>
        <w:t>.</w:t>
      </w:r>
    </w:p>
    <w:p>
      <w:pPr>
        <w:pStyle w:val="BodyText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419176</wp:posOffset>
                </wp:positionH>
                <wp:positionV relativeFrom="paragraph">
                  <wp:posOffset>271362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21.36714pt;width:35.9pt;height:.1pt;mso-position-horizontal-relative:page;mso-position-vertical-relative:paragraph;z-index:-15727104;mso-wrap-distance-left:0;mso-wrap-distance-right:0" id="docshape3" coordorigin="660,427" coordsize="718,0" path="m660,427l1378,427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4" w:lineRule="auto" w:before="27"/>
        <w:ind w:left="94" w:right="38" w:firstLine="107"/>
        <w:jc w:val="both"/>
        <w:rPr>
          <w:sz w:val="16"/>
        </w:rPr>
      </w:pPr>
      <w:bookmarkStart w:name="_bookmark2" w:id="6"/>
      <w:bookmarkEnd w:id="6"/>
      <w:r>
        <w:rPr/>
      </w:r>
      <w:r>
        <w:rPr>
          <w:rFonts w:ascii="Geneva" w:hAnsi="Geneva"/>
          <w:sz w:val="16"/>
          <w:vertAlign w:val="superscript"/>
        </w:rPr>
        <w:t>∗</w:t>
      </w:r>
      <w:r>
        <w:rPr>
          <w:rFonts w:ascii="Geneva" w:hAnsi="Geneva"/>
          <w:sz w:val="16"/>
          <w:vertAlign w:val="baseline"/>
        </w:rPr>
        <w:t> </w:t>
      </w:r>
      <w:r>
        <w:rPr>
          <w:sz w:val="16"/>
          <w:vertAlign w:val="baseline"/>
        </w:rPr>
        <w:t>Dr. Juan Didier Parada Garza, Neuromuscular Disorders Clinic. Hospital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Civil de Guadalajara “Fray Antonio Alcalde”. Hospital 278. Guadalajara,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Jalisco México. Postal Code 44280.</w:t>
      </w:r>
    </w:p>
    <w:p>
      <w:pPr>
        <w:spacing w:before="6"/>
        <w:ind w:left="333" w:right="0" w:firstLine="0"/>
        <w:jc w:val="both"/>
        <w:rPr>
          <w:sz w:val="16"/>
        </w:rPr>
      </w:pPr>
      <w:r>
        <w:rPr>
          <w:i/>
          <w:spacing w:val="-2"/>
          <w:sz w:val="16"/>
        </w:rPr>
        <w:t>E-mail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address:</w:t>
      </w:r>
      <w:r>
        <w:rPr>
          <w:i/>
          <w:spacing w:val="22"/>
          <w:sz w:val="16"/>
        </w:rPr>
        <w:t> </w:t>
      </w:r>
      <w:hyperlink r:id="rId12">
        <w:r>
          <w:rPr>
            <w:color w:val="0080AC"/>
            <w:spacing w:val="-2"/>
            <w:sz w:val="16"/>
          </w:rPr>
          <w:t>j_didiergarza@hotmail.com</w:t>
        </w:r>
      </w:hyperlink>
      <w:r>
        <w:rPr>
          <w:color w:val="0080AC"/>
          <w:spacing w:val="22"/>
          <w:sz w:val="16"/>
        </w:rPr>
        <w:t> </w:t>
      </w:r>
      <w:r>
        <w:rPr>
          <w:spacing w:val="-2"/>
          <w:sz w:val="16"/>
        </w:rPr>
        <w:t>(J.D.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Parada-Garza).</w:t>
      </w:r>
    </w:p>
    <w:p>
      <w:pPr>
        <w:spacing w:before="161"/>
        <w:ind w:left="94" w:right="0" w:firstLine="0"/>
        <w:jc w:val="left"/>
        <w:rPr>
          <w:sz w:val="16"/>
        </w:rPr>
      </w:pPr>
      <w:hyperlink r:id="rId9">
        <w:r>
          <w:rPr>
            <w:color w:val="0080AC"/>
            <w:spacing w:val="-2"/>
            <w:sz w:val="16"/>
          </w:rPr>
          <w:t>https://doi.org/10.1016/j.nmd.2020.04.008</w:t>
        </w:r>
      </w:hyperlink>
    </w:p>
    <w:p>
      <w:pPr>
        <w:spacing w:before="15"/>
        <w:ind w:left="94" w:right="0" w:firstLine="0"/>
        <w:jc w:val="left"/>
        <w:rPr>
          <w:sz w:val="16"/>
        </w:rPr>
      </w:pPr>
      <w:r>
        <w:rPr>
          <w:sz w:val="16"/>
        </w:rPr>
        <w:t>0960-8966/©</w:t>
      </w:r>
      <w:r>
        <w:rPr>
          <w:spacing w:val="9"/>
          <w:sz w:val="16"/>
        </w:rPr>
        <w:t> </w:t>
      </w:r>
      <w:r>
        <w:rPr>
          <w:sz w:val="16"/>
        </w:rPr>
        <w:t>2020</w:t>
      </w:r>
      <w:r>
        <w:rPr>
          <w:spacing w:val="9"/>
          <w:sz w:val="16"/>
        </w:rPr>
        <w:t> </w:t>
      </w:r>
      <w:r>
        <w:rPr>
          <w:sz w:val="16"/>
        </w:rPr>
        <w:t>Elsevier</w:t>
      </w:r>
      <w:r>
        <w:rPr>
          <w:spacing w:val="10"/>
          <w:sz w:val="16"/>
        </w:rPr>
        <w:t> </w:t>
      </w:r>
      <w:r>
        <w:rPr>
          <w:sz w:val="16"/>
        </w:rPr>
        <w:t>B.V.</w:t>
      </w:r>
      <w:r>
        <w:rPr>
          <w:spacing w:val="10"/>
          <w:sz w:val="16"/>
        </w:rPr>
        <w:t> </w:t>
      </w:r>
      <w:r>
        <w:rPr>
          <w:sz w:val="16"/>
        </w:rPr>
        <w:t>All</w:t>
      </w:r>
      <w:r>
        <w:rPr>
          <w:spacing w:val="10"/>
          <w:sz w:val="16"/>
        </w:rPr>
        <w:t> </w:t>
      </w:r>
      <w:r>
        <w:rPr>
          <w:sz w:val="16"/>
        </w:rPr>
        <w:t>rights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reserved.</w:t>
      </w:r>
    </w:p>
    <w:p>
      <w:pPr>
        <w:pStyle w:val="BodyText"/>
        <w:spacing w:line="249" w:lineRule="auto" w:before="99"/>
        <w:ind w:left="94" w:right="271" w:firstLine="239"/>
        <w:jc w:val="both"/>
      </w:pPr>
      <w:r>
        <w:rPr/>
        <w:br w:type="column"/>
      </w:r>
      <w:r>
        <w:rPr/>
        <w:t>Here we describe a patient with SANDO diagnosis, who present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MRI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novel</w:t>
      </w:r>
      <w:r>
        <w:rPr>
          <w:spacing w:val="-2"/>
        </w:rPr>
        <w:t> </w:t>
      </w:r>
      <w:r>
        <w:rPr/>
        <w:t>POLG</w:t>
      </w:r>
      <w:r>
        <w:rPr>
          <w:spacing w:val="-2"/>
        </w:rPr>
        <w:t> </w:t>
      </w:r>
      <w:r>
        <w:rPr/>
        <w:t>gene c.3287G</w:t>
      </w:r>
      <w:r>
        <w:rPr>
          <w:rFonts w:ascii="Arial"/>
          <w:i/>
        </w:rPr>
        <w:t>&gt; </w:t>
      </w:r>
      <w:r>
        <w:rPr>
          <w:i/>
        </w:rPr>
        <w:t>T </w:t>
      </w:r>
      <w:r>
        <w:rPr/>
        <w:t>heterozygous mutation.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325" w:val="left" w:leader="none"/>
        </w:tabs>
        <w:spacing w:line="240" w:lineRule="auto" w:before="0" w:after="0"/>
        <w:ind w:left="325" w:right="0" w:hanging="231"/>
        <w:jc w:val="left"/>
      </w:pPr>
      <w:r>
        <w:rPr/>
        <w:t>Case</w:t>
      </w:r>
      <w:r>
        <w:rPr>
          <w:spacing w:val="20"/>
        </w:rPr>
        <w:t> </w:t>
      </w:r>
      <w:r>
        <w:rPr>
          <w:spacing w:val="-2"/>
        </w:rPr>
        <w:t>report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 w:before="1"/>
        <w:ind w:left="94" w:right="270" w:firstLine="239"/>
        <w:jc w:val="both"/>
      </w:pPr>
      <w:r>
        <w:rPr/>
        <w:t>We present a 38-year-old woman, with no relevant prior clinical history or consanguinity in family members. Her condition began at age 27, with progressive gait instability</w:t>
      </w:r>
      <w:r>
        <w:rPr>
          <w:spacing w:val="80"/>
        </w:rPr>
        <w:t> </w:t>
      </w:r>
      <w:r>
        <w:rPr/>
        <w:t>that slowly worsened and after 5 years of onset progressive bilateral ptosis was developed. She began the evaluation in</w:t>
      </w:r>
      <w:r>
        <w:rPr>
          <w:spacing w:val="80"/>
        </w:rPr>
        <w:t> </w:t>
      </w:r>
      <w:r>
        <w:rPr/>
        <w:t>our hospital 11 years after the onset of symptoms, at first evaluation we noted an ataxic gait and the presence of</w:t>
      </w:r>
      <w:r>
        <w:rPr>
          <w:spacing w:val="80"/>
        </w:rPr>
        <w:t> </w:t>
      </w:r>
      <w:r>
        <w:rPr/>
        <w:t>bilateral ptosis.</w:t>
      </w:r>
    </w:p>
    <w:p>
      <w:pPr>
        <w:pStyle w:val="BodyText"/>
        <w:spacing w:line="249" w:lineRule="auto"/>
        <w:ind w:left="94" w:right="272" w:firstLine="239"/>
        <w:jc w:val="both"/>
      </w:pPr>
      <w:r>
        <w:rPr/>
        <w:t>Neurological</w:t>
      </w:r>
      <w:r>
        <w:rPr>
          <w:spacing w:val="80"/>
        </w:rPr>
        <w:t> </w:t>
      </w:r>
      <w:r>
        <w:rPr/>
        <w:t>examination</w:t>
      </w:r>
      <w:r>
        <w:rPr>
          <w:spacing w:val="80"/>
        </w:rPr>
        <w:t> </w:t>
      </w:r>
      <w:r>
        <w:rPr/>
        <w:t>revealed,</w:t>
      </w:r>
      <w:r>
        <w:rPr>
          <w:spacing w:val="80"/>
        </w:rPr>
        <w:t> </w:t>
      </w:r>
      <w:r>
        <w:rPr/>
        <w:t>normal</w:t>
      </w:r>
      <w:r>
        <w:rPr>
          <w:spacing w:val="80"/>
        </w:rPr>
        <w:t> </w:t>
      </w:r>
      <w:r>
        <w:rPr/>
        <w:t>mental state, pupils without abnormalities, bilateral complete ophthalmoplegia, dysarthria, normal strength with global areflexia, normal sensitive examination, wide-based gait and positive Romberg test.</w:t>
      </w:r>
    </w:p>
    <w:p>
      <w:pPr>
        <w:pStyle w:val="BodyText"/>
        <w:spacing w:line="249" w:lineRule="auto"/>
        <w:ind w:left="94" w:right="271" w:firstLine="239"/>
        <w:jc w:val="both"/>
      </w:pPr>
      <w:r>
        <w:rPr/>
        <w:t>General laboratory studies were unremarkable. Targeted studies including rheumatoid factor, C-reactive protein levels, serologies</w:t>
      </w:r>
      <w:r>
        <w:rPr>
          <w:spacing w:val="64"/>
        </w:rPr>
        <w:t> </w:t>
      </w:r>
      <w:r>
        <w:rPr/>
        <w:t>for</w:t>
      </w:r>
      <w:r>
        <w:rPr>
          <w:spacing w:val="64"/>
        </w:rPr>
        <w:t> </w:t>
      </w:r>
      <w:r>
        <w:rPr/>
        <w:t>HIV</w:t>
      </w:r>
      <w:r>
        <w:rPr>
          <w:spacing w:val="64"/>
        </w:rPr>
        <w:t> </w:t>
      </w:r>
      <w:r>
        <w:rPr/>
        <w:t>and</w:t>
      </w:r>
      <w:r>
        <w:rPr>
          <w:spacing w:val="65"/>
        </w:rPr>
        <w:t> </w:t>
      </w:r>
      <w:r>
        <w:rPr/>
        <w:t>syphilis,</w:t>
      </w:r>
      <w:r>
        <w:rPr>
          <w:spacing w:val="64"/>
        </w:rPr>
        <w:t> </w:t>
      </w:r>
      <w:r>
        <w:rPr/>
        <w:t>vitamin</w:t>
      </w:r>
      <w:r>
        <w:rPr>
          <w:spacing w:val="64"/>
        </w:rPr>
        <w:t> </w:t>
      </w:r>
      <w:r>
        <w:rPr/>
        <w:t>B12</w:t>
      </w:r>
      <w:r>
        <w:rPr>
          <w:spacing w:val="65"/>
        </w:rPr>
        <w:t> </w:t>
      </w:r>
      <w:r>
        <w:rPr/>
        <w:t>levels</w:t>
      </w:r>
      <w:r>
        <w:rPr>
          <w:spacing w:val="64"/>
        </w:rPr>
        <w:t> </w:t>
      </w:r>
      <w:r>
        <w:rPr>
          <w:spacing w:val="-5"/>
        </w:rPr>
        <w:t>and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160" w:space="219"/>
            <w:col w:w="5399"/>
          </w:cols>
        </w:sectPr>
      </w:pPr>
    </w:p>
    <w:p>
      <w:pPr>
        <w:tabs>
          <w:tab w:pos="10698" w:val="right" w:leader="none"/>
        </w:tabs>
        <w:spacing w:before="72"/>
        <w:ind w:left="1616" w:right="0" w:firstLine="0"/>
        <w:jc w:val="left"/>
        <w:rPr>
          <w:sz w:val="16"/>
        </w:rPr>
      </w:pPr>
      <w:r>
        <w:rPr>
          <w:i/>
          <w:sz w:val="16"/>
        </w:rPr>
        <w:t>J.D.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Parada-Garza,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López-Valencia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L.A.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Miranda-Garcia´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1"/>
          <w:sz w:val="16"/>
        </w:rPr>
        <w:t> </w:t>
      </w:r>
      <w:r>
        <w:rPr>
          <w:i/>
          <w:sz w:val="16"/>
        </w:rPr>
        <w:t>/</w:t>
      </w:r>
      <w:r>
        <w:rPr>
          <w:i/>
          <w:spacing w:val="-21"/>
          <w:sz w:val="16"/>
        </w:rPr>
        <w:t> </w:t>
      </w:r>
      <w:r>
        <w:rPr>
          <w:i/>
          <w:sz w:val="16"/>
        </w:rPr>
        <w:t>Neuromuscular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Disorders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30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(2020)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590–592</w:t>
      </w:r>
      <w:r>
        <w:rPr>
          <w:i/>
          <w:sz w:val="16"/>
        </w:rPr>
        <w:tab/>
      </w:r>
      <w:r>
        <w:rPr>
          <w:spacing w:val="-5"/>
          <w:sz w:val="16"/>
        </w:rPr>
        <w:t>591</w:t>
      </w:r>
    </w:p>
    <w:p>
      <w:pPr>
        <w:pStyle w:val="BodyText"/>
        <w:spacing w:before="1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1560118</wp:posOffset>
            </wp:positionH>
            <wp:positionV relativeFrom="paragraph">
              <wp:posOffset>147571</wp:posOffset>
            </wp:positionV>
            <wp:extent cx="4572697" cy="486765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97" cy="486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rPr>
          <w:sz w:val="16"/>
        </w:rPr>
      </w:pPr>
    </w:p>
    <w:p>
      <w:pPr>
        <w:spacing w:line="259" w:lineRule="auto" w:before="0"/>
        <w:ind w:left="290" w:right="69" w:firstLine="0"/>
        <w:jc w:val="left"/>
        <w:rPr>
          <w:sz w:val="16"/>
        </w:rPr>
      </w:pPr>
      <w:bookmarkStart w:name="_bookmark3" w:id="7"/>
      <w:bookmarkEnd w:id="7"/>
      <w:r>
        <w:rPr/>
      </w:r>
      <w:r>
        <w:rPr>
          <w:sz w:val="16"/>
        </w:rPr>
        <w:t>Fig.</w:t>
      </w:r>
      <w:r>
        <w:rPr>
          <w:spacing w:val="35"/>
          <w:sz w:val="16"/>
        </w:rPr>
        <w:t> </w:t>
      </w:r>
      <w:r>
        <w:rPr>
          <w:sz w:val="16"/>
        </w:rPr>
        <w:t>1.</w:t>
      </w:r>
      <w:r>
        <w:rPr>
          <w:spacing w:val="36"/>
          <w:sz w:val="16"/>
        </w:rPr>
        <w:t> </w:t>
      </w:r>
      <w:r>
        <w:rPr>
          <w:sz w:val="16"/>
        </w:rPr>
        <w:t>Axial</w:t>
      </w:r>
      <w:r>
        <w:rPr>
          <w:spacing w:val="35"/>
          <w:sz w:val="16"/>
        </w:rPr>
        <w:t> </w:t>
      </w:r>
      <w:r>
        <w:rPr>
          <w:sz w:val="16"/>
        </w:rPr>
        <w:t>T2-weighted</w:t>
      </w:r>
      <w:r>
        <w:rPr>
          <w:spacing w:val="35"/>
          <w:sz w:val="16"/>
        </w:rPr>
        <w:t> </w:t>
      </w:r>
      <w:r>
        <w:rPr>
          <w:sz w:val="16"/>
        </w:rPr>
        <w:t>images</w:t>
      </w:r>
      <w:r>
        <w:rPr>
          <w:spacing w:val="35"/>
          <w:sz w:val="16"/>
        </w:rPr>
        <w:t> </w:t>
      </w:r>
      <w:r>
        <w:rPr>
          <w:sz w:val="16"/>
        </w:rPr>
        <w:t>(A,</w:t>
      </w:r>
      <w:r>
        <w:rPr>
          <w:spacing w:val="35"/>
          <w:sz w:val="16"/>
        </w:rPr>
        <w:t> </w:t>
      </w:r>
      <w:r>
        <w:rPr>
          <w:sz w:val="16"/>
        </w:rPr>
        <w:t>B)</w:t>
      </w:r>
      <w:r>
        <w:rPr>
          <w:spacing w:val="35"/>
          <w:sz w:val="16"/>
        </w:rPr>
        <w:t> </w:t>
      </w:r>
      <w:r>
        <w:rPr>
          <w:sz w:val="16"/>
        </w:rPr>
        <w:t>show</w:t>
      </w:r>
      <w:r>
        <w:rPr>
          <w:spacing w:val="35"/>
          <w:sz w:val="16"/>
        </w:rPr>
        <w:t> </w:t>
      </w:r>
      <w:r>
        <w:rPr>
          <w:sz w:val="16"/>
        </w:rPr>
        <w:t>hyperintense</w:t>
      </w:r>
      <w:r>
        <w:rPr>
          <w:spacing w:val="35"/>
          <w:sz w:val="16"/>
        </w:rPr>
        <w:t> </w:t>
      </w:r>
      <w:r>
        <w:rPr>
          <w:sz w:val="16"/>
        </w:rPr>
        <w:t>lesions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cerebellar</w:t>
      </w:r>
      <w:r>
        <w:rPr>
          <w:spacing w:val="35"/>
          <w:sz w:val="16"/>
        </w:rPr>
        <w:t> </w:t>
      </w:r>
      <w:r>
        <w:rPr>
          <w:sz w:val="16"/>
        </w:rPr>
        <w:t>white</w:t>
      </w:r>
      <w:r>
        <w:rPr>
          <w:spacing w:val="35"/>
          <w:sz w:val="16"/>
        </w:rPr>
        <w:t> </w:t>
      </w:r>
      <w:r>
        <w:rPr>
          <w:sz w:val="16"/>
        </w:rPr>
        <w:t>matter</w:t>
      </w:r>
      <w:r>
        <w:rPr>
          <w:spacing w:val="35"/>
          <w:sz w:val="16"/>
        </w:rPr>
        <w:t> </w:t>
      </w:r>
      <w:r>
        <w:rPr>
          <w:sz w:val="16"/>
        </w:rPr>
        <w:t>(white</w:t>
      </w:r>
      <w:r>
        <w:rPr>
          <w:spacing w:val="35"/>
          <w:sz w:val="16"/>
        </w:rPr>
        <w:t> </w:t>
      </w:r>
      <w:r>
        <w:rPr>
          <w:sz w:val="16"/>
        </w:rPr>
        <w:t>arrows)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dorso-medial</w:t>
      </w:r>
      <w:r>
        <w:rPr>
          <w:spacing w:val="35"/>
          <w:sz w:val="16"/>
        </w:rPr>
        <w:t> </w:t>
      </w:r>
      <w:r>
        <w:rPr>
          <w:sz w:val="16"/>
        </w:rPr>
        <w:t>thalami</w:t>
      </w:r>
      <w:r>
        <w:rPr>
          <w:spacing w:val="35"/>
          <w:sz w:val="16"/>
        </w:rPr>
        <w:t> </w:t>
      </w:r>
      <w:r>
        <w:rPr>
          <w:sz w:val="16"/>
        </w:rPr>
        <w:t>(black</w:t>
      </w:r>
      <w:r>
        <w:rPr>
          <w:spacing w:val="35"/>
          <w:sz w:val="16"/>
        </w:rPr>
        <w:t> </w:t>
      </w:r>
      <w:r>
        <w:rPr>
          <w:sz w:val="16"/>
        </w:rPr>
        <w:t>arrows).</w:t>
      </w:r>
      <w:r>
        <w:rPr>
          <w:spacing w:val="40"/>
          <w:sz w:val="16"/>
        </w:rPr>
        <w:t> </w:t>
      </w:r>
      <w:r>
        <w:rPr>
          <w:sz w:val="16"/>
        </w:rPr>
        <w:t>Post-contrast T1- weighted MRI (C, D) does not show contrast enhancement.</w:t>
      </w:r>
    </w:p>
    <w:p>
      <w:pPr>
        <w:pStyle w:val="BodyText"/>
        <w:spacing w:before="174"/>
      </w:pPr>
    </w:p>
    <w:p>
      <w:pPr>
        <w:pStyle w:val="BodyText"/>
        <w:spacing w:after="0"/>
        <w:sectPr>
          <w:pgSz w:w="11910" w:h="15880"/>
          <w:pgMar w:top="840" w:bottom="280" w:left="566" w:right="566"/>
        </w:sectPr>
      </w:pPr>
    </w:p>
    <w:p>
      <w:pPr>
        <w:pStyle w:val="BodyText"/>
        <w:spacing w:line="249" w:lineRule="auto" w:before="92"/>
        <w:ind w:left="290" w:right="1"/>
        <w:jc w:val="both"/>
      </w:pPr>
      <w:r>
        <w:rPr/>
        <w:t>antibodies against the acetylcholine receptor were reported normal. Positive antinuclear antibodies in 1:1280 dilution</w:t>
      </w:r>
      <w:r>
        <w:rPr>
          <w:spacing w:val="80"/>
        </w:rPr>
        <w:t> </w:t>
      </w:r>
      <w:r>
        <w:rPr/>
        <w:t>with a centromeric fluorescence pattern were reported. The electrodiagnostic studies showed sensory axonal neuropathy and negative repetitive stimulation test.</w:t>
      </w:r>
    </w:p>
    <w:p>
      <w:pPr>
        <w:pStyle w:val="BodyText"/>
        <w:spacing w:line="249" w:lineRule="auto"/>
        <w:ind w:left="290" w:firstLine="239"/>
        <w:jc w:val="both"/>
      </w:pPr>
      <w:r>
        <w:rPr/>
        <w:t>Brain MRI revealed T2 and FLAIR hyperintense bilateral lesions in the dorso- medial thalami and cerebellar white matter. Diffusion-weighted and contrast-enhanced MRI were normal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Fig.</w:t>
        </w:r>
        <w:r>
          <w:rPr>
            <w:color w:val="0080AC"/>
            <w:spacing w:val="40"/>
          </w:rPr>
          <w:t> </w:t>
        </w:r>
        <w:r>
          <w:rPr>
            <w:color w:val="0080AC"/>
          </w:rPr>
          <w:t>1</w:t>
        </w:r>
      </w:hyperlink>
      <w:r>
        <w:rPr/>
        <w:t>A-D).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suspicion of a "POLG related disorder" increased. Molecular genetic investigation with DNA sequencing of the POLG1 gene discovered two heterozygote mutations c.264C</w:t>
      </w:r>
      <w:r>
        <w:rPr>
          <w:rFonts w:ascii="Arial"/>
          <w:i/>
        </w:rPr>
        <w:t>&gt; </w:t>
      </w:r>
      <w:r>
        <w:rPr>
          <w:i/>
        </w:rPr>
        <w:t>G </w:t>
      </w:r>
      <w:r>
        <w:rPr/>
        <w:t>and c.3287G</w:t>
      </w:r>
      <w:r>
        <w:rPr>
          <w:rFonts w:ascii="Arial"/>
          <w:i/>
        </w:rPr>
        <w:t>&gt; </w:t>
      </w:r>
      <w:r>
        <w:rPr>
          <w:i/>
        </w:rPr>
        <w:t>T</w:t>
      </w:r>
      <w:r>
        <w:rPr/>
        <w:t>, thus a SANDO variety of the ataxia-neuropathy spectrum was diagnosed.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1" w:right="0" w:hanging="231"/>
        <w:jc w:val="left"/>
      </w:pPr>
      <w:bookmarkStart w:name="3 Discussion" w:id="8"/>
      <w:bookmarkEnd w:id="8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/>
        <w:ind w:left="290" w:right="1" w:firstLine="239"/>
        <w:jc w:val="both"/>
      </w:pPr>
      <w:r>
        <w:rPr/>
        <w:t>The clinical evolution with initial predominant ataxia and late</w:t>
      </w:r>
      <w:r>
        <w:rPr>
          <w:spacing w:val="7"/>
        </w:rPr>
        <w:t> </w:t>
      </w:r>
      <w:r>
        <w:rPr/>
        <w:t>CPEO</w:t>
      </w:r>
      <w:r>
        <w:rPr>
          <w:spacing w:val="7"/>
        </w:rPr>
        <w:t> </w:t>
      </w:r>
      <w:r>
        <w:rPr/>
        <w:t>(which</w:t>
      </w:r>
      <w:r>
        <w:rPr>
          <w:spacing w:val="7"/>
        </w:rPr>
        <w:t> </w:t>
      </w:r>
      <w:r>
        <w:rPr/>
        <w:t>invariably</w:t>
      </w:r>
      <w:r>
        <w:rPr>
          <w:spacing w:val="7"/>
        </w:rPr>
        <w:t> </w:t>
      </w:r>
      <w:r>
        <w:rPr/>
        <w:t>develops</w:t>
      </w:r>
      <w:r>
        <w:rPr>
          <w:spacing w:val="8"/>
        </w:rPr>
        <w:t> </w:t>
      </w: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>
          <w:spacing w:val="-2"/>
        </w:rPr>
        <w:t>decade</w:t>
      </w:r>
    </w:p>
    <w:p>
      <w:pPr>
        <w:pStyle w:val="BodyText"/>
        <w:spacing w:line="249" w:lineRule="auto" w:before="92"/>
        <w:ind w:left="290" w:right="74"/>
        <w:jc w:val="both"/>
      </w:pPr>
      <w:r>
        <w:rPr/>
        <w:br w:type="column"/>
      </w:r>
      <w:r>
        <w:rPr/>
        <w:t>of the disease) of our case is consistent with previous reports</w:t>
      </w:r>
      <w:r>
        <w:rPr>
          <w:spacing w:val="40"/>
        </w:rPr>
        <w:t> </w:t>
      </w:r>
      <w:r>
        <w:rPr/>
        <w:t>in SANDO case series </w:t>
      </w:r>
      <w:hyperlink w:history="true" w:anchor="_bookmark11">
        <w:r>
          <w:rPr>
            <w:color w:val="0080AC"/>
          </w:rPr>
          <w:t>[1]</w:t>
        </w:r>
      </w:hyperlink>
      <w:r>
        <w:rPr/>
        <w:t>.</w:t>
      </w:r>
    </w:p>
    <w:p>
      <w:pPr>
        <w:pStyle w:val="BodyText"/>
        <w:spacing w:line="249" w:lineRule="auto"/>
        <w:ind w:left="290" w:right="73" w:firstLine="239"/>
        <w:jc w:val="both"/>
      </w:pPr>
      <w:r>
        <w:rPr/>
        <w:t>According to prior reports, in cases of ataxia-neuropathy spectrum, the MRI findings such as the hyperintense lesions</w:t>
      </w:r>
      <w:r>
        <w:rPr>
          <w:spacing w:val="80"/>
        </w:rPr>
        <w:t> </w:t>
      </w:r>
      <w:r>
        <w:rPr/>
        <w:t>in cerebellar white matter, inferior olivary nucleus and dorso- medial thalami have been the pivot signs for the initial diagnosis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indication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sequencing of POLG gene, just as happened in this case </w:t>
      </w:r>
      <w:hyperlink w:history="true" w:anchor="_bookmark12">
        <w:r>
          <w:rPr>
            <w:color w:val="0080AC"/>
          </w:rPr>
          <w:t>[2]</w:t>
        </w:r>
      </w:hyperlink>
      <w:r>
        <w:rPr/>
        <w:t>. The most common MRI findings in these patients are the with matter lesions in 26%, cerebellar lesions in 19% and thalamic lesions in</w:t>
      </w:r>
      <w:r>
        <w:rPr>
          <w:spacing w:val="36"/>
        </w:rPr>
        <w:t> </w:t>
      </w:r>
      <w:r>
        <w:rPr/>
        <w:t>15%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cases</w:t>
      </w:r>
      <w:r>
        <w:rPr>
          <w:spacing w:val="36"/>
        </w:rPr>
        <w:t> </w:t>
      </w:r>
      <w:hyperlink w:history="true" w:anchor="_bookmark11">
        <w:r>
          <w:rPr>
            <w:color w:val="0080AC"/>
          </w:rPr>
          <w:t>[1]</w:t>
        </w:r>
      </w:hyperlink>
      <w:r>
        <w:rPr/>
        <w:t>.</w:t>
      </w:r>
      <w:r>
        <w:rPr>
          <w:spacing w:val="36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knowledge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signs</w:t>
      </w:r>
      <w:r>
        <w:rPr>
          <w:spacing w:val="36"/>
        </w:rPr>
        <w:t> </w:t>
      </w:r>
      <w:r>
        <w:rPr/>
        <w:t>in the ataxia-neuropathy spectrum related to POLG mutation is useful to facilitate the diagnosis.</w:t>
      </w:r>
    </w:p>
    <w:p>
      <w:pPr>
        <w:pStyle w:val="BodyText"/>
        <w:spacing w:line="249" w:lineRule="auto"/>
        <w:ind w:left="290" w:right="73" w:firstLine="239"/>
        <w:jc w:val="both"/>
      </w:pPr>
      <w:r>
        <w:rPr/>
        <w:t>The sequence variant c.264C</w:t>
      </w:r>
      <w:r>
        <w:rPr>
          <w:rFonts w:ascii="Arial"/>
          <w:i/>
        </w:rPr>
        <w:t>&gt;</w:t>
      </w:r>
      <w:r>
        <w:rPr>
          <w:i/>
        </w:rPr>
        <w:t>G </w:t>
      </w:r>
      <w:r>
        <w:rPr/>
        <w:t>p.Phe88Leu replaces phenylalanine with leucine at codon 88 of the POLG protein. The</w:t>
      </w:r>
      <w:r>
        <w:rPr>
          <w:spacing w:val="38"/>
        </w:rPr>
        <w:t> </w:t>
      </w:r>
      <w:r>
        <w:rPr/>
        <w:t>phenylalanine</w:t>
      </w:r>
      <w:r>
        <w:rPr>
          <w:spacing w:val="38"/>
        </w:rPr>
        <w:t> </w:t>
      </w:r>
      <w:r>
        <w:rPr/>
        <w:t>residue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highly</w:t>
      </w:r>
      <w:r>
        <w:rPr>
          <w:spacing w:val="38"/>
        </w:rPr>
        <w:t> </w:t>
      </w:r>
      <w:r>
        <w:rPr/>
        <w:t>conserved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there</w:t>
      </w:r>
      <w:r>
        <w:rPr>
          <w:spacing w:val="37"/>
        </w:rPr>
        <w:t> </w:t>
      </w:r>
      <w:r>
        <w:rPr/>
        <w:t>is a small physicochemical difference between phenylalanine</w:t>
      </w:r>
      <w:r>
        <w:rPr>
          <w:spacing w:val="40"/>
        </w:rPr>
        <w:t> </w:t>
      </w:r>
      <w:r>
        <w:rPr/>
        <w:t>and leucine. This variant has been observed in individuals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POLG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disease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classified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variant</w:t>
      </w:r>
      <w:r>
        <w:rPr>
          <w:spacing w:val="80"/>
        </w:rPr>
        <w:t> </w:t>
      </w:r>
      <w:r>
        <w:rPr/>
        <w:t>of</w:t>
      </w:r>
      <w:r>
        <w:rPr>
          <w:spacing w:val="69"/>
        </w:rPr>
        <w:t> </w:t>
      </w:r>
      <w:r>
        <w:rPr/>
        <w:t>uncertain</w:t>
      </w:r>
      <w:r>
        <w:rPr>
          <w:spacing w:val="69"/>
        </w:rPr>
        <w:t> </w:t>
      </w:r>
      <w:r>
        <w:rPr/>
        <w:t>significance</w:t>
      </w:r>
      <w:r>
        <w:rPr>
          <w:spacing w:val="69"/>
        </w:rPr>
        <w:t> </w:t>
      </w:r>
      <w:hyperlink w:history="true" w:anchor="_bookmark5">
        <w:r>
          <w:rPr>
            <w:color w:val="0080AC"/>
          </w:rPr>
          <w:t>[4</w:t>
        </w:r>
      </w:hyperlink>
      <w:r>
        <w:rPr/>
        <w:t>,</w:t>
      </w:r>
      <w:hyperlink w:history="true" w:anchor="_bookmark6">
        <w:r>
          <w:rPr>
            <w:color w:val="0080AC"/>
          </w:rPr>
          <w:t>5]</w:t>
        </w:r>
      </w:hyperlink>
      <w:r>
        <w:rPr/>
        <w:t>.</w:t>
      </w:r>
      <w:r>
        <w:rPr>
          <w:spacing w:val="69"/>
        </w:rPr>
        <w:t> </w:t>
      </w:r>
      <w:r>
        <w:rPr/>
        <w:t>c.3287G</w:t>
      </w:r>
      <w:r>
        <w:rPr>
          <w:rFonts w:ascii="Arial"/>
          <w:i/>
        </w:rPr>
        <w:t>&gt;</w:t>
      </w:r>
      <w:r>
        <w:rPr>
          <w:i/>
        </w:rPr>
        <w:t>T</w:t>
      </w:r>
      <w:r>
        <w:rPr>
          <w:i/>
          <w:spacing w:val="70"/>
        </w:rPr>
        <w:t> </w:t>
      </w:r>
      <w:r>
        <w:rPr/>
        <w:t>is</w:t>
      </w:r>
      <w:r>
        <w:rPr>
          <w:spacing w:val="69"/>
        </w:rPr>
        <w:t> </w:t>
      </w:r>
      <w:r>
        <w:rPr/>
        <w:t>the</w:t>
      </w:r>
      <w:r>
        <w:rPr>
          <w:spacing w:val="69"/>
        </w:rPr>
        <w:t> </w:t>
      </w:r>
      <w:r>
        <w:rPr/>
        <w:t>second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317" w:space="63"/>
            <w:col w:w="5398"/>
          </w:cols>
        </w:sectPr>
      </w:pPr>
    </w:p>
    <w:p>
      <w:pPr>
        <w:tabs>
          <w:tab w:pos="1420" w:val="left" w:leader="none"/>
        </w:tabs>
        <w:spacing w:before="72"/>
        <w:ind w:left="94" w:right="0" w:firstLine="0"/>
        <w:jc w:val="left"/>
        <w:rPr>
          <w:i/>
          <w:sz w:val="16"/>
        </w:rPr>
      </w:pPr>
      <w:r>
        <w:rPr>
          <w:spacing w:val="-5"/>
          <w:sz w:val="16"/>
        </w:rPr>
        <w:t>592</w:t>
      </w:r>
      <w:r>
        <w:rPr>
          <w:sz w:val="16"/>
        </w:rPr>
        <w:tab/>
      </w:r>
      <w:r>
        <w:rPr>
          <w:i/>
          <w:sz w:val="16"/>
        </w:rPr>
        <w:t>J.D.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Parada-Garza,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López-Valencia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L.A.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Miranda-Garcia´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1"/>
          <w:sz w:val="16"/>
        </w:rPr>
        <w:t> </w:t>
      </w:r>
      <w:r>
        <w:rPr>
          <w:i/>
          <w:sz w:val="16"/>
        </w:rPr>
        <w:t>/</w:t>
      </w:r>
      <w:r>
        <w:rPr>
          <w:i/>
          <w:spacing w:val="-21"/>
          <w:sz w:val="16"/>
        </w:rPr>
        <w:t> </w:t>
      </w:r>
      <w:r>
        <w:rPr>
          <w:i/>
          <w:sz w:val="16"/>
        </w:rPr>
        <w:t>Neuromuscular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Disorders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30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(2020)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590–592</w:t>
      </w:r>
    </w:p>
    <w:p>
      <w:pPr>
        <w:spacing w:after="0"/>
        <w:jc w:val="left"/>
        <w:rPr>
          <w:i/>
          <w:sz w:val="16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line="249" w:lineRule="auto" w:before="185"/>
        <w:ind w:left="94" w:right="38"/>
        <w:jc w:val="both"/>
      </w:pPr>
      <w:r>
        <w:rPr/>
        <w:t>sequence variant presented by our patient, it is predicted that</w:t>
      </w:r>
      <w:r>
        <w:rPr>
          <w:spacing w:val="80"/>
        </w:rPr>
        <w:t> </w:t>
      </w:r>
      <w:bookmarkStart w:name="_bookmark4" w:id="9"/>
      <w:bookmarkEnd w:id="9"/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amino</w:t>
      </w:r>
      <w:r>
        <w:rPr>
          <w:spacing w:val="40"/>
        </w:rPr>
        <w:t> </w:t>
      </w:r>
      <w:r>
        <w:rPr/>
        <w:t>acids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p.Arg1096Leu</w:t>
      </w:r>
      <w:r>
        <w:rPr>
          <w:spacing w:val="40"/>
        </w:rPr>
        <w:t> </w:t>
      </w:r>
      <w:r>
        <w:rPr/>
        <w:t>in the</w:t>
      </w:r>
      <w:r>
        <w:rPr>
          <w:spacing w:val="40"/>
        </w:rPr>
        <w:t> </w:t>
      </w:r>
      <w:r>
        <w:rPr/>
        <w:t>exon</w:t>
      </w:r>
      <w:r>
        <w:rPr>
          <w:spacing w:val="40"/>
        </w:rPr>
        <w:t> </w:t>
      </w:r>
      <w:r>
        <w:rPr/>
        <w:t>21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POLG</w:t>
      </w:r>
      <w:r>
        <w:rPr>
          <w:spacing w:val="40"/>
        </w:rPr>
        <w:t> </w:t>
      </w:r>
      <w:r>
        <w:rPr/>
        <w:t>gene.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R1096L</w:t>
      </w:r>
      <w:r>
        <w:rPr>
          <w:spacing w:val="40"/>
        </w:rPr>
        <w:t> </w:t>
      </w:r>
      <w:r>
        <w:rPr/>
        <w:t>mutation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non-conservative</w:t>
      </w:r>
      <w:r>
        <w:rPr>
          <w:spacing w:val="40"/>
        </w:rPr>
        <w:t> </w:t>
      </w:r>
      <w:r>
        <w:rPr/>
        <w:t>amino</w:t>
      </w:r>
      <w:r>
        <w:rPr>
          <w:spacing w:val="39"/>
        </w:rPr>
        <w:t> </w:t>
      </w:r>
      <w:r>
        <w:rPr/>
        <w:t>acid</w:t>
      </w:r>
      <w:r>
        <w:rPr>
          <w:spacing w:val="39"/>
        </w:rPr>
        <w:t> </w:t>
      </w:r>
      <w:r>
        <w:rPr/>
        <w:t>substitution,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likely </w:t>
      </w:r>
      <w:bookmarkStart w:name="_bookmark5" w:id="10"/>
      <w:bookmarkEnd w:id="10"/>
      <w:r>
        <w:rPr/>
        <w:t>to</w:t>
      </w:r>
      <w:r>
        <w:rPr/>
        <w:t> impact secondary protein structure as these residues differ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polarity,</w:t>
      </w:r>
      <w:r>
        <w:rPr>
          <w:spacing w:val="34"/>
        </w:rPr>
        <w:t> </w:t>
      </w:r>
      <w:r>
        <w:rPr/>
        <w:t>charge,</w:t>
      </w:r>
      <w:r>
        <w:rPr>
          <w:spacing w:val="34"/>
        </w:rPr>
        <w:t> </w:t>
      </w:r>
      <w:r>
        <w:rPr/>
        <w:t>size</w:t>
      </w:r>
      <w:r>
        <w:rPr>
          <w:spacing w:val="34"/>
        </w:rPr>
        <w:t> </w:t>
      </w:r>
      <w:r>
        <w:rPr/>
        <w:t>and/or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properties.</w:t>
      </w:r>
      <w:r>
        <w:rPr>
          <w:spacing w:val="34"/>
        </w:rPr>
        <w:t> </w:t>
      </w:r>
      <w:r>
        <w:rPr/>
        <w:t>Previously, a different amino acid change was reported in this position (p.Arg1096Cys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3286C</w:t>
      </w:r>
      <w:r>
        <w:rPr>
          <w:rFonts w:ascii="Arial"/>
          <w:i/>
        </w:rPr>
        <w:t>&gt;</w:t>
      </w:r>
      <w:r>
        <w:rPr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pathogenic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patient </w:t>
      </w:r>
      <w:bookmarkStart w:name="_bookmark6" w:id="11"/>
      <w:bookmarkEnd w:id="11"/>
      <w:r>
        <w:rPr/>
        <w:t>with</w:t>
      </w:r>
      <w:r>
        <w:rPr/>
        <w:t> a "POLG-related disorder" diagnosis with CPEO </w:t>
      </w:r>
      <w:hyperlink w:history="true" w:anchor="_bookmark5">
        <w:r>
          <w:rPr>
            <w:color w:val="0080AC"/>
          </w:rPr>
          <w:t>[4]</w:t>
        </w:r>
      </w:hyperlink>
      <w:r>
        <w:rPr/>
        <w:t>. Therefore,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significance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p.Arg1096Leu</w:t>
      </w:r>
      <w:r>
        <w:rPr>
          <w:spacing w:val="-8"/>
        </w:rPr>
        <w:t> </w:t>
      </w:r>
      <w:r>
        <w:rPr/>
        <w:t>interprets as likely pathogenic[</w:t>
      </w:r>
      <w:hyperlink w:history="true" w:anchor="_bookmark7">
        <w:r>
          <w:rPr>
            <w:color w:val="0080AC"/>
          </w:rPr>
          <w:t>6</w:t>
        </w:r>
      </w:hyperlink>
      <w:r>
        <w:rPr/>
        <w:t>,</w:t>
      </w:r>
      <w:hyperlink w:history="true" w:anchor="_bookmark8">
        <w:r>
          <w:rPr>
            <w:color w:val="0080AC"/>
          </w:rPr>
          <w:t>7</w:t>
        </w:r>
      </w:hyperlink>
      <w:r>
        <w:rPr/>
        <w:t>,</w:t>
      </w:r>
      <w:hyperlink w:history="true" w:anchor="_bookmark9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49" w:lineRule="auto"/>
        <w:ind w:left="94" w:right="38" w:firstLine="239"/>
        <w:jc w:val="both"/>
      </w:pPr>
      <w:r>
        <w:rPr/>
        <w:t>The most frequent POLG mutations that are reports to</w:t>
      </w:r>
      <w:r>
        <w:rPr>
          <w:spacing w:val="40"/>
        </w:rPr>
        <w:t> </w:t>
      </w:r>
      <w:bookmarkStart w:name="_bookmark7" w:id="12"/>
      <w:bookmarkEnd w:id="12"/>
      <w:r>
        <w:rPr/>
        <w:t>caus</w:t>
      </w:r>
      <w:r>
        <w:rPr/>
        <w:t>e of SANDO include A467T, T748S, R627W, H932Y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G1051R</w:t>
      </w:r>
      <w:r>
        <w:rPr>
          <w:spacing w:val="40"/>
        </w:rPr>
        <w:t> </w:t>
      </w:r>
      <w:hyperlink w:history="true" w:anchor="_bookmark10">
        <w:r>
          <w:rPr>
            <w:color w:val="0080AC"/>
          </w:rPr>
          <w:t>[9]</w:t>
        </w:r>
      </w:hyperlink>
      <w:r>
        <w:rPr/>
        <w:t>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mutation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give rise to different clinical pictures and vice versa, so this are </w:t>
      </w:r>
      <w:bookmarkStart w:name="Conclusion" w:id="13"/>
      <w:bookmarkEnd w:id="13"/>
      <w:r>
        <w:rPr>
          <w:spacing w:val="-1"/>
          <w:w w:val="99"/>
        </w:rPr>
      </w:r>
      <w:bookmarkStart w:name="_bookmark8" w:id="14"/>
      <w:bookmarkEnd w:id="14"/>
      <w:r>
        <w:rPr/>
        <w:t>geneticall</w:t>
      </w:r>
      <w:r>
        <w:rPr/>
        <w:t>y heterogenous diseases.</w:t>
      </w:r>
    </w:p>
    <w:p>
      <w:pPr>
        <w:pStyle w:val="BodyText"/>
        <w:spacing w:before="7"/>
      </w:pPr>
    </w:p>
    <w:p>
      <w:pPr>
        <w:pStyle w:val="Heading1"/>
        <w:ind w:firstLine="0"/>
      </w:pPr>
      <w:r>
        <w:rPr>
          <w:spacing w:val="-2"/>
        </w:rPr>
        <w:t>Conclusion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/>
        <w:ind w:left="94" w:right="38" w:firstLine="239"/>
        <w:jc w:val="both"/>
      </w:pPr>
      <w:r>
        <w:rPr/>
        <w:t>In this case report, the MRI findings were essential for the </w:t>
      </w:r>
      <w:bookmarkStart w:name="_bookmark9" w:id="15"/>
      <w:bookmarkEnd w:id="15"/>
      <w:r>
        <w:rPr/>
        <w:t>diagnosti</w:t>
      </w:r>
      <w:r>
        <w:rPr/>
        <w:t>c approach, and a further sequencing of the POLG gene.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ever-expanding</w:t>
      </w:r>
      <w:r>
        <w:rPr>
          <w:spacing w:val="40"/>
        </w:rPr>
        <w:t> </w:t>
      </w:r>
      <w:r>
        <w:rPr/>
        <w:t>molecular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clinical</w:t>
      </w:r>
      <w:r>
        <w:rPr>
          <w:spacing w:val="40"/>
        </w:rPr>
        <w:t> </w:t>
      </w:r>
      <w:r>
        <w:rPr/>
        <w:t>spectrum of mitochondrial DNA polymerase gamma mutations, now </w:t>
      </w:r>
      <w:bookmarkStart w:name="_bookmark10" w:id="16"/>
      <w:bookmarkEnd w:id="16"/>
      <w:r>
        <w:rPr/>
        <w:t>enriche</w:t>
      </w:r>
      <w:r>
        <w:rPr/>
        <w:t>s with the c.3287G</w:t>
      </w:r>
      <w:r>
        <w:rPr>
          <w:rFonts w:ascii="Arial"/>
          <w:i/>
        </w:rPr>
        <w:t>&gt;</w:t>
      </w:r>
      <w:r>
        <w:rPr>
          <w:i/>
        </w:rPr>
        <w:t>T </w:t>
      </w:r>
      <w:r>
        <w:rPr/>
        <w:t>mutation with a clinical</w:t>
      </w:r>
      <w:r>
        <w:rPr>
          <w:spacing w:val="40"/>
        </w:rPr>
        <w:t> </w:t>
      </w:r>
      <w:r>
        <w:rPr/>
        <w:t>spectrum consisting with ophthalmoplegia, ataxia and sensory </w:t>
      </w:r>
      <w:bookmarkStart w:name="References" w:id="17"/>
      <w:bookmarkEnd w:id="17"/>
      <w:r>
        <w:rPr>
          <w:spacing w:val="-2"/>
        </w:rPr>
        <w:t>neuronopat</w:t>
      </w:r>
      <w:r>
        <w:rPr>
          <w:spacing w:val="-2"/>
        </w:rPr>
        <w:t>hy.</w:t>
      </w:r>
    </w:p>
    <w:p>
      <w:pPr>
        <w:pStyle w:val="Heading1"/>
        <w:spacing w:before="198"/>
        <w:ind w:firstLine="0"/>
      </w:pPr>
      <w:bookmarkStart w:name="_bookmark11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0" w:after="0"/>
        <w:ind w:left="349" w:right="38" w:hanging="256"/>
        <w:jc w:val="both"/>
        <w:rPr>
          <w:sz w:val="16"/>
        </w:rPr>
      </w:pPr>
      <w:r>
        <w:rPr>
          <w:sz w:val="16"/>
        </w:rPr>
        <w:t>Hanisch</w:t>
      </w:r>
      <w:r>
        <w:rPr>
          <w:spacing w:val="80"/>
          <w:sz w:val="16"/>
        </w:rPr>
        <w:t> </w:t>
      </w:r>
      <w:r>
        <w:rPr>
          <w:sz w:val="16"/>
        </w:rPr>
        <w:t>F,</w:t>
      </w:r>
      <w:r>
        <w:rPr>
          <w:spacing w:val="80"/>
          <w:sz w:val="16"/>
        </w:rPr>
        <w:t> </w:t>
      </w:r>
      <w:r>
        <w:rPr>
          <w:sz w:val="16"/>
        </w:rPr>
        <w:t>Kornhuber</w:t>
      </w:r>
      <w:r>
        <w:rPr>
          <w:spacing w:val="80"/>
          <w:sz w:val="16"/>
        </w:rPr>
        <w:t> </w:t>
      </w:r>
      <w:r>
        <w:rPr>
          <w:sz w:val="16"/>
        </w:rPr>
        <w:t>M,</w:t>
      </w:r>
      <w:r>
        <w:rPr>
          <w:spacing w:val="80"/>
          <w:sz w:val="16"/>
        </w:rPr>
        <w:t> </w:t>
      </w:r>
      <w:r>
        <w:rPr>
          <w:sz w:val="16"/>
        </w:rPr>
        <w:t>Alston</w:t>
      </w:r>
      <w:r>
        <w:rPr>
          <w:spacing w:val="80"/>
          <w:sz w:val="16"/>
        </w:rPr>
        <w:t> </w:t>
      </w:r>
      <w:r>
        <w:rPr>
          <w:sz w:val="16"/>
        </w:rPr>
        <w:t>C,</w:t>
      </w:r>
      <w:r>
        <w:rPr>
          <w:spacing w:val="80"/>
          <w:sz w:val="16"/>
        </w:rPr>
        <w:t> </w:t>
      </w:r>
      <w:r>
        <w:rPr>
          <w:sz w:val="16"/>
        </w:rPr>
        <w:t>Taylor</w:t>
      </w:r>
      <w:r>
        <w:rPr>
          <w:spacing w:val="80"/>
          <w:sz w:val="16"/>
        </w:rPr>
        <w:t> </w:t>
      </w:r>
      <w:r>
        <w:rPr>
          <w:sz w:val="16"/>
        </w:rPr>
        <w:t>R,</w:t>
      </w:r>
      <w:r>
        <w:rPr>
          <w:spacing w:val="80"/>
          <w:sz w:val="16"/>
        </w:rPr>
        <w:t> </w:t>
      </w:r>
      <w:r>
        <w:rPr>
          <w:sz w:val="16"/>
        </w:rPr>
        <w:t>Deschauer</w:t>
      </w:r>
      <w:r>
        <w:rPr>
          <w:spacing w:val="80"/>
          <w:sz w:val="16"/>
        </w:rPr>
        <w:t> </w:t>
      </w:r>
      <w:r>
        <w:rPr>
          <w:sz w:val="16"/>
        </w:rPr>
        <w:t>M,</w:t>
      </w:r>
      <w:r>
        <w:rPr>
          <w:spacing w:val="40"/>
          <w:sz w:val="16"/>
        </w:rPr>
        <w:t> </w:t>
      </w:r>
      <w:r>
        <w:rPr>
          <w:sz w:val="16"/>
        </w:rPr>
        <w:t>Zierz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SANDO</w:t>
      </w:r>
      <w:r>
        <w:rPr>
          <w:spacing w:val="40"/>
          <w:sz w:val="16"/>
        </w:rPr>
        <w:t> </w:t>
      </w:r>
      <w:r>
        <w:rPr>
          <w:sz w:val="16"/>
        </w:rPr>
        <w:t>syndrome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cohort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107</w:t>
      </w:r>
      <w:r>
        <w:rPr>
          <w:spacing w:val="40"/>
          <w:sz w:val="16"/>
        </w:rPr>
        <w:t> </w:t>
      </w:r>
      <w:r>
        <w:rPr>
          <w:sz w:val="16"/>
        </w:rPr>
        <w:t>patients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CPEO</w:t>
      </w:r>
      <w:r>
        <w:rPr>
          <w:spacing w:val="40"/>
          <w:sz w:val="16"/>
        </w:rPr>
        <w:t> </w:t>
      </w:r>
      <w:bookmarkStart w:name="_bookmark12" w:id="19"/>
      <w:bookmarkEnd w:id="19"/>
      <w:r>
        <w:rPr>
          <w:sz w:val="16"/>
        </w:rPr>
        <w:t>and</w:t>
      </w:r>
      <w:r>
        <w:rPr>
          <w:sz w:val="16"/>
        </w:rPr>
        <w:t> mitochondrial DNA deletions. J Neurol Neurosurg Psychiatry</w:t>
      </w:r>
      <w:r>
        <w:rPr>
          <w:spacing w:val="40"/>
          <w:sz w:val="16"/>
        </w:rPr>
        <w:t> </w:t>
      </w:r>
      <w:r>
        <w:rPr>
          <w:sz w:val="16"/>
        </w:rPr>
        <w:t>2014;86(6):630–4. doi:</w:t>
      </w:r>
      <w:hyperlink r:id="rId14">
        <w:r>
          <w:rPr>
            <w:color w:val="0080AC"/>
            <w:sz w:val="16"/>
          </w:rPr>
          <w:t>10.1136/jnnp-2013-306748</w:t>
        </w:r>
      </w:hyperlink>
      <w:r>
        <w:rPr>
          <w:color w:val="0080AC"/>
          <w:sz w:val="16"/>
        </w:rPr>
        <w:t>.</w:t>
      </w:r>
    </w:p>
    <w:p>
      <w:pPr>
        <w:spacing w:line="240" w:lineRule="auto" w:before="3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1" w:after="0"/>
        <w:ind w:left="349" w:right="270" w:hanging="256"/>
        <w:jc w:val="both"/>
        <w:rPr>
          <w:sz w:val="16"/>
        </w:rPr>
      </w:pPr>
      <w:r>
        <w:rPr>
          <w:sz w:val="16"/>
        </w:rPr>
        <w:t>Gago</w:t>
      </w:r>
      <w:r>
        <w:rPr>
          <w:spacing w:val="80"/>
          <w:sz w:val="16"/>
        </w:rPr>
        <w:t> </w:t>
      </w:r>
      <w:r>
        <w:rPr>
          <w:sz w:val="16"/>
        </w:rPr>
        <w:t>MF,</w:t>
      </w:r>
      <w:r>
        <w:rPr>
          <w:spacing w:val="80"/>
          <w:sz w:val="16"/>
        </w:rPr>
        <w:t> </w:t>
      </w:r>
      <w:r>
        <w:rPr>
          <w:sz w:val="16"/>
        </w:rPr>
        <w:t>Rosas</w:t>
      </w:r>
      <w:r>
        <w:rPr>
          <w:spacing w:val="80"/>
          <w:sz w:val="16"/>
        </w:rPr>
        <w:t> </w:t>
      </w:r>
      <w:r>
        <w:rPr>
          <w:sz w:val="16"/>
        </w:rPr>
        <w:t>MJ,</w:t>
      </w:r>
      <w:r>
        <w:rPr>
          <w:spacing w:val="80"/>
          <w:sz w:val="16"/>
        </w:rPr>
        <w:t> </w:t>
      </w:r>
      <w:r>
        <w:rPr>
          <w:sz w:val="16"/>
        </w:rPr>
        <w:t>Guimarães</w:t>
      </w:r>
      <w:r>
        <w:rPr>
          <w:spacing w:val="80"/>
          <w:sz w:val="16"/>
        </w:rPr>
        <w:t> </w:t>
      </w:r>
      <w:r>
        <w:rPr>
          <w:sz w:val="16"/>
        </w:rPr>
        <w:t>J,</w:t>
      </w:r>
      <w:r>
        <w:rPr>
          <w:spacing w:val="80"/>
          <w:sz w:val="16"/>
        </w:rPr>
        <w:t> </w:t>
      </w:r>
      <w:r>
        <w:rPr>
          <w:sz w:val="16"/>
        </w:rPr>
        <w:t>Ferreira</w:t>
      </w:r>
      <w:r>
        <w:rPr>
          <w:spacing w:val="80"/>
          <w:sz w:val="16"/>
        </w:rPr>
        <w:t> </w:t>
      </w:r>
      <w:r>
        <w:rPr>
          <w:sz w:val="16"/>
        </w:rPr>
        <w:t>M,</w:t>
      </w:r>
      <w:r>
        <w:rPr>
          <w:spacing w:val="80"/>
          <w:sz w:val="16"/>
        </w:rPr>
        <w:t> </w:t>
      </w:r>
      <w:r>
        <w:rPr>
          <w:sz w:val="16"/>
        </w:rPr>
        <w:t>Vilarinho</w:t>
      </w:r>
      <w:r>
        <w:rPr>
          <w:spacing w:val="80"/>
          <w:sz w:val="16"/>
        </w:rPr>
        <w:t> </w:t>
      </w:r>
      <w:r>
        <w:rPr>
          <w:sz w:val="16"/>
        </w:rPr>
        <w:t>L,</w:t>
      </w:r>
      <w:r>
        <w:rPr>
          <w:spacing w:val="40"/>
          <w:sz w:val="16"/>
        </w:rPr>
        <w:t> </w:t>
      </w:r>
      <w:r>
        <w:rPr>
          <w:sz w:val="16"/>
        </w:rPr>
        <w:t>Castro L, Carpenter S. SANDO: two novel mutations in POLG1 gene.</w:t>
      </w:r>
      <w:r>
        <w:rPr>
          <w:spacing w:val="40"/>
          <w:sz w:val="16"/>
        </w:rPr>
        <w:t> </w:t>
      </w:r>
      <w:r>
        <w:rPr>
          <w:sz w:val="16"/>
        </w:rPr>
        <w:t>Neuromuscul Disord 2006;16(8):507–9. doi:</w:t>
      </w:r>
      <w:hyperlink r:id="rId15">
        <w:r>
          <w:rPr>
            <w:color w:val="0080AC"/>
            <w:sz w:val="16"/>
          </w:rPr>
          <w:t>10.1016/j.nmd.2006.05.016</w:t>
        </w:r>
      </w:hyperlink>
      <w:r>
        <w:rPr>
          <w:color w:val="0080AC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1" w:after="0"/>
        <w:ind w:left="349" w:right="270" w:hanging="256"/>
        <w:jc w:val="both"/>
        <w:rPr>
          <w:sz w:val="16"/>
        </w:rPr>
      </w:pPr>
      <w:r>
        <w:rPr>
          <w:sz w:val="16"/>
        </w:rPr>
        <w:t>Henao AI, Pira S, Herrera DA, Vargas SA, Montoya J, Castillo M.</w:t>
      </w:r>
      <w:r>
        <w:rPr>
          <w:spacing w:val="40"/>
          <w:sz w:val="16"/>
        </w:rPr>
        <w:t> </w:t>
      </w:r>
      <w:r>
        <w:rPr>
          <w:sz w:val="16"/>
        </w:rPr>
        <w:t>Characteristic brain MRI findings in ataxia-neuropathy spectrum related</w:t>
      </w:r>
      <w:r>
        <w:rPr>
          <w:spacing w:val="40"/>
          <w:sz w:val="16"/>
        </w:rPr>
        <w:t> </w:t>
      </w:r>
      <w:hyperlink r:id="rId16">
        <w:r>
          <w:rPr>
            <w:sz w:val="16"/>
          </w:rPr>
          <w:t>to POLG mutation. Neuroradiol J 2016;29(1):46–8. doi:</w:t>
        </w:r>
        <w:r>
          <w:rPr>
            <w:color w:val="0080AC"/>
            <w:sz w:val="16"/>
          </w:rPr>
          <w:t>10.1177/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pacing w:val="-2"/>
            <w:sz w:val="16"/>
          </w:rPr>
          <w:t>197140091562132.</w:t>
        </w:r>
      </w:hyperlink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2" w:after="0"/>
        <w:ind w:left="349" w:right="269" w:hanging="256"/>
        <w:jc w:val="both"/>
        <w:rPr>
          <w:sz w:val="16"/>
        </w:rPr>
      </w:pPr>
      <w:r>
        <w:rPr>
          <w:sz w:val="16"/>
        </w:rPr>
        <w:t>Tang S, Wang J, Lee N, Milone M, Halberg M, Schmitt E, et al.</w:t>
      </w:r>
      <w:r>
        <w:rPr>
          <w:spacing w:val="40"/>
          <w:sz w:val="16"/>
        </w:rPr>
        <w:t> </w:t>
      </w:r>
      <w:r>
        <w:rPr>
          <w:sz w:val="16"/>
        </w:rPr>
        <w:t>Mitochondrial DNA polymerase mutations: an ever expanding molecular</w:t>
      </w:r>
      <w:r>
        <w:rPr>
          <w:spacing w:val="40"/>
          <w:sz w:val="16"/>
        </w:rPr>
        <w:t> </w:t>
      </w:r>
      <w:hyperlink r:id="rId17">
        <w:r>
          <w:rPr>
            <w:sz w:val="16"/>
          </w:rPr>
          <w:t>and clinical spectrum. J Med Genet 2011;48(10):669–81. doi:</w:t>
        </w:r>
        <w:r>
          <w:rPr>
            <w:color w:val="0080AC"/>
            <w:sz w:val="16"/>
          </w:rPr>
          <w:t>10.1136/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pacing w:val="-2"/>
            <w:sz w:val="16"/>
          </w:rPr>
          <w:t>jmedgenet-2011-100222.</w:t>
        </w:r>
      </w:hyperlink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3" w:after="0"/>
        <w:ind w:left="349" w:right="266" w:hanging="256"/>
        <w:jc w:val="both"/>
        <w:rPr>
          <w:sz w:val="16"/>
        </w:rPr>
      </w:pPr>
      <w:hyperlink r:id="rId18">
        <w:r>
          <w:rPr>
            <w:color w:val="0080AC"/>
            <w:sz w:val="16"/>
          </w:rPr>
          <w:t>Richards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S</w:t>
        </w:r>
      </w:hyperlink>
      <w:r>
        <w:rPr>
          <w:color w:val="0080AC"/>
          <w:sz w:val="16"/>
        </w:rPr>
        <w:t>,</w:t>
      </w:r>
      <w:r>
        <w:rPr>
          <w:color w:val="0080AC"/>
          <w:spacing w:val="79"/>
          <w:sz w:val="16"/>
        </w:rPr>
        <w:t> </w:t>
      </w:r>
      <w:hyperlink r:id="rId18">
        <w:r>
          <w:rPr>
            <w:color w:val="0080AC"/>
            <w:sz w:val="16"/>
          </w:rPr>
          <w:t>Aziz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N</w:t>
        </w:r>
      </w:hyperlink>
      <w:r>
        <w:rPr>
          <w:color w:val="0080AC"/>
          <w:sz w:val="16"/>
        </w:rPr>
        <w:t>,</w:t>
      </w:r>
      <w:r>
        <w:rPr>
          <w:color w:val="0080AC"/>
          <w:spacing w:val="79"/>
          <w:sz w:val="16"/>
        </w:rPr>
        <w:t> </w:t>
      </w:r>
      <w:hyperlink r:id="rId18">
        <w:r>
          <w:rPr>
            <w:color w:val="0080AC"/>
            <w:sz w:val="16"/>
          </w:rPr>
          <w:t>Bale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S</w:t>
        </w:r>
      </w:hyperlink>
      <w:r>
        <w:rPr>
          <w:color w:val="0080AC"/>
          <w:sz w:val="16"/>
        </w:rPr>
        <w:t>,</w:t>
      </w:r>
      <w:r>
        <w:rPr>
          <w:color w:val="0080AC"/>
          <w:spacing w:val="79"/>
          <w:sz w:val="16"/>
        </w:rPr>
        <w:t> </w:t>
      </w:r>
      <w:hyperlink r:id="rId18">
        <w:r>
          <w:rPr>
            <w:color w:val="0080AC"/>
            <w:sz w:val="16"/>
          </w:rPr>
          <w:t>Bick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D</w:t>
        </w:r>
      </w:hyperlink>
      <w:r>
        <w:rPr>
          <w:color w:val="0080AC"/>
          <w:sz w:val="16"/>
        </w:rPr>
        <w:t>,</w:t>
      </w:r>
      <w:r>
        <w:rPr>
          <w:color w:val="0080AC"/>
          <w:spacing w:val="79"/>
          <w:sz w:val="16"/>
        </w:rPr>
        <w:t> </w:t>
      </w:r>
      <w:hyperlink r:id="rId18">
        <w:r>
          <w:rPr>
            <w:color w:val="0080AC"/>
            <w:sz w:val="16"/>
          </w:rPr>
          <w:t>Das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S</w:t>
        </w:r>
      </w:hyperlink>
      <w:r>
        <w:rPr>
          <w:color w:val="0080AC"/>
          <w:sz w:val="16"/>
        </w:rPr>
        <w:t>,</w:t>
      </w:r>
      <w:r>
        <w:rPr>
          <w:color w:val="0080AC"/>
          <w:spacing w:val="79"/>
          <w:sz w:val="16"/>
        </w:rPr>
        <w:t> </w:t>
      </w:r>
      <w:hyperlink r:id="rId18">
        <w:r>
          <w:rPr>
            <w:color w:val="0080AC"/>
            <w:sz w:val="16"/>
          </w:rPr>
          <w:t>Gastier-Foster</w:t>
        </w:r>
        <w:r>
          <w:rPr>
            <w:color w:val="0080AC"/>
            <w:spacing w:val="79"/>
            <w:sz w:val="16"/>
          </w:rPr>
          <w:t> </w:t>
        </w:r>
        <w:r>
          <w:rPr>
            <w:color w:val="0080AC"/>
            <w:sz w:val="16"/>
          </w:rPr>
          <w:t>J</w:t>
        </w:r>
      </w:hyperlink>
      <w:r>
        <w:rPr>
          <w:color w:val="0080AC"/>
          <w:sz w:val="16"/>
        </w:rPr>
        <w:t>,</w:t>
      </w:r>
      <w:r>
        <w:rPr>
          <w:color w:val="0080AC"/>
          <w:spacing w:val="40"/>
          <w:sz w:val="16"/>
        </w:rPr>
        <w:t> </w:t>
      </w:r>
      <w:hyperlink r:id="rId18">
        <w:r>
          <w:rPr>
            <w:color w:val="0080AC"/>
            <w:sz w:val="16"/>
          </w:rPr>
          <w:t>et al. Standards and guidelines for the interpretation of sequence variants: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z w:val="16"/>
          </w:rPr>
          <w:t>a joint consensus recommendation of the American College of Medical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z w:val="16"/>
          </w:rPr>
          <w:t>Genetics and Genomics and the Association for Molecular Pathology.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z w:val="16"/>
          </w:rPr>
          <w:t>Genet Med 2015;17(5):405–24.</w:t>
        </w:r>
      </w:hyperlink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2" w:after="0"/>
        <w:ind w:left="349" w:right="270" w:hanging="256"/>
        <w:jc w:val="both"/>
        <w:rPr>
          <w:sz w:val="16"/>
        </w:rPr>
      </w:pPr>
      <w:r>
        <w:rPr>
          <w:sz w:val="16"/>
        </w:rPr>
        <w:t>Agostino</w:t>
      </w:r>
      <w:r>
        <w:rPr>
          <w:spacing w:val="38"/>
          <w:sz w:val="16"/>
        </w:rPr>
        <w:t> </w:t>
      </w:r>
      <w:r>
        <w:rPr>
          <w:sz w:val="16"/>
        </w:rPr>
        <w:t>A,</w:t>
      </w:r>
      <w:r>
        <w:rPr>
          <w:spacing w:val="38"/>
          <w:sz w:val="16"/>
        </w:rPr>
        <w:t> </w:t>
      </w:r>
      <w:r>
        <w:rPr>
          <w:sz w:val="16"/>
        </w:rPr>
        <w:t>Valletta</w:t>
      </w:r>
      <w:r>
        <w:rPr>
          <w:spacing w:val="38"/>
          <w:sz w:val="16"/>
        </w:rPr>
        <w:t> </w:t>
      </w:r>
      <w:r>
        <w:rPr>
          <w:sz w:val="16"/>
        </w:rPr>
        <w:t>L,</w:t>
      </w:r>
      <w:r>
        <w:rPr>
          <w:spacing w:val="38"/>
          <w:sz w:val="16"/>
        </w:rPr>
        <w:t> </w:t>
      </w:r>
      <w:r>
        <w:rPr>
          <w:sz w:val="16"/>
        </w:rPr>
        <w:t>Chinnery</w:t>
      </w:r>
      <w:r>
        <w:rPr>
          <w:spacing w:val="38"/>
          <w:sz w:val="16"/>
        </w:rPr>
        <w:t> </w:t>
      </w:r>
      <w:r>
        <w:rPr>
          <w:sz w:val="16"/>
        </w:rPr>
        <w:t>P,</w:t>
      </w:r>
      <w:r>
        <w:rPr>
          <w:spacing w:val="38"/>
          <w:sz w:val="16"/>
        </w:rPr>
        <w:t> </w:t>
      </w:r>
      <w:r>
        <w:rPr>
          <w:sz w:val="16"/>
        </w:rPr>
        <w:t>Ferrari</w:t>
      </w:r>
      <w:r>
        <w:rPr>
          <w:spacing w:val="38"/>
          <w:sz w:val="16"/>
        </w:rPr>
        <w:t> </w:t>
      </w:r>
      <w:r>
        <w:rPr>
          <w:sz w:val="16"/>
        </w:rPr>
        <w:t>G,</w:t>
      </w:r>
      <w:r>
        <w:rPr>
          <w:spacing w:val="38"/>
          <w:sz w:val="16"/>
        </w:rPr>
        <w:t> </w:t>
      </w:r>
      <w:r>
        <w:rPr>
          <w:sz w:val="16"/>
        </w:rPr>
        <w:t>Carrara</w:t>
      </w:r>
      <w:r>
        <w:rPr>
          <w:spacing w:val="38"/>
          <w:sz w:val="16"/>
        </w:rPr>
        <w:t> </w:t>
      </w:r>
      <w:r>
        <w:rPr>
          <w:sz w:val="16"/>
        </w:rPr>
        <w:t>F,</w:t>
      </w:r>
      <w:r>
        <w:rPr>
          <w:spacing w:val="38"/>
          <w:sz w:val="16"/>
        </w:rPr>
        <w:t> </w:t>
      </w:r>
      <w:r>
        <w:rPr>
          <w:sz w:val="16"/>
        </w:rPr>
        <w:t>Taylor</w:t>
      </w:r>
      <w:r>
        <w:rPr>
          <w:spacing w:val="38"/>
          <w:sz w:val="16"/>
        </w:rPr>
        <w:t> </w:t>
      </w:r>
      <w:r>
        <w:rPr>
          <w:sz w:val="16"/>
        </w:rPr>
        <w:t>R,</w:t>
      </w:r>
      <w:r>
        <w:rPr>
          <w:spacing w:val="40"/>
          <w:sz w:val="16"/>
        </w:rPr>
        <w:t> </w:t>
      </w:r>
      <w:r>
        <w:rPr>
          <w:sz w:val="16"/>
        </w:rPr>
        <w:t>et al. Mutations of ANT1, Twinkle, and POLG1 in sporadic progressive</w:t>
      </w:r>
      <w:r>
        <w:rPr>
          <w:spacing w:val="40"/>
          <w:sz w:val="16"/>
        </w:rPr>
        <w:t> </w:t>
      </w:r>
      <w:hyperlink r:id="rId19">
        <w:r>
          <w:rPr>
            <w:sz w:val="16"/>
          </w:rPr>
          <w:t>external ophthalmoplegia (PEO). Neurology 2003;60(8):1354–6. doi:</w:t>
        </w:r>
        <w:r>
          <w:rPr>
            <w:color w:val="0080AC"/>
            <w:sz w:val="16"/>
          </w:rPr>
          <w:t>10.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pacing w:val="-2"/>
            <w:sz w:val="16"/>
          </w:rPr>
          <w:t>1212/01.WNL.0000056088.09408.3C.</w:t>
        </w:r>
      </w:hyperlink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  <w:tab w:pos="1523" w:val="left" w:leader="none"/>
          <w:tab w:pos="1629" w:val="left" w:leader="none"/>
          <w:tab w:pos="2077" w:val="left" w:leader="none"/>
          <w:tab w:pos="2810" w:val="left" w:leader="none"/>
          <w:tab w:pos="2883" w:val="left" w:leader="none"/>
          <w:tab w:pos="3105" w:val="left" w:leader="none"/>
          <w:tab w:pos="3843" w:val="left" w:leader="none"/>
          <w:tab w:pos="4475" w:val="left" w:leader="none"/>
        </w:tabs>
        <w:spacing w:line="259" w:lineRule="auto" w:before="3" w:after="0"/>
        <w:ind w:left="349" w:right="273" w:hanging="256"/>
        <w:jc w:val="left"/>
        <w:rPr>
          <w:sz w:val="16"/>
        </w:rPr>
      </w:pPr>
      <w:r>
        <w:rPr>
          <w:spacing w:val="-2"/>
          <w:sz w:val="16"/>
        </w:rPr>
        <w:t>Submissions</w:t>
      </w:r>
      <w:r>
        <w:rPr>
          <w:sz w:val="16"/>
        </w:rPr>
        <w:tab/>
      </w:r>
      <w:r>
        <w:rPr>
          <w:spacing w:val="-4"/>
          <w:sz w:val="16"/>
        </w:rPr>
        <w:t>for</w:t>
      </w:r>
      <w:r>
        <w:rPr>
          <w:sz w:val="16"/>
        </w:rPr>
        <w:tab/>
      </w:r>
      <w:r>
        <w:rPr>
          <w:spacing w:val="-2"/>
          <w:sz w:val="16"/>
        </w:rPr>
        <w:t>variant</w:t>
      </w:r>
      <w:r>
        <w:rPr>
          <w:sz w:val="16"/>
        </w:rPr>
        <w:tab/>
        <w:tab/>
      </w:r>
      <w:r>
        <w:rPr>
          <w:spacing w:val="-2"/>
          <w:sz w:val="16"/>
        </w:rPr>
        <w:t>NM_002693.2(POLG):c.3287G&gt;T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(p.Arg1096Leu)</w:t>
      </w:r>
      <w:r>
        <w:rPr>
          <w:sz w:val="16"/>
        </w:rPr>
        <w:tab/>
        <w:tab/>
      </w:r>
      <w:r>
        <w:rPr>
          <w:spacing w:val="-2"/>
          <w:sz w:val="16"/>
        </w:rPr>
        <w:t>(rs368435864)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ab/>
      </w:r>
      <w:r>
        <w:rPr>
          <w:spacing w:val="-2"/>
          <w:sz w:val="16"/>
        </w:rPr>
        <w:t>ClinVar</w:t>
      </w:r>
      <w:r>
        <w:rPr>
          <w:sz w:val="16"/>
        </w:rPr>
        <w:tab/>
      </w:r>
      <w:r>
        <w:rPr>
          <w:spacing w:val="-2"/>
          <w:sz w:val="16"/>
        </w:rPr>
        <w:t>Miner</w:t>
      </w:r>
      <w:r>
        <w:rPr>
          <w:sz w:val="16"/>
        </w:rPr>
        <w:tab/>
      </w:r>
      <w:r>
        <w:rPr>
          <w:spacing w:val="-2"/>
          <w:sz w:val="16"/>
        </w:rPr>
        <w:t>[Internet].</w:t>
      </w:r>
      <w:r>
        <w:rPr>
          <w:spacing w:val="40"/>
          <w:sz w:val="16"/>
        </w:rPr>
        <w:t> </w:t>
      </w:r>
      <w:r>
        <w:rPr>
          <w:sz w:val="16"/>
        </w:rPr>
        <w:t>Clinvarminer.genetics.utah.edu.</w:t>
      </w:r>
      <w:r>
        <w:rPr>
          <w:spacing w:val="80"/>
          <w:sz w:val="16"/>
        </w:rPr>
        <w:t> </w:t>
      </w:r>
      <w:r>
        <w:rPr>
          <w:sz w:val="16"/>
        </w:rPr>
        <w:t>2019</w:t>
      </w:r>
      <w:r>
        <w:rPr>
          <w:spacing w:val="80"/>
          <w:sz w:val="16"/>
        </w:rPr>
        <w:t> </w:t>
      </w:r>
      <w:r>
        <w:rPr>
          <w:sz w:val="16"/>
        </w:rPr>
        <w:t>[cited</w:t>
      </w:r>
      <w:r>
        <w:rPr>
          <w:spacing w:val="80"/>
          <w:sz w:val="16"/>
        </w:rPr>
        <w:t> </w:t>
      </w:r>
      <w:r>
        <w:rPr>
          <w:sz w:val="16"/>
        </w:rPr>
        <w:t>3</w:t>
      </w:r>
      <w:r>
        <w:rPr>
          <w:spacing w:val="80"/>
          <w:sz w:val="16"/>
        </w:rPr>
        <w:t> </w:t>
      </w:r>
      <w:r>
        <w:rPr>
          <w:sz w:val="16"/>
        </w:rPr>
        <w:t>December</w:t>
      </w:r>
      <w:r>
        <w:rPr>
          <w:spacing w:val="80"/>
          <w:sz w:val="16"/>
        </w:rPr>
        <w:t> </w:t>
      </w:r>
      <w:r>
        <w:rPr>
          <w:sz w:val="16"/>
        </w:rPr>
        <w:t>2019].</w:t>
      </w:r>
      <w:r>
        <w:rPr>
          <w:spacing w:val="80"/>
          <w:sz w:val="16"/>
        </w:rPr>
        <w:t> </w:t>
      </w:r>
      <w:r>
        <w:rPr>
          <w:sz w:val="16"/>
        </w:rPr>
        <w:t>Available</w:t>
      </w:r>
      <w:r>
        <w:rPr>
          <w:spacing w:val="80"/>
          <w:sz w:val="16"/>
        </w:rPr>
        <w:t> </w:t>
      </w:r>
      <w:r>
        <w:rPr>
          <w:sz w:val="16"/>
        </w:rPr>
        <w:t>from:</w:t>
      </w:r>
      <w:r>
        <w:rPr>
          <w:spacing w:val="80"/>
          <w:sz w:val="16"/>
        </w:rPr>
        <w:t> </w:t>
      </w:r>
      <w:hyperlink r:id="rId20">
        <w:r>
          <w:rPr>
            <w:color w:val="0080AC"/>
            <w:sz w:val="16"/>
          </w:rPr>
          <w:t>https://clinvarminer.genetics.utah.edu/submissions-by-</w:t>
        </w:r>
      </w:hyperlink>
      <w:r>
        <w:rPr>
          <w:color w:val="0080AC"/>
          <w:spacing w:val="40"/>
          <w:sz w:val="16"/>
        </w:rPr>
        <w:t> </w:t>
      </w:r>
      <w:r>
        <w:rPr>
          <w:spacing w:val="-2"/>
          <w:sz w:val="16"/>
        </w:rPr>
        <w:t>variant/NM_002693.2%28POLG%29%3Ac.3287G%3ET%20%28p.Arg</w:t>
      </w:r>
      <w:r>
        <w:rPr>
          <w:spacing w:val="40"/>
          <w:sz w:val="16"/>
        </w:rPr>
        <w:t> </w:t>
      </w:r>
      <w:r>
        <w:rPr>
          <w:sz w:val="16"/>
        </w:rPr>
        <w:t>1096Leu% 29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3" w:after="0"/>
        <w:ind w:left="349" w:right="266" w:hanging="256"/>
        <w:jc w:val="both"/>
        <w:rPr>
          <w:sz w:val="16"/>
        </w:rPr>
      </w:pPr>
      <w:hyperlink r:id="rId21">
        <w:r>
          <w:rPr>
            <w:color w:val="0080AC"/>
            <w:sz w:val="16"/>
          </w:rPr>
          <w:t>Horvath R, Hudson G, Ferrari G, Fütterer N, Ahola S, Lamantea E.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z w:val="16"/>
          </w:rPr>
          <w:t>Phenotypic spectrum associated with mutations of the mitochondrial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z w:val="16"/>
          </w:rPr>
          <w:t>polymerase g gene. Brain 2006;129:1674–84.</w:t>
        </w:r>
      </w:hyperlink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59" w:lineRule="auto" w:before="2" w:after="0"/>
        <w:ind w:left="349" w:right="270" w:hanging="256"/>
        <w:jc w:val="both"/>
        <w:rPr>
          <w:sz w:val="16"/>
        </w:rPr>
      </w:pPr>
      <w:r>
        <w:rPr>
          <w:sz w:val="16"/>
        </w:rPr>
        <w:t>Habek</w:t>
      </w:r>
      <w:r>
        <w:rPr>
          <w:spacing w:val="40"/>
          <w:sz w:val="16"/>
        </w:rPr>
        <w:t> </w:t>
      </w:r>
      <w:r>
        <w:rPr>
          <w:sz w:val="16"/>
        </w:rPr>
        <w:t>M,</w:t>
      </w:r>
      <w:r>
        <w:rPr>
          <w:spacing w:val="40"/>
          <w:sz w:val="16"/>
        </w:rPr>
        <w:t> </w:t>
      </w:r>
      <w:r>
        <w:rPr>
          <w:sz w:val="16"/>
        </w:rPr>
        <w:t>Barun</w:t>
      </w:r>
      <w:r>
        <w:rPr>
          <w:spacing w:val="40"/>
          <w:sz w:val="16"/>
        </w:rPr>
        <w:t> </w:t>
      </w:r>
      <w:r>
        <w:rPr>
          <w:sz w:val="16"/>
        </w:rPr>
        <w:t>B,</w:t>
      </w:r>
      <w:r>
        <w:rPr>
          <w:spacing w:val="40"/>
          <w:sz w:val="16"/>
        </w:rPr>
        <w:t> </w:t>
      </w:r>
      <w:r>
        <w:rPr>
          <w:sz w:val="16"/>
        </w:rPr>
        <w:t>Adamec</w:t>
      </w:r>
      <w:r>
        <w:rPr>
          <w:spacing w:val="40"/>
          <w:sz w:val="16"/>
        </w:rPr>
        <w:t> </w:t>
      </w:r>
      <w:r>
        <w:rPr>
          <w:sz w:val="16"/>
        </w:rPr>
        <w:t>I,</w:t>
      </w:r>
      <w:r>
        <w:rPr>
          <w:spacing w:val="40"/>
          <w:sz w:val="16"/>
        </w:rPr>
        <w:t> </w:t>
      </w:r>
      <w:r>
        <w:rPr>
          <w:sz w:val="16"/>
        </w:rPr>
        <w:t>Mitrovic´</w:t>
      </w:r>
      <w:r>
        <w:rPr>
          <w:spacing w:val="40"/>
          <w:sz w:val="16"/>
        </w:rPr>
        <w:t> </w:t>
      </w:r>
      <w:r>
        <w:rPr>
          <w:sz w:val="16"/>
        </w:rPr>
        <w:t>Z,</w:t>
      </w:r>
      <w:r>
        <w:rPr>
          <w:spacing w:val="40"/>
          <w:sz w:val="16"/>
        </w:rPr>
        <w:t> </w:t>
      </w:r>
      <w:r>
        <w:rPr>
          <w:sz w:val="16"/>
        </w:rPr>
        <w:t>Ozretic´</w:t>
      </w:r>
      <w:r>
        <w:rPr>
          <w:spacing w:val="40"/>
          <w:sz w:val="16"/>
        </w:rPr>
        <w:t> </w:t>
      </w:r>
      <w:r>
        <w:rPr>
          <w:sz w:val="16"/>
        </w:rPr>
        <w:t>D,</w:t>
      </w:r>
      <w:r>
        <w:rPr>
          <w:spacing w:val="40"/>
          <w:sz w:val="16"/>
        </w:rPr>
        <w:t> </w:t>
      </w:r>
      <w:r>
        <w:rPr>
          <w:sz w:val="16"/>
        </w:rPr>
        <w:t>Brinar</w:t>
      </w:r>
      <w:r>
        <w:rPr>
          <w:spacing w:val="40"/>
          <w:sz w:val="16"/>
        </w:rPr>
        <w:t> </w:t>
      </w:r>
      <w:r>
        <w:rPr>
          <w:sz w:val="16"/>
        </w:rPr>
        <w:t>V.</w:t>
      </w:r>
      <w:r>
        <w:rPr>
          <w:spacing w:val="40"/>
          <w:sz w:val="16"/>
        </w:rPr>
        <w:t> </w:t>
      </w:r>
      <w:r>
        <w:rPr>
          <w:sz w:val="16"/>
        </w:rPr>
        <w:t>Early-onset ataxia with progressive external ophthalmoplegia associated</w:t>
      </w:r>
      <w:r>
        <w:rPr>
          <w:spacing w:val="40"/>
          <w:sz w:val="16"/>
        </w:rPr>
        <w:t> </w:t>
      </w:r>
      <w:hyperlink r:id="rId22">
        <w:r>
          <w:rPr>
            <w:sz w:val="16"/>
          </w:rPr>
          <w:t>with POLG mutation. Neurologist 2012;18(5):287–9. doi:</w:t>
        </w:r>
        <w:r>
          <w:rPr>
            <w:color w:val="0080AC"/>
            <w:sz w:val="16"/>
          </w:rPr>
          <w:t>10.1097/NRL.</w:t>
        </w:r>
        <w:r>
          <w:rPr>
            <w:color w:val="0080AC"/>
            <w:spacing w:val="40"/>
            <w:sz w:val="16"/>
          </w:rPr>
          <w:t> </w:t>
        </w:r>
        <w:r>
          <w:rPr>
            <w:color w:val="0080AC"/>
            <w:spacing w:val="-2"/>
            <w:sz w:val="16"/>
          </w:rPr>
          <w:t>0b013e318266f5a6.</w:t>
        </w:r>
      </w:hyperlink>
    </w:p>
    <w:sectPr>
      <w:type w:val="continuous"/>
      <w:pgSz w:w="11910" w:h="15880"/>
      <w:pgMar w:top="840" w:bottom="280" w:left="566" w:right="566"/>
      <w:cols w:num="2" w:equalWidth="0">
        <w:col w:w="5161" w:space="218"/>
        <w:col w:w="53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neva">
    <w:altName w:val="Genev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9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4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3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2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" w:hanging="23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148" w:right="32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9" w:right="270" w:hanging="25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doi.org/10.1016/j.nmd.2020.04.008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www.elsevier.com/locate/nmd" TargetMode="External"/><Relationship Id="rId12" Type="http://schemas.openxmlformats.org/officeDocument/2006/relationships/hyperlink" Target="mailto:j_didiergarza@hotmail.com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doi.org/10.1136/jnnp-2013-306748" TargetMode="External"/><Relationship Id="rId15" Type="http://schemas.openxmlformats.org/officeDocument/2006/relationships/hyperlink" Target="https://doi.org/10.1016/j.nmd.2006.05.016" TargetMode="External"/><Relationship Id="rId16" Type="http://schemas.openxmlformats.org/officeDocument/2006/relationships/hyperlink" Target="https://doi.org/10.1177/197140091562132" TargetMode="External"/><Relationship Id="rId17" Type="http://schemas.openxmlformats.org/officeDocument/2006/relationships/hyperlink" Target="https://doi.org/10.1136/jmedgenet-2011-100222" TargetMode="External"/><Relationship Id="rId18" Type="http://schemas.openxmlformats.org/officeDocument/2006/relationships/hyperlink" Target="http://refhub.elsevier.com/S0960-8966(20)30100-0/sbref0005" TargetMode="External"/><Relationship Id="rId19" Type="http://schemas.openxmlformats.org/officeDocument/2006/relationships/hyperlink" Target="https://doi.org/10.1212/01.WNL.0000056088.09408.3C" TargetMode="External"/><Relationship Id="rId20" Type="http://schemas.openxmlformats.org/officeDocument/2006/relationships/hyperlink" Target="https://clinvarminer.genetics.utah.edu/submissions-by-" TargetMode="External"/><Relationship Id="rId21" Type="http://schemas.openxmlformats.org/officeDocument/2006/relationships/hyperlink" Target="http://refhub.elsevier.com/S0960-8966(20)30100-0/sbref0007" TargetMode="External"/><Relationship Id="rId22" Type="http://schemas.openxmlformats.org/officeDocument/2006/relationships/hyperlink" Target="https://doi.org/10.1097/NRL.0b013e318266f5a6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Didier Parada-Garza</dc:creator>
  <cp:keywords>Ataxia-neuropathy spectrum,CPEO,Mitochondrial disease,POLG gene,POLG mutation,Ophthalmoparesis,SANDO</cp:keywords>
  <dc:subject>Neuromuscular Disorders, 30 (2020) 590-592. doi:10.1016/j.nmd.2020.04.008</dc:subject>
  <dc:title>MRI findings in SANDO variety of the ataxia-neuropathy spectrum with a novel mutation in POLG (c.3287G&gt;T): A case report</dc:title>
  <dcterms:created xsi:type="dcterms:W3CDTF">2025-07-04T17:08:20Z</dcterms:created>
  <dcterms:modified xsi:type="dcterms:W3CDTF">2025-07-04T17:08:20Z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2020-07-19T00:00:00Z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2025-07-04T00:00:00Z</vt:filetime>
  </property>
  <property fmtid="{D5CDD505-2E9C-101B-9397-08002B2CF9AE}" pid="12" name="Producer">
    <vt:lpwstr>Acrobat Distiller 10.1.10 (Windows)</vt:lpwstr>
  </property>
  <property fmtid="{D5CDD505-2E9C-101B-9397-08002B2CF9AE}" pid="13" name="doi">
    <vt:lpwstr>10.1016/j.nmd.2020.04.008</vt:lpwstr>
  </property>
  <property fmtid="{D5CDD505-2E9C-101B-9397-08002B2CF9AE}" pid="14" name="robots">
    <vt:lpwstr>noindex</vt:lpwstr>
  </property>
</Properties>
</file>