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296" w:val="left" w:leader="none"/>
        </w:tabs>
        <w:spacing w:before="59"/>
        <w:ind w:left="9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144</w:t>
      </w:r>
      <w:r>
        <w:rPr>
          <w:sz w:val="19"/>
        </w:rPr>
        <w:tab/>
      </w:r>
      <w:r>
        <w:rPr>
          <w:w w:val="145"/>
          <w:sz w:val="14"/>
        </w:rPr>
        <w:t>r</w:t>
      </w:r>
      <w:r>
        <w:rPr>
          <w:spacing w:val="-26"/>
          <w:w w:val="145"/>
          <w:sz w:val="14"/>
        </w:rPr>
        <w:t> </w:t>
      </w:r>
      <w:r>
        <w:rPr>
          <w:w w:val="115"/>
          <w:sz w:val="14"/>
        </w:rPr>
        <w:t>e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v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u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e</w:t>
      </w:r>
      <w:r>
        <w:rPr>
          <w:spacing w:val="32"/>
          <w:w w:val="115"/>
          <w:sz w:val="14"/>
        </w:rPr>
        <w:t> </w:t>
      </w:r>
      <w:r>
        <w:rPr>
          <w:w w:val="115"/>
          <w:sz w:val="14"/>
        </w:rPr>
        <w:t>n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e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u</w:t>
      </w:r>
      <w:r>
        <w:rPr>
          <w:spacing w:val="-14"/>
          <w:w w:val="115"/>
          <w:sz w:val="14"/>
        </w:rPr>
        <w:t> </w:t>
      </w:r>
      <w:r>
        <w:rPr>
          <w:w w:val="145"/>
          <w:sz w:val="14"/>
        </w:rPr>
        <w:t>r</w:t>
      </w:r>
      <w:r>
        <w:rPr>
          <w:spacing w:val="-26"/>
          <w:w w:val="145"/>
          <w:sz w:val="14"/>
        </w:rPr>
        <w:t> </w:t>
      </w:r>
      <w:r>
        <w:rPr>
          <w:w w:val="115"/>
          <w:sz w:val="14"/>
        </w:rPr>
        <w:t>o</w:t>
      </w:r>
      <w:r>
        <w:rPr>
          <w:spacing w:val="-14"/>
          <w:w w:val="115"/>
          <w:sz w:val="14"/>
        </w:rPr>
        <w:t> </w:t>
      </w:r>
      <w:r>
        <w:rPr>
          <w:w w:val="145"/>
          <w:sz w:val="14"/>
        </w:rPr>
        <w:t>l</w:t>
      </w:r>
      <w:r>
        <w:rPr>
          <w:spacing w:val="-24"/>
          <w:w w:val="145"/>
          <w:sz w:val="14"/>
        </w:rPr>
        <w:t> </w:t>
      </w:r>
      <w:r>
        <w:rPr>
          <w:w w:val="115"/>
          <w:sz w:val="14"/>
        </w:rPr>
        <w:t>o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g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i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q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u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e</w:t>
      </w:r>
      <w:r>
        <w:rPr>
          <w:spacing w:val="33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7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7</w:t>
      </w:r>
      <w:r>
        <w:rPr>
          <w:spacing w:val="32"/>
          <w:w w:val="115"/>
          <w:sz w:val="14"/>
        </w:rPr>
        <w:t> </w:t>
      </w:r>
      <w:r>
        <w:rPr>
          <w:w w:val="115"/>
          <w:sz w:val="14"/>
        </w:rPr>
        <w:t>(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2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0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2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)</w:t>
      </w:r>
      <w:r>
        <w:rPr>
          <w:spacing w:val="32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3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2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–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5</w:t>
      </w:r>
      <w:r>
        <w:rPr>
          <w:spacing w:val="-14"/>
          <w:w w:val="115"/>
          <w:sz w:val="14"/>
        </w:rPr>
        <w:t> </w:t>
      </w:r>
      <w:r>
        <w:rPr>
          <w:spacing w:val="-10"/>
          <w:w w:val="115"/>
          <w:sz w:val="14"/>
        </w:rPr>
        <w:t>7</w:t>
      </w:r>
    </w:p>
    <w:p>
      <w:pPr>
        <w:pStyle w:val="BodyText"/>
        <w:spacing w:before="7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600481</wp:posOffset>
                </wp:positionH>
                <wp:positionV relativeFrom="paragraph">
                  <wp:posOffset>122166</wp:posOffset>
                </wp:positionV>
                <wp:extent cx="6301105" cy="381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300724" y="360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619418pt;width:496.12pt;height:.28351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type w:val="continuous"/>
          <w:pgSz w:w="11910" w:h="15880"/>
          <w:pgMar w:top="540" w:bottom="280" w:left="850" w:right="850"/>
        </w:sectPr>
      </w:pPr>
    </w:p>
    <w:p>
      <w:pPr>
        <w:pStyle w:val="BodyText"/>
        <w:spacing w:line="297" w:lineRule="auto" w:before="86"/>
        <w:ind w:left="95" w:right="39"/>
        <w:jc w:val="both"/>
      </w:pPr>
      <w:r>
        <w:rPr>
          <w:w w:val="125"/>
        </w:rPr>
        <w:t>month</w:t>
      </w:r>
      <w:r>
        <w:rPr>
          <w:w w:val="125"/>
        </w:rPr>
        <w:t> after</w:t>
      </w:r>
      <w:r>
        <w:rPr>
          <w:w w:val="125"/>
        </w:rPr>
        <w:t> the</w:t>
      </w:r>
      <w:r>
        <w:rPr>
          <w:w w:val="125"/>
        </w:rPr>
        <w:t> initial</w:t>
      </w:r>
      <w:r>
        <w:rPr>
          <w:w w:val="125"/>
        </w:rPr>
        <w:t> MRI</w:t>
      </w:r>
      <w:r>
        <w:rPr>
          <w:w w:val="125"/>
        </w:rPr>
        <w:t> showed</w:t>
      </w:r>
      <w:r>
        <w:rPr>
          <w:w w:val="125"/>
        </w:rPr>
        <w:t> the</w:t>
      </w:r>
      <w:r>
        <w:rPr>
          <w:w w:val="125"/>
        </w:rPr>
        <w:t> resolution</w:t>
      </w:r>
      <w:r>
        <w:rPr>
          <w:w w:val="125"/>
        </w:rPr>
        <w:t> of</w:t>
      </w:r>
      <w:r>
        <w:rPr>
          <w:w w:val="125"/>
        </w:rPr>
        <w:t> </w:t>
      </w:r>
      <w:r>
        <w:rPr>
          <w:w w:val="125"/>
        </w:rPr>
        <w:t>the hyperintense signal in bilateral thalamic regions.</w:t>
      </w:r>
    </w:p>
    <w:p>
      <w:pPr>
        <w:pStyle w:val="BodyText"/>
        <w:spacing w:line="300" w:lineRule="auto" w:before="2"/>
        <w:ind w:left="95" w:right="38" w:firstLine="239"/>
        <w:jc w:val="both"/>
      </w:pPr>
      <w:r>
        <w:rPr>
          <w:w w:val="125"/>
        </w:rPr>
        <w:t>WE</w:t>
      </w:r>
      <w:r>
        <w:rPr>
          <w:w w:val="125"/>
        </w:rPr>
        <w:t> is</w:t>
      </w:r>
      <w:r>
        <w:rPr>
          <w:w w:val="125"/>
        </w:rPr>
        <w:t> a</w:t>
      </w:r>
      <w:r>
        <w:rPr>
          <w:w w:val="125"/>
        </w:rPr>
        <w:t> medical</w:t>
      </w:r>
      <w:r>
        <w:rPr>
          <w:w w:val="125"/>
        </w:rPr>
        <w:t> emergency</w:t>
      </w:r>
      <w:r>
        <w:rPr>
          <w:w w:val="125"/>
        </w:rPr>
        <w:t> raising</w:t>
      </w:r>
      <w:r>
        <w:rPr>
          <w:w w:val="125"/>
        </w:rPr>
        <w:t> a</w:t>
      </w:r>
      <w:r>
        <w:rPr>
          <w:w w:val="125"/>
        </w:rPr>
        <w:t> risk</w:t>
      </w:r>
      <w:r>
        <w:rPr>
          <w:w w:val="125"/>
        </w:rPr>
        <w:t> of</w:t>
      </w:r>
      <w:r>
        <w:rPr>
          <w:w w:val="125"/>
        </w:rPr>
        <w:t> </w:t>
      </w:r>
      <w:r>
        <w:rPr>
          <w:w w:val="125"/>
        </w:rPr>
        <w:t>irreversible </w:t>
      </w:r>
      <w:r>
        <w:rPr>
          <w:w w:val="120"/>
        </w:rPr>
        <w:t>neurological impairment. Prevalence is underestimated. Phy- </w:t>
      </w:r>
      <w:r>
        <w:rPr>
          <w:w w:val="125"/>
        </w:rPr>
        <w:t>sicians</w:t>
      </w:r>
      <w:r>
        <w:rPr>
          <w:w w:val="125"/>
        </w:rPr>
        <w:t> should</w:t>
      </w:r>
      <w:r>
        <w:rPr>
          <w:w w:val="125"/>
        </w:rPr>
        <w:t> be</w:t>
      </w:r>
      <w:r>
        <w:rPr>
          <w:w w:val="125"/>
        </w:rPr>
        <w:t> aware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spectrum</w:t>
      </w:r>
      <w:r>
        <w:rPr>
          <w:w w:val="125"/>
        </w:rPr>
        <w:t> of</w:t>
      </w:r>
      <w:r>
        <w:rPr>
          <w:w w:val="125"/>
        </w:rPr>
        <w:t> predisposing factors</w:t>
      </w:r>
      <w:r>
        <w:rPr>
          <w:spacing w:val="-11"/>
          <w:w w:val="125"/>
        </w:rPr>
        <w:t> </w:t>
      </w:r>
      <w:r>
        <w:rPr>
          <w:w w:val="125"/>
        </w:rPr>
        <w:t>and</w:t>
      </w:r>
      <w:r>
        <w:rPr>
          <w:spacing w:val="-11"/>
          <w:w w:val="125"/>
        </w:rPr>
        <w:t> </w:t>
      </w:r>
      <w:r>
        <w:rPr>
          <w:w w:val="125"/>
        </w:rPr>
        <w:t>clinical</w:t>
      </w:r>
      <w:r>
        <w:rPr>
          <w:spacing w:val="-11"/>
          <w:w w:val="125"/>
        </w:rPr>
        <w:t> </w:t>
      </w:r>
      <w:r>
        <w:rPr>
          <w:w w:val="125"/>
        </w:rPr>
        <w:t>settings</w:t>
      </w:r>
      <w:r>
        <w:rPr>
          <w:spacing w:val="-11"/>
          <w:w w:val="125"/>
        </w:rPr>
        <w:t> </w:t>
      </w:r>
      <w:r>
        <w:rPr>
          <w:w w:val="125"/>
        </w:rPr>
        <w:t>resulting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thiamine</w:t>
      </w:r>
      <w:r>
        <w:rPr>
          <w:spacing w:val="-11"/>
          <w:w w:val="125"/>
        </w:rPr>
        <w:t> </w:t>
      </w:r>
      <w:r>
        <w:rPr>
          <w:w w:val="125"/>
        </w:rPr>
        <w:t>deficiency. In</w:t>
      </w:r>
      <w:r>
        <w:rPr>
          <w:w w:val="125"/>
        </w:rPr>
        <w:t> patients</w:t>
      </w:r>
      <w:r>
        <w:rPr>
          <w:w w:val="125"/>
        </w:rPr>
        <w:t> in</w:t>
      </w:r>
      <w:r>
        <w:rPr>
          <w:w w:val="125"/>
        </w:rPr>
        <w:t> whom</w:t>
      </w:r>
      <w:r>
        <w:rPr>
          <w:w w:val="125"/>
        </w:rPr>
        <w:t> the</w:t>
      </w:r>
      <w:r>
        <w:rPr>
          <w:w w:val="125"/>
        </w:rPr>
        <w:t> disorder</w:t>
      </w:r>
      <w:r>
        <w:rPr>
          <w:w w:val="125"/>
        </w:rPr>
        <w:t> is</w:t>
      </w:r>
      <w:r>
        <w:rPr>
          <w:w w:val="125"/>
        </w:rPr>
        <w:t> suspected,</w:t>
      </w:r>
      <w:r>
        <w:rPr>
          <w:w w:val="125"/>
        </w:rPr>
        <w:t> high-dose </w:t>
      </w:r>
      <w:r>
        <w:rPr>
          <w:w w:val="120"/>
        </w:rPr>
        <w:t>intravenous</w:t>
      </w:r>
      <w:r>
        <w:rPr>
          <w:spacing w:val="13"/>
          <w:w w:val="120"/>
        </w:rPr>
        <w:t> </w:t>
      </w:r>
      <w:r>
        <w:rPr>
          <w:w w:val="120"/>
        </w:rPr>
        <w:t>vitamin</w:t>
      </w:r>
      <w:r>
        <w:rPr>
          <w:spacing w:val="10"/>
          <w:w w:val="120"/>
        </w:rPr>
        <w:t> </w:t>
      </w:r>
      <w:r>
        <w:rPr>
          <w:w w:val="120"/>
        </w:rPr>
        <w:t>therapy</w:t>
      </w:r>
      <w:r>
        <w:rPr>
          <w:spacing w:val="10"/>
          <w:w w:val="120"/>
        </w:rPr>
        <w:t> </w:t>
      </w:r>
      <w:r>
        <w:rPr>
          <w:w w:val="120"/>
        </w:rPr>
        <w:t>should</w:t>
      </w:r>
      <w:r>
        <w:rPr>
          <w:spacing w:val="11"/>
          <w:w w:val="120"/>
        </w:rPr>
        <w:t> </w:t>
      </w:r>
      <w:r>
        <w:rPr>
          <w:w w:val="120"/>
        </w:rPr>
        <w:t>be</w:t>
      </w:r>
      <w:r>
        <w:rPr>
          <w:spacing w:val="12"/>
          <w:w w:val="120"/>
        </w:rPr>
        <w:t> </w:t>
      </w:r>
      <w:r>
        <w:rPr>
          <w:w w:val="120"/>
        </w:rPr>
        <w:t>initiated</w:t>
      </w:r>
      <w:r>
        <w:rPr>
          <w:spacing w:val="11"/>
          <w:w w:val="120"/>
        </w:rPr>
        <w:t> </w:t>
      </w:r>
      <w:r>
        <w:rPr>
          <w:spacing w:val="-2"/>
          <w:w w:val="120"/>
        </w:rPr>
        <w:t>immediately.</w:t>
      </w:r>
    </w:p>
    <w:p>
      <w:pPr>
        <w:pStyle w:val="BodyText"/>
        <w:spacing w:before="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600481</wp:posOffset>
                </wp:positionH>
                <wp:positionV relativeFrom="paragraph">
                  <wp:posOffset>167071</wp:posOffset>
                </wp:positionV>
                <wp:extent cx="3036570" cy="254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3.15523pt;width:239.074pt;height:1.9843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52"/>
      </w:pPr>
      <w:bookmarkStart w:name="Ethics statement" w:id="1"/>
      <w:bookmarkEnd w:id="1"/>
      <w:r>
        <w:rPr/>
      </w:r>
      <w:r>
        <w:rPr>
          <w:w w:val="120"/>
        </w:rPr>
        <w:t>Ethics</w:t>
      </w:r>
      <w:r>
        <w:rPr>
          <w:w w:val="130"/>
        </w:rPr>
        <w:t> </w:t>
      </w:r>
      <w:r>
        <w:rPr>
          <w:spacing w:val="-2"/>
          <w:w w:val="130"/>
        </w:rPr>
        <w:t>statement</w:t>
      </w:r>
    </w:p>
    <w:p>
      <w:pPr>
        <w:pStyle w:val="BodyText"/>
        <w:spacing w:before="120"/>
        <w:rPr>
          <w:sz w:val="19"/>
        </w:rPr>
      </w:pPr>
    </w:p>
    <w:p>
      <w:pPr>
        <w:pStyle w:val="BodyText"/>
        <w:spacing w:line="300" w:lineRule="auto"/>
        <w:ind w:left="95" w:right="39" w:firstLine="19"/>
        <w:jc w:val="both"/>
      </w:pPr>
      <w:r>
        <w:rPr>
          <w:w w:val="120"/>
        </w:rPr>
        <w:t>Compliance</w:t>
      </w:r>
      <w:r>
        <w:rPr>
          <w:w w:val="120"/>
        </w:rPr>
        <w:t> with</w:t>
      </w:r>
      <w:r>
        <w:rPr>
          <w:w w:val="120"/>
        </w:rPr>
        <w:t> ethics</w:t>
      </w:r>
      <w:r>
        <w:rPr>
          <w:w w:val="120"/>
        </w:rPr>
        <w:t> guidelines.</w:t>
      </w:r>
      <w:r>
        <w:rPr>
          <w:w w:val="120"/>
        </w:rPr>
        <w:t> Informed</w:t>
      </w:r>
      <w:r>
        <w:rPr>
          <w:w w:val="120"/>
        </w:rPr>
        <w:t> consent</w:t>
      </w:r>
      <w:r>
        <w:rPr>
          <w:w w:val="120"/>
        </w:rPr>
        <w:t> </w:t>
      </w:r>
      <w:r>
        <w:rPr>
          <w:w w:val="120"/>
        </w:rPr>
        <w:t>was obtained from the patient for being included in the study. We have</w:t>
      </w:r>
      <w:r>
        <w:rPr>
          <w:w w:val="120"/>
        </w:rPr>
        <w:t> received</w:t>
      </w:r>
      <w:r>
        <w:rPr>
          <w:w w:val="120"/>
        </w:rPr>
        <w:t> ethics</w:t>
      </w:r>
      <w:r>
        <w:rPr>
          <w:w w:val="120"/>
        </w:rPr>
        <w:t> board</w:t>
      </w:r>
      <w:r>
        <w:rPr>
          <w:w w:val="120"/>
        </w:rPr>
        <w:t> approval</w:t>
      </w:r>
      <w:r>
        <w:rPr>
          <w:w w:val="120"/>
        </w:rPr>
        <w:t> (Comite´</w:t>
      </w:r>
      <w:r>
        <w:rPr>
          <w:w w:val="120"/>
        </w:rPr>
        <w:t> d’e´thique</w:t>
      </w:r>
      <w:r>
        <w:rPr>
          <w:w w:val="120"/>
        </w:rPr>
        <w:t> du Groupe Hospitalier du Havre).</w:t>
      </w:r>
    </w:p>
    <w:p>
      <w:pPr>
        <w:pStyle w:val="BodyText"/>
        <w:spacing w:before="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600481</wp:posOffset>
                </wp:positionH>
                <wp:positionV relativeFrom="paragraph">
                  <wp:posOffset>168191</wp:posOffset>
                </wp:positionV>
                <wp:extent cx="3036570" cy="254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3.243462pt;width:239.074pt;height:1.9843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51"/>
      </w:pPr>
      <w:bookmarkStart w:name="Disclosure of interest" w:id="2"/>
      <w:bookmarkEnd w:id="2"/>
      <w:r>
        <w:rPr/>
      </w:r>
      <w:r>
        <w:rPr>
          <w:w w:val="120"/>
        </w:rPr>
        <w:t>Disclosure</w:t>
      </w:r>
      <w:r>
        <w:rPr>
          <w:spacing w:val="9"/>
          <w:w w:val="120"/>
        </w:rPr>
        <w:t> </w:t>
      </w:r>
      <w:r>
        <w:rPr>
          <w:w w:val="120"/>
        </w:rPr>
        <w:t>of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interest</w:t>
      </w:r>
    </w:p>
    <w:p>
      <w:pPr>
        <w:pStyle w:val="BodyText"/>
        <w:spacing w:before="121"/>
        <w:rPr>
          <w:sz w:val="19"/>
        </w:rPr>
      </w:pPr>
    </w:p>
    <w:p>
      <w:pPr>
        <w:pStyle w:val="BodyText"/>
        <w:ind w:left="114"/>
        <w:jc w:val="both"/>
      </w:pP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authors declare</w:t>
      </w:r>
      <w:r>
        <w:rPr>
          <w:spacing w:val="-1"/>
          <w:w w:val="125"/>
        </w:rPr>
        <w:t> </w:t>
      </w:r>
      <w:r>
        <w:rPr>
          <w:w w:val="125"/>
        </w:rPr>
        <w:t>that they</w:t>
      </w:r>
      <w:r>
        <w:rPr>
          <w:spacing w:val="-1"/>
          <w:w w:val="125"/>
        </w:rPr>
        <w:t> </w:t>
      </w:r>
      <w:r>
        <w:rPr>
          <w:w w:val="125"/>
        </w:rPr>
        <w:t>have no</w:t>
      </w:r>
      <w:r>
        <w:rPr>
          <w:spacing w:val="1"/>
          <w:w w:val="125"/>
        </w:rPr>
        <w:t> </w:t>
      </w:r>
      <w:r>
        <w:rPr>
          <w:w w:val="125"/>
        </w:rPr>
        <w:t>competing</w:t>
      </w:r>
      <w:r>
        <w:rPr>
          <w:spacing w:val="1"/>
          <w:w w:val="125"/>
        </w:rPr>
        <w:t> </w:t>
      </w:r>
      <w:r>
        <w:rPr>
          <w:spacing w:val="-2"/>
          <w:w w:val="125"/>
        </w:rPr>
        <w:t>interest.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2"/>
      </w:pPr>
      <w:bookmarkStart w:name="References" w:id="3"/>
      <w:bookmarkEnd w:id="3"/>
      <w:r>
        <w:rPr/>
      </w:r>
      <w:r>
        <w:rPr>
          <w:w w:val="140"/>
        </w:rPr>
        <w:t>r</w:t>
      </w:r>
      <w:r>
        <w:rPr>
          <w:spacing w:val="-18"/>
          <w:w w:val="140"/>
        </w:rPr>
        <w:t> </w:t>
      </w:r>
      <w:r>
        <w:rPr>
          <w:w w:val="130"/>
        </w:rPr>
        <w:t>e</w:t>
      </w:r>
      <w:r>
        <w:rPr>
          <w:spacing w:val="-15"/>
          <w:w w:val="130"/>
        </w:rPr>
        <w:t> </w:t>
      </w:r>
      <w:r>
        <w:rPr>
          <w:w w:val="130"/>
        </w:rPr>
        <w:t>f</w:t>
      </w:r>
      <w:r>
        <w:rPr>
          <w:spacing w:val="-15"/>
          <w:w w:val="130"/>
        </w:rPr>
        <w:t> </w:t>
      </w:r>
      <w:r>
        <w:rPr>
          <w:w w:val="130"/>
        </w:rPr>
        <w:t>e</w:t>
      </w:r>
      <w:r>
        <w:rPr>
          <w:spacing w:val="-14"/>
          <w:w w:val="130"/>
        </w:rPr>
        <w:t> </w:t>
      </w:r>
      <w:r>
        <w:rPr>
          <w:w w:val="140"/>
        </w:rPr>
        <w:t>r</w:t>
      </w:r>
      <w:r>
        <w:rPr>
          <w:spacing w:val="-18"/>
          <w:w w:val="140"/>
        </w:rPr>
        <w:t> </w:t>
      </w:r>
      <w:r>
        <w:rPr>
          <w:w w:val="130"/>
        </w:rPr>
        <w:t>e</w:t>
      </w:r>
      <w:r>
        <w:rPr>
          <w:spacing w:val="-14"/>
          <w:w w:val="130"/>
        </w:rPr>
        <w:t> </w:t>
      </w:r>
      <w:r>
        <w:rPr>
          <w:w w:val="130"/>
        </w:rPr>
        <w:t>n</w:t>
      </w:r>
      <w:r>
        <w:rPr>
          <w:spacing w:val="-14"/>
          <w:w w:val="130"/>
        </w:rPr>
        <w:t> </w:t>
      </w:r>
      <w:r>
        <w:rPr>
          <w:w w:val="130"/>
        </w:rPr>
        <w:t>c</w:t>
      </w:r>
      <w:r>
        <w:rPr>
          <w:spacing w:val="-14"/>
          <w:w w:val="130"/>
        </w:rPr>
        <w:t> </w:t>
      </w:r>
      <w:r>
        <w:rPr>
          <w:w w:val="130"/>
        </w:rPr>
        <w:t>e</w:t>
      </w:r>
      <w:r>
        <w:rPr>
          <w:spacing w:val="-14"/>
          <w:w w:val="130"/>
        </w:rPr>
        <w:t> </w:t>
      </w:r>
      <w:r>
        <w:rPr>
          <w:spacing w:val="-10"/>
          <w:w w:val="130"/>
        </w:rPr>
        <w:t>s</w:t>
      </w:r>
    </w:p>
    <w:p>
      <w:pPr>
        <w:pStyle w:val="BodyText"/>
        <w:spacing w:before="6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600481</wp:posOffset>
                </wp:positionH>
                <wp:positionV relativeFrom="paragraph">
                  <wp:posOffset>114570</wp:posOffset>
                </wp:positionV>
                <wp:extent cx="3036570" cy="317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0365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17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036239" y="288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021298pt;width:239.074pt;height:.2267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3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76" w:lineRule="auto" w:before="0" w:after="0"/>
        <w:ind w:left="286" w:right="223" w:hanging="200"/>
        <w:jc w:val="left"/>
        <w:rPr>
          <w:sz w:val="15"/>
        </w:rPr>
      </w:pPr>
      <w:hyperlink r:id="rId5">
        <w:r>
          <w:rPr>
            <w:color w:val="00689C"/>
            <w:w w:val="120"/>
            <w:sz w:val="15"/>
          </w:rPr>
          <w:t>Sechi G, Serra A. Wernicke’s encephalopathy: new clinical</w:t>
        </w:r>
      </w:hyperlink>
      <w:r>
        <w:rPr>
          <w:color w:val="00689C"/>
          <w:w w:val="120"/>
          <w:sz w:val="15"/>
        </w:rPr>
        <w:t> </w:t>
      </w:r>
      <w:hyperlink r:id="rId5">
        <w:r>
          <w:rPr>
            <w:color w:val="00689C"/>
            <w:w w:val="120"/>
            <w:sz w:val="15"/>
          </w:rPr>
          <w:t>settings and recent advances in diagnosis and </w:t>
        </w:r>
        <w:r>
          <w:rPr>
            <w:color w:val="00689C"/>
            <w:w w:val="120"/>
            <w:sz w:val="15"/>
          </w:rPr>
          <w:t>managment.</w:t>
        </w:r>
      </w:hyperlink>
      <w:r>
        <w:rPr>
          <w:color w:val="00689C"/>
          <w:spacing w:val="40"/>
          <w:w w:val="120"/>
          <w:sz w:val="15"/>
        </w:rPr>
        <w:t> </w:t>
      </w:r>
      <w:hyperlink r:id="rId5">
        <w:r>
          <w:rPr>
            <w:color w:val="00689C"/>
            <w:w w:val="120"/>
            <w:sz w:val="15"/>
          </w:rPr>
          <w:t>Lancet Neurol 2007;6:442–5</w:t>
        </w:r>
      </w:hyperlink>
      <w:r>
        <w:rPr>
          <w:color w:val="00689C"/>
          <w:w w:val="120"/>
          <w:sz w:val="15"/>
        </w:rPr>
        <w:t>5.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76" w:lineRule="auto" w:before="3" w:after="0"/>
        <w:ind w:left="286" w:right="345" w:hanging="200"/>
        <w:jc w:val="left"/>
        <w:rPr>
          <w:sz w:val="15"/>
        </w:rPr>
      </w:pPr>
      <w:hyperlink r:id="rId6">
        <w:r>
          <w:rPr>
            <w:color w:val="00689C"/>
            <w:w w:val="120"/>
            <w:sz w:val="15"/>
          </w:rPr>
          <w:t>Landais A, Saint-Georges G. Wernicke’s encephalopathy</w:t>
        </w:r>
      </w:hyperlink>
      <w:r>
        <w:rPr>
          <w:color w:val="00689C"/>
          <w:w w:val="120"/>
          <w:sz w:val="15"/>
        </w:rPr>
        <w:t> </w:t>
      </w:r>
      <w:hyperlink r:id="rId6">
        <w:r>
          <w:rPr>
            <w:color w:val="00689C"/>
            <w:w w:val="120"/>
            <w:sz w:val="15"/>
          </w:rPr>
          <w:t>following</w:t>
        </w:r>
        <w:r>
          <w:rPr>
            <w:color w:val="00689C"/>
            <w:spacing w:val="-1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sleeve</w:t>
        </w:r>
        <w:r>
          <w:rPr>
            <w:color w:val="00689C"/>
            <w:spacing w:val="-2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gastrectomy</w:t>
        </w:r>
        <w:r>
          <w:rPr>
            <w:color w:val="00689C"/>
            <w:spacing w:val="-2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for</w:t>
        </w:r>
        <w:r>
          <w:rPr>
            <w:color w:val="00689C"/>
            <w:spacing w:val="-2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morbid</w:t>
        </w:r>
        <w:r>
          <w:rPr>
            <w:color w:val="00689C"/>
            <w:spacing w:val="-1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obesity.</w:t>
        </w:r>
        <w:r>
          <w:rPr>
            <w:color w:val="00689C"/>
            <w:spacing w:val="-1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Rev</w:t>
        </w:r>
        <w:r>
          <w:rPr>
            <w:color w:val="00689C"/>
            <w:spacing w:val="-2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Med</w:t>
        </w:r>
      </w:hyperlink>
      <w:r>
        <w:rPr>
          <w:color w:val="00689C"/>
          <w:w w:val="120"/>
          <w:sz w:val="15"/>
        </w:rPr>
        <w:t> </w:t>
      </w:r>
      <w:hyperlink r:id="rId6">
        <w:r>
          <w:rPr>
            <w:color w:val="00689C"/>
            <w:w w:val="120"/>
            <w:sz w:val="15"/>
          </w:rPr>
          <w:t>Interne 2014;35:760–3.</w:t>
        </w:r>
      </w:hyperlink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" w:after="0"/>
        <w:ind w:left="285" w:right="0" w:hanging="199"/>
        <w:jc w:val="left"/>
        <w:rPr>
          <w:sz w:val="15"/>
        </w:rPr>
      </w:pPr>
      <w:hyperlink r:id="rId7">
        <w:r>
          <w:rPr>
            <w:color w:val="00689C"/>
            <w:w w:val="115"/>
            <w:sz w:val="15"/>
          </w:rPr>
          <w:t>Adioui</w:t>
        </w:r>
        <w:r>
          <w:rPr>
            <w:color w:val="00689C"/>
            <w:spacing w:val="-6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T,</w:t>
        </w:r>
        <w:r>
          <w:rPr>
            <w:color w:val="00689C"/>
            <w:spacing w:val="-7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Nejjari</w:t>
        </w:r>
        <w:r>
          <w:rPr>
            <w:color w:val="00689C"/>
            <w:spacing w:val="-6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F,</w:t>
        </w:r>
        <w:r>
          <w:rPr>
            <w:color w:val="00689C"/>
            <w:spacing w:val="-7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Tamzaourte</w:t>
        </w:r>
        <w:r>
          <w:rPr>
            <w:color w:val="00689C"/>
            <w:spacing w:val="-5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M,</w:t>
        </w:r>
        <w:r>
          <w:rPr>
            <w:color w:val="00689C"/>
            <w:spacing w:val="-7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Basr</w:t>
        </w:r>
        <w:r>
          <w:rPr>
            <w:color w:val="00689C"/>
            <w:spacing w:val="-5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H,</w:t>
        </w:r>
        <w:r>
          <w:rPr>
            <w:color w:val="00689C"/>
            <w:spacing w:val="-7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Rouibaa</w:t>
        </w:r>
        <w:r>
          <w:rPr>
            <w:color w:val="00689C"/>
            <w:spacing w:val="-7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F,</w:t>
        </w:r>
        <w:r>
          <w:rPr>
            <w:color w:val="00689C"/>
            <w:spacing w:val="-7"/>
            <w:w w:val="115"/>
            <w:sz w:val="15"/>
          </w:rPr>
          <w:t> </w:t>
        </w:r>
        <w:r>
          <w:rPr>
            <w:color w:val="00689C"/>
            <w:spacing w:val="-2"/>
            <w:w w:val="115"/>
            <w:sz w:val="15"/>
          </w:rPr>
          <w:t>Aourarh</w:t>
        </w:r>
      </w:hyperlink>
    </w:p>
    <w:p>
      <w:pPr>
        <w:pStyle w:val="ListParagraph"/>
        <w:numPr>
          <w:ilvl w:val="1"/>
          <w:numId w:val="1"/>
        </w:numPr>
        <w:tabs>
          <w:tab w:pos="488" w:val="left" w:leader="none"/>
        </w:tabs>
        <w:spacing w:line="276" w:lineRule="auto" w:before="27" w:after="0"/>
        <w:ind w:left="286" w:right="275" w:firstLine="0"/>
        <w:jc w:val="left"/>
        <w:rPr>
          <w:sz w:val="15"/>
        </w:rPr>
      </w:pPr>
      <w:bookmarkStart w:name="_bookmark0" w:id="4"/>
      <w:bookmarkEnd w:id="4"/>
      <w:r>
        <w:rPr/>
      </w:r>
      <w:hyperlink r:id="rId7">
        <w:r>
          <w:rPr>
            <w:color w:val="00689C"/>
            <w:w w:val="120"/>
            <w:sz w:val="15"/>
          </w:rPr>
          <w:t>Gayet–Wernicke encephalopathy: a rare complication </w:t>
        </w:r>
        <w:r>
          <w:rPr>
            <w:color w:val="00689C"/>
            <w:w w:val="120"/>
            <w:sz w:val="15"/>
          </w:rPr>
          <w:t>of</w:t>
        </w:r>
      </w:hyperlink>
      <w:r>
        <w:rPr>
          <w:color w:val="00689C"/>
          <w:w w:val="120"/>
          <w:sz w:val="15"/>
        </w:rPr>
        <w:t> </w:t>
      </w:r>
      <w:hyperlink r:id="rId7">
        <w:r>
          <w:rPr>
            <w:color w:val="00689C"/>
            <w:w w:val="125"/>
            <w:sz w:val="15"/>
          </w:rPr>
          <w:t>prolonged</w:t>
        </w:r>
        <w:r>
          <w:rPr>
            <w:color w:val="00689C"/>
            <w:spacing w:val="-12"/>
            <w:w w:val="125"/>
            <w:sz w:val="15"/>
          </w:rPr>
          <w:t> </w:t>
        </w:r>
        <w:r>
          <w:rPr>
            <w:color w:val="00689C"/>
            <w:w w:val="125"/>
            <w:sz w:val="15"/>
          </w:rPr>
          <w:t>parenteral</w:t>
        </w:r>
        <w:r>
          <w:rPr>
            <w:color w:val="00689C"/>
            <w:spacing w:val="-11"/>
            <w:w w:val="125"/>
            <w:sz w:val="15"/>
          </w:rPr>
          <w:t> </w:t>
        </w:r>
        <w:r>
          <w:rPr>
            <w:color w:val="00689C"/>
            <w:w w:val="125"/>
            <w:sz w:val="15"/>
          </w:rPr>
          <w:t>nutrition.</w:t>
        </w:r>
        <w:r>
          <w:rPr>
            <w:color w:val="00689C"/>
            <w:spacing w:val="-11"/>
            <w:w w:val="125"/>
            <w:sz w:val="15"/>
          </w:rPr>
          <w:t> </w:t>
        </w:r>
        <w:r>
          <w:rPr>
            <w:color w:val="00689C"/>
            <w:w w:val="125"/>
            <w:sz w:val="15"/>
          </w:rPr>
          <w:t>Press</w:t>
        </w:r>
        <w:r>
          <w:rPr>
            <w:color w:val="00689C"/>
            <w:spacing w:val="-12"/>
            <w:w w:val="125"/>
            <w:sz w:val="15"/>
          </w:rPr>
          <w:t> </w:t>
        </w:r>
        <w:r>
          <w:rPr>
            <w:color w:val="00689C"/>
            <w:w w:val="125"/>
            <w:sz w:val="15"/>
          </w:rPr>
          <w:t>Med</w:t>
        </w:r>
        <w:r>
          <w:rPr>
            <w:color w:val="00689C"/>
            <w:spacing w:val="-11"/>
            <w:w w:val="125"/>
            <w:sz w:val="15"/>
          </w:rPr>
          <w:t> </w:t>
        </w:r>
        <w:r>
          <w:rPr>
            <w:color w:val="00689C"/>
            <w:w w:val="125"/>
            <w:sz w:val="15"/>
          </w:rPr>
          <w:t>2015;44:561–4.</w:t>
        </w:r>
      </w:hyperlink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78" w:lineRule="auto" w:before="2" w:after="0"/>
        <w:ind w:left="286" w:right="166" w:hanging="200"/>
        <w:jc w:val="left"/>
        <w:rPr>
          <w:sz w:val="15"/>
        </w:rPr>
      </w:pPr>
      <w:hyperlink r:id="rId8">
        <w:r>
          <w:rPr>
            <w:color w:val="00689C"/>
            <w:w w:val="115"/>
            <w:sz w:val="15"/>
          </w:rPr>
          <w:t>Palacios-Marque´s A, Delgado-Garcia S, Martin-Bayon T,</w:t>
        </w:r>
      </w:hyperlink>
      <w:r>
        <w:rPr>
          <w:color w:val="00689C"/>
          <w:w w:val="115"/>
          <w:sz w:val="15"/>
        </w:rPr>
        <w:t> </w:t>
      </w:r>
      <w:hyperlink r:id="rId8">
        <w:r>
          <w:rPr>
            <w:color w:val="00689C"/>
            <w:w w:val="115"/>
            <w:sz w:val="15"/>
          </w:rPr>
          <w:t>Martinez-Escoriza JC. Wernicke’s encephalopathy induced </w:t>
        </w:r>
        <w:r>
          <w:rPr>
            <w:color w:val="00689C"/>
            <w:w w:val="115"/>
            <w:sz w:val="15"/>
          </w:rPr>
          <w:t>by</w:t>
        </w:r>
      </w:hyperlink>
      <w:r>
        <w:rPr>
          <w:color w:val="00689C"/>
          <w:w w:val="115"/>
          <w:sz w:val="15"/>
        </w:rPr>
        <w:t> </w:t>
      </w:r>
      <w:hyperlink r:id="rId8">
        <w:r>
          <w:rPr>
            <w:color w:val="00689C"/>
            <w:w w:val="115"/>
            <w:sz w:val="15"/>
          </w:rPr>
          <w:t>hyperemesis gravidarium. BMJ Case Rep 2012;8:2012.</w:t>
        </w:r>
      </w:hyperlink>
    </w:p>
    <w:p>
      <w:pPr>
        <w:pStyle w:val="BodyText"/>
        <w:spacing w:before="82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214" w:val="left" w:leader="none"/>
        </w:tabs>
        <w:spacing w:line="240" w:lineRule="auto" w:before="1" w:after="0"/>
        <w:ind w:left="214" w:right="39" w:hanging="214"/>
        <w:jc w:val="right"/>
        <w:rPr>
          <w:sz w:val="16"/>
        </w:rPr>
      </w:pPr>
      <w:r>
        <w:rPr>
          <w:spacing w:val="-2"/>
          <w:w w:val="125"/>
          <w:sz w:val="16"/>
        </w:rPr>
        <w:t>Demas</w:t>
      </w:r>
      <w:r>
        <w:rPr>
          <w:color w:val="00689C"/>
          <w:spacing w:val="-2"/>
          <w:w w:val="125"/>
          <w:sz w:val="16"/>
          <w:vertAlign w:val="superscript"/>
        </w:rPr>
        <w:t>a</w:t>
      </w:r>
      <w:r>
        <w:rPr>
          <w:spacing w:val="-2"/>
          <w:w w:val="125"/>
          <w:sz w:val="16"/>
          <w:vertAlign w:val="superscript"/>
        </w:rPr>
        <w:t>,</w:t>
      </w:r>
      <w:r>
        <w:rPr>
          <w:color w:val="00689C"/>
          <w:spacing w:val="-2"/>
          <w:w w:val="125"/>
          <w:sz w:val="16"/>
          <w:vertAlign w:val="baseline"/>
        </w:rPr>
        <w:t>*</w:t>
      </w:r>
    </w:p>
    <w:p>
      <w:pPr>
        <w:pStyle w:val="BodyText"/>
        <w:spacing w:before="42"/>
        <w:ind w:right="39"/>
        <w:jc w:val="right"/>
      </w:pPr>
      <w:r>
        <w:rPr>
          <w:w w:val="115"/>
        </w:rPr>
        <w:t>C.</w:t>
      </w:r>
      <w:r>
        <w:rPr>
          <w:spacing w:val="-9"/>
          <w:w w:val="115"/>
        </w:rPr>
        <w:t> </w:t>
      </w:r>
      <w:r>
        <w:rPr>
          <w:spacing w:val="-2"/>
          <w:w w:val="120"/>
        </w:rPr>
        <w:t>Hardy</w:t>
      </w:r>
      <w:r>
        <w:rPr>
          <w:color w:val="00689C"/>
          <w:spacing w:val="-2"/>
          <w:w w:val="120"/>
          <w:vertAlign w:val="superscript"/>
        </w:rPr>
        <w:t>a</w:t>
      </w:r>
    </w:p>
    <w:p>
      <w:pPr>
        <w:pStyle w:val="BodyText"/>
        <w:spacing w:line="297" w:lineRule="auto" w:before="43"/>
        <w:ind w:left="3913" w:right="39" w:hanging="159"/>
        <w:jc w:val="right"/>
      </w:pPr>
      <w:r>
        <w:rPr>
          <w:w w:val="115"/>
        </w:rPr>
        <w:t>H. </w:t>
      </w:r>
      <w:r>
        <w:rPr>
          <w:w w:val="115"/>
        </w:rPr>
        <w:t>Chaumont</w:t>
      </w:r>
      <w:r>
        <w:rPr>
          <w:color w:val="00689C"/>
          <w:w w:val="115"/>
          <w:vertAlign w:val="superscript"/>
        </w:rPr>
        <w:t>b</w:t>
      </w:r>
      <w:r>
        <w:rPr>
          <w:color w:val="00689C"/>
          <w:w w:val="115"/>
          <w:vertAlign w:val="baseline"/>
        </w:rPr>
        <w:t> </w:t>
      </w:r>
      <w:r>
        <w:rPr>
          <w:vertAlign w:val="baseline"/>
        </w:rPr>
        <w:t>J.-P.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Cochin</w:t>
      </w:r>
      <w:r>
        <w:rPr>
          <w:color w:val="00689C"/>
          <w:spacing w:val="-2"/>
          <w:vertAlign w:val="superscript"/>
        </w:rPr>
        <w:t>a</w:t>
      </w:r>
    </w:p>
    <w:p>
      <w:pPr>
        <w:spacing w:line="297" w:lineRule="auto" w:before="0"/>
        <w:ind w:left="95" w:right="39" w:firstLine="3575"/>
        <w:jc w:val="both"/>
        <w:rPr>
          <w:i/>
          <w:sz w:val="16"/>
        </w:rPr>
      </w:pPr>
      <w:r>
        <w:rPr>
          <w:w w:val="110"/>
          <w:sz w:val="16"/>
        </w:rPr>
        <w:t>A. </w:t>
      </w:r>
      <w:r>
        <w:rPr>
          <w:w w:val="110"/>
          <w:sz w:val="16"/>
        </w:rPr>
        <w:t>Lannuzel</w:t>
      </w:r>
      <w:r>
        <w:rPr>
          <w:color w:val="00689C"/>
          <w:w w:val="110"/>
          <w:sz w:val="16"/>
          <w:vertAlign w:val="superscript"/>
        </w:rPr>
        <w:t>b</w:t>
      </w:r>
      <w:r>
        <w:rPr>
          <w:w w:val="110"/>
          <w:sz w:val="16"/>
          <w:vertAlign w:val="superscript"/>
        </w:rPr>
        <w:t>,</w:t>
      </w:r>
      <w:r>
        <w:rPr>
          <w:color w:val="00689C"/>
          <w:w w:val="110"/>
          <w:sz w:val="16"/>
          <w:vertAlign w:val="superscript"/>
        </w:rPr>
        <w:t>c</w:t>
      </w:r>
      <w:r>
        <w:rPr>
          <w:w w:val="110"/>
          <w:sz w:val="16"/>
          <w:vertAlign w:val="superscript"/>
        </w:rPr>
        <w:t>,</w:t>
      </w:r>
      <w:hyperlink w:history="true" w:anchor="_bookmark0">
        <w:r>
          <w:rPr>
            <w:color w:val="00689C"/>
            <w:w w:val="110"/>
            <w:sz w:val="16"/>
            <w:vertAlign w:val="superscript"/>
          </w:rPr>
          <w:t>d</w:t>
        </w:r>
      </w:hyperlink>
      <w:r>
        <w:rPr>
          <w:color w:val="00689C"/>
          <w:w w:val="110"/>
          <w:sz w:val="16"/>
          <w:vertAlign w:val="baseline"/>
        </w:rPr>
        <w:t> </w:t>
      </w:r>
      <w:r>
        <w:rPr>
          <w:sz w:val="16"/>
          <w:vertAlign w:val="superscript"/>
        </w:rPr>
        <w:t>a</w:t>
      </w:r>
      <w:r>
        <w:rPr>
          <w:i/>
          <w:sz w:val="16"/>
          <w:vertAlign w:val="baseline"/>
        </w:rPr>
        <w:t>Department of Neurology, Hospital Jacques-Monod, Le Havre, </w:t>
      </w:r>
      <w:r>
        <w:rPr>
          <w:i/>
          <w:sz w:val="16"/>
          <w:vertAlign w:val="baseline"/>
        </w:rPr>
        <w:t>France</w:t>
      </w:r>
      <w:r>
        <w:rPr>
          <w:i/>
          <w:spacing w:val="40"/>
          <w:sz w:val="16"/>
          <w:vertAlign w:val="baseline"/>
        </w:rPr>
        <w:t> </w:t>
      </w:r>
      <w:r>
        <w:rPr>
          <w:sz w:val="16"/>
          <w:vertAlign w:val="superscript"/>
        </w:rPr>
        <w:t>b</w:t>
      </w:r>
      <w:r>
        <w:rPr>
          <w:i/>
          <w:sz w:val="16"/>
          <w:vertAlign w:val="baseline"/>
        </w:rPr>
        <w:t>Service</w:t>
      </w:r>
      <w:r>
        <w:rPr>
          <w:i/>
          <w:spacing w:val="26"/>
          <w:sz w:val="16"/>
          <w:vertAlign w:val="baseline"/>
        </w:rPr>
        <w:t> </w:t>
      </w:r>
      <w:r>
        <w:rPr>
          <w:i/>
          <w:sz w:val="16"/>
          <w:vertAlign w:val="baseline"/>
        </w:rPr>
        <w:t>de</w:t>
      </w:r>
      <w:r>
        <w:rPr>
          <w:i/>
          <w:spacing w:val="26"/>
          <w:sz w:val="16"/>
          <w:vertAlign w:val="baseline"/>
        </w:rPr>
        <w:t> </w:t>
      </w:r>
      <w:r>
        <w:rPr>
          <w:i/>
          <w:sz w:val="16"/>
          <w:vertAlign w:val="baseline"/>
        </w:rPr>
        <w:t>Neurologie,</w:t>
      </w:r>
      <w:r>
        <w:rPr>
          <w:i/>
          <w:spacing w:val="25"/>
          <w:sz w:val="16"/>
          <w:vertAlign w:val="baseline"/>
        </w:rPr>
        <w:t> </w:t>
      </w:r>
      <w:r>
        <w:rPr>
          <w:i/>
          <w:sz w:val="16"/>
          <w:vertAlign w:val="baseline"/>
        </w:rPr>
        <w:t>Centre</w:t>
      </w:r>
      <w:r>
        <w:rPr>
          <w:i/>
          <w:spacing w:val="27"/>
          <w:sz w:val="16"/>
          <w:vertAlign w:val="baseline"/>
        </w:rPr>
        <w:t> </w:t>
      </w:r>
      <w:r>
        <w:rPr>
          <w:i/>
          <w:sz w:val="16"/>
          <w:vertAlign w:val="baseline"/>
        </w:rPr>
        <w:t>Hospitalier</w:t>
      </w:r>
      <w:r>
        <w:rPr>
          <w:i/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Universitaire</w:t>
      </w:r>
      <w:r>
        <w:rPr>
          <w:i/>
          <w:spacing w:val="27"/>
          <w:sz w:val="16"/>
          <w:vertAlign w:val="baseline"/>
        </w:rPr>
        <w:t> </w:t>
      </w:r>
      <w:r>
        <w:rPr>
          <w:i/>
          <w:sz w:val="16"/>
          <w:vertAlign w:val="baseline"/>
        </w:rPr>
        <w:t>de</w:t>
      </w:r>
      <w:r>
        <w:rPr>
          <w:i/>
          <w:spacing w:val="25"/>
          <w:sz w:val="16"/>
          <w:vertAlign w:val="baseline"/>
        </w:rPr>
        <w:t> </w:t>
      </w:r>
      <w:r>
        <w:rPr>
          <w:i/>
          <w:sz w:val="16"/>
          <w:vertAlign w:val="baseline"/>
        </w:rPr>
        <w:t>Pointe-a`</w:t>
      </w:r>
      <w:r>
        <w:rPr>
          <w:i/>
          <w:spacing w:val="-10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-</w:t>
      </w:r>
    </w:p>
    <w:p>
      <w:pPr>
        <w:spacing w:line="181" w:lineRule="exact" w:before="0"/>
        <w:ind w:left="0" w:right="39" w:firstLine="0"/>
        <w:jc w:val="right"/>
        <w:rPr>
          <w:i/>
          <w:sz w:val="16"/>
        </w:rPr>
      </w:pPr>
      <w:r>
        <w:rPr>
          <w:i/>
          <w:w w:val="105"/>
          <w:sz w:val="16"/>
        </w:rPr>
        <w:t>Pitre,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Guadeloupe,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French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West</w:t>
      </w:r>
      <w:r>
        <w:rPr>
          <w:i/>
          <w:spacing w:val="10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Indies</w:t>
      </w:r>
    </w:p>
    <w:p>
      <w:pPr>
        <w:spacing w:before="41"/>
        <w:ind w:left="0" w:right="39" w:firstLine="0"/>
        <w:jc w:val="right"/>
        <w:rPr>
          <w:i/>
          <w:sz w:val="16"/>
        </w:rPr>
      </w:pPr>
      <w:r>
        <w:rPr>
          <w:w w:val="105"/>
          <w:sz w:val="16"/>
          <w:vertAlign w:val="superscript"/>
        </w:rPr>
        <w:t>c</w:t>
      </w:r>
      <w:r>
        <w:rPr>
          <w:i/>
          <w:w w:val="105"/>
          <w:sz w:val="16"/>
          <w:vertAlign w:val="baseline"/>
        </w:rPr>
        <w:t>Faculte´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de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Me´decine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de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l’Universite´</w:t>
      </w:r>
      <w:r>
        <w:rPr>
          <w:i/>
          <w:spacing w:val="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des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Antilles,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Antilles,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French</w:t>
      </w:r>
    </w:p>
    <w:p>
      <w:pPr>
        <w:spacing w:line="295" w:lineRule="auto" w:before="44"/>
        <w:ind w:left="140" w:right="38" w:firstLine="3901"/>
        <w:jc w:val="right"/>
        <w:rPr>
          <w:i/>
          <w:sz w:val="16"/>
        </w:rPr>
      </w:pPr>
      <w:r>
        <w:rPr>
          <w:i/>
          <w:w w:val="105"/>
          <w:sz w:val="16"/>
        </w:rPr>
        <w:t>West </w:t>
      </w:r>
      <w:r>
        <w:rPr>
          <w:i/>
          <w:w w:val="105"/>
          <w:sz w:val="16"/>
        </w:rPr>
        <w:t>Indies </w:t>
      </w:r>
      <w:r>
        <w:rPr>
          <w:w w:val="105"/>
          <w:sz w:val="16"/>
          <w:vertAlign w:val="superscript"/>
        </w:rPr>
        <w:t>d</w:t>
      </w:r>
      <w:r>
        <w:rPr>
          <w:i/>
          <w:w w:val="105"/>
          <w:sz w:val="16"/>
          <w:vertAlign w:val="baseline"/>
        </w:rPr>
        <w:t>Institut National de la Sante´</w:t>
      </w:r>
      <w:r>
        <w:rPr>
          <w:i/>
          <w:spacing w:val="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et de la Recherche Me´dicale, U 1127, CNRS, Unite´</w:t>
      </w:r>
      <w:r>
        <w:rPr>
          <w:i/>
          <w:spacing w:val="2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Mixte de Recherche (UMR) 7225, Universite´</w:t>
      </w:r>
      <w:r>
        <w:rPr>
          <w:i/>
          <w:spacing w:val="2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de la Sorbonne,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Institut</w:t>
      </w:r>
      <w:r>
        <w:rPr>
          <w:i/>
          <w:spacing w:val="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du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Cerveau</w:t>
      </w:r>
      <w:r>
        <w:rPr>
          <w:i/>
          <w:spacing w:val="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et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de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la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Moelle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e´pinie`re,</w:t>
      </w:r>
      <w:r>
        <w:rPr>
          <w:i/>
          <w:spacing w:val="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ICM,</w:t>
      </w:r>
      <w:r>
        <w:rPr>
          <w:i/>
          <w:spacing w:val="3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Paris,</w:t>
      </w:r>
    </w:p>
    <w:p>
      <w:pPr>
        <w:spacing w:before="3"/>
        <w:ind w:left="0" w:right="39" w:firstLine="0"/>
        <w:jc w:val="right"/>
        <w:rPr>
          <w:i/>
          <w:sz w:val="16"/>
        </w:rPr>
      </w:pPr>
      <w:r>
        <w:rPr>
          <w:i/>
          <w:spacing w:val="-2"/>
          <w:sz w:val="16"/>
        </w:rPr>
        <w:t>France</w:t>
      </w:r>
    </w:p>
    <w:p>
      <w:pPr>
        <w:pStyle w:val="BodyText"/>
        <w:spacing w:before="87"/>
        <w:rPr>
          <w:i/>
        </w:rPr>
      </w:pPr>
    </w:p>
    <w:p>
      <w:pPr>
        <w:pStyle w:val="BodyText"/>
        <w:spacing w:line="295" w:lineRule="auto"/>
        <w:ind w:left="238" w:right="39" w:hanging="143"/>
        <w:jc w:val="right"/>
      </w:pPr>
      <w:r>
        <w:rPr>
          <w:w w:val="115"/>
        </w:rPr>
        <w:t>*Corresponding author at: Department of Neurology, </w:t>
      </w:r>
      <w:r>
        <w:rPr>
          <w:w w:val="115"/>
        </w:rPr>
        <w:t>Hospital Jacques-Monod,</w:t>
      </w:r>
      <w:r>
        <w:rPr>
          <w:spacing w:val="4"/>
          <w:w w:val="115"/>
        </w:rPr>
        <w:t> </w:t>
      </w:r>
      <w:r>
        <w:rPr>
          <w:w w:val="115"/>
        </w:rPr>
        <w:t>26,</w:t>
      </w:r>
      <w:r>
        <w:rPr>
          <w:spacing w:val="5"/>
          <w:w w:val="115"/>
        </w:rPr>
        <w:t> </w:t>
      </w:r>
      <w:r>
        <w:rPr>
          <w:w w:val="115"/>
        </w:rPr>
        <w:t>avenue</w:t>
      </w:r>
      <w:r>
        <w:rPr>
          <w:spacing w:val="4"/>
          <w:w w:val="115"/>
        </w:rPr>
        <w:t> </w:t>
      </w:r>
      <w:r>
        <w:rPr>
          <w:w w:val="115"/>
        </w:rPr>
        <w:t>Pierre-Mende`s,</w:t>
      </w:r>
      <w:r>
        <w:rPr>
          <w:spacing w:val="4"/>
          <w:w w:val="115"/>
        </w:rPr>
        <w:t> </w:t>
      </w:r>
      <w:r>
        <w:rPr>
          <w:w w:val="115"/>
        </w:rPr>
        <w:t>76290</w:t>
      </w:r>
      <w:r>
        <w:rPr>
          <w:spacing w:val="5"/>
          <w:w w:val="115"/>
        </w:rPr>
        <w:t> </w:t>
      </w:r>
      <w:r>
        <w:rPr>
          <w:w w:val="115"/>
        </w:rPr>
        <w:t>Le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Havre,</w:t>
      </w:r>
    </w:p>
    <w:p>
      <w:pPr>
        <w:pStyle w:val="BodyText"/>
        <w:spacing w:line="297" w:lineRule="auto" w:before="1"/>
        <w:ind w:left="701" w:right="38" w:firstLine="3607"/>
        <w:jc w:val="right"/>
      </w:pPr>
      <w:r>
        <w:rPr>
          <w:spacing w:val="-2"/>
          <w:w w:val="120"/>
        </w:rPr>
        <w:t>France.</w:t>
      </w:r>
      <w:r>
        <w:rPr>
          <w:spacing w:val="-2"/>
          <w:w w:val="120"/>
        </w:rPr>
        <w:t> </w:t>
      </w:r>
      <w:r>
        <w:rPr>
          <w:w w:val="120"/>
        </w:rPr>
        <w:t>E-mail</w:t>
      </w:r>
      <w:r>
        <w:rPr>
          <w:spacing w:val="-9"/>
          <w:w w:val="120"/>
        </w:rPr>
        <w:t> </w:t>
      </w:r>
      <w:r>
        <w:rPr>
          <w:w w:val="120"/>
        </w:rPr>
        <w:t>address:</w:t>
      </w:r>
      <w:r>
        <w:rPr>
          <w:spacing w:val="-9"/>
          <w:w w:val="120"/>
        </w:rPr>
        <w:t> </w:t>
      </w:r>
      <w:hyperlink r:id="rId9">
        <w:r>
          <w:rPr>
            <w:color w:val="00689C"/>
            <w:w w:val="120"/>
          </w:rPr>
          <w:t>alexis.demas@ch-havre.fr</w:t>
        </w:r>
      </w:hyperlink>
      <w:r>
        <w:rPr>
          <w:color w:val="00689C"/>
          <w:spacing w:val="-7"/>
          <w:w w:val="120"/>
        </w:rPr>
        <w:t> </w:t>
      </w:r>
      <w:r>
        <w:rPr>
          <w:w w:val="120"/>
        </w:rPr>
        <w:t>(A.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Demas)</w:t>
      </w:r>
    </w:p>
    <w:p>
      <w:pPr>
        <w:pStyle w:val="BodyText"/>
        <w:spacing w:line="297" w:lineRule="auto" w:before="84"/>
        <w:ind w:left="1740" w:firstLine="1258"/>
      </w:pPr>
      <w:r>
        <w:rPr/>
        <w:br w:type="column"/>
      </w:r>
      <w:r>
        <w:rPr>
          <w:w w:val="115"/>
        </w:rPr>
        <w:t>Received</w:t>
      </w:r>
      <w:r>
        <w:rPr>
          <w:spacing w:val="-7"/>
          <w:w w:val="115"/>
        </w:rPr>
        <w:t> </w:t>
      </w:r>
      <w:r>
        <w:rPr>
          <w:w w:val="115"/>
        </w:rPr>
        <w:t>18</w:t>
      </w:r>
      <w:r>
        <w:rPr>
          <w:spacing w:val="-5"/>
          <w:w w:val="115"/>
        </w:rPr>
        <w:t> </w:t>
      </w:r>
      <w:r>
        <w:rPr>
          <w:w w:val="115"/>
        </w:rPr>
        <w:t>March</w:t>
      </w:r>
      <w:r>
        <w:rPr>
          <w:spacing w:val="-7"/>
          <w:w w:val="115"/>
        </w:rPr>
        <w:t> </w:t>
      </w:r>
      <w:r>
        <w:rPr>
          <w:w w:val="115"/>
        </w:rPr>
        <w:t>2020 Received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18"/>
          <w:w w:val="115"/>
        </w:rPr>
        <w:t> </w:t>
      </w:r>
      <w:r>
        <w:rPr>
          <w:w w:val="115"/>
        </w:rPr>
        <w:t>revised</w:t>
      </w:r>
      <w:r>
        <w:rPr>
          <w:spacing w:val="17"/>
          <w:w w:val="115"/>
        </w:rPr>
        <w:t> </w:t>
      </w:r>
      <w:r>
        <w:rPr>
          <w:w w:val="115"/>
        </w:rPr>
        <w:t>form</w:t>
      </w:r>
      <w:r>
        <w:rPr>
          <w:spacing w:val="17"/>
          <w:w w:val="115"/>
        </w:rPr>
        <w:t> </w:t>
      </w:r>
      <w:r>
        <w:rPr>
          <w:w w:val="115"/>
        </w:rPr>
        <w:t>30</w:t>
      </w:r>
      <w:r>
        <w:rPr>
          <w:spacing w:val="19"/>
          <w:w w:val="115"/>
        </w:rPr>
        <w:t> </w:t>
      </w:r>
      <w:r>
        <w:rPr>
          <w:w w:val="115"/>
        </w:rPr>
        <w:t>March</w:t>
      </w:r>
      <w:r>
        <w:rPr>
          <w:spacing w:val="16"/>
          <w:w w:val="115"/>
        </w:rPr>
        <w:t> </w:t>
      </w:r>
      <w:r>
        <w:rPr>
          <w:spacing w:val="-4"/>
          <w:w w:val="115"/>
        </w:rPr>
        <w:t>2020</w:t>
      </w:r>
    </w:p>
    <w:p>
      <w:pPr>
        <w:pStyle w:val="BodyText"/>
        <w:spacing w:line="182" w:lineRule="exact"/>
        <w:ind w:left="2969"/>
      </w:pPr>
      <w:r>
        <w:rPr>
          <w:w w:val="115"/>
        </w:rPr>
        <w:t>Accepted</w:t>
      </w:r>
      <w:r>
        <w:rPr>
          <w:spacing w:val="13"/>
          <w:w w:val="115"/>
        </w:rPr>
        <w:t> </w:t>
      </w:r>
      <w:r>
        <w:rPr>
          <w:w w:val="115"/>
        </w:rPr>
        <w:t>31</w:t>
      </w:r>
      <w:r>
        <w:rPr>
          <w:spacing w:val="15"/>
          <w:w w:val="115"/>
        </w:rPr>
        <w:t> </w:t>
      </w:r>
      <w:r>
        <w:rPr>
          <w:w w:val="115"/>
        </w:rPr>
        <w:t>March</w:t>
      </w:r>
      <w:r>
        <w:rPr>
          <w:spacing w:val="13"/>
          <w:w w:val="115"/>
        </w:rPr>
        <w:t> </w:t>
      </w:r>
      <w:r>
        <w:rPr>
          <w:spacing w:val="-4"/>
          <w:w w:val="115"/>
        </w:rPr>
        <w:t>2020</w:t>
      </w:r>
    </w:p>
    <w:p>
      <w:pPr>
        <w:pStyle w:val="BodyText"/>
        <w:spacing w:before="26"/>
      </w:pPr>
    </w:p>
    <w:p>
      <w:pPr>
        <w:pStyle w:val="BodyText"/>
        <w:spacing w:line="295" w:lineRule="auto" w:before="1"/>
        <w:ind w:left="715" w:right="184" w:firstLine="826"/>
      </w:pPr>
      <w:hyperlink r:id="rId10">
        <w:r>
          <w:rPr>
            <w:color w:val="00689C"/>
            <w:spacing w:val="-2"/>
            <w:w w:val="115"/>
          </w:rPr>
          <w:t>https://doi.org/10.1016/j.neurol.2020.03.019</w:t>
        </w:r>
      </w:hyperlink>
      <w:r>
        <w:rPr>
          <w:color w:val="00689C"/>
          <w:spacing w:val="-2"/>
          <w:w w:val="115"/>
        </w:rPr>
        <w:t> </w:t>
      </w:r>
      <w:r>
        <w:rPr>
          <w:w w:val="115"/>
        </w:rPr>
        <w:t>0035-3787/#</w:t>
      </w:r>
      <w:r>
        <w:rPr>
          <w:spacing w:val="18"/>
          <w:w w:val="115"/>
        </w:rPr>
        <w:t> </w:t>
      </w:r>
      <w:r>
        <w:rPr>
          <w:w w:val="115"/>
        </w:rPr>
        <w:t>2020</w:t>
      </w:r>
      <w:r>
        <w:rPr>
          <w:spacing w:val="18"/>
          <w:w w:val="115"/>
        </w:rPr>
        <w:t> </w:t>
      </w:r>
      <w:r>
        <w:rPr>
          <w:w w:val="115"/>
        </w:rPr>
        <w:t>Published</w:t>
      </w:r>
      <w:r>
        <w:rPr>
          <w:spacing w:val="18"/>
          <w:w w:val="115"/>
        </w:rPr>
        <w:t> </w:t>
      </w:r>
      <w:r>
        <w:rPr>
          <w:w w:val="115"/>
        </w:rPr>
        <w:t>by</w:t>
      </w:r>
      <w:r>
        <w:rPr>
          <w:spacing w:val="20"/>
          <w:w w:val="115"/>
        </w:rPr>
        <w:t> </w:t>
      </w:r>
      <w:r>
        <w:rPr>
          <w:w w:val="115"/>
        </w:rPr>
        <w:t>Elsevier</w:t>
      </w:r>
      <w:r>
        <w:rPr>
          <w:spacing w:val="17"/>
          <w:w w:val="115"/>
        </w:rPr>
        <w:t> </w:t>
      </w:r>
      <w:r>
        <w:rPr>
          <w:w w:val="115"/>
        </w:rPr>
        <w:t>Masson</w:t>
      </w:r>
      <w:r>
        <w:rPr>
          <w:spacing w:val="17"/>
          <w:w w:val="115"/>
        </w:rPr>
        <w:t> </w:t>
      </w:r>
      <w:r>
        <w:rPr>
          <w:spacing w:val="-4"/>
          <w:w w:val="115"/>
        </w:rPr>
        <w:t>SAS.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</w:pPr>
    </w:p>
    <w:p>
      <w:pPr>
        <w:pStyle w:val="Heading1"/>
        <w:spacing w:line="271" w:lineRule="auto"/>
        <w:ind w:left="86" w:right="140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6344640</wp:posOffset>
            </wp:positionH>
            <wp:positionV relativeFrom="paragraph">
              <wp:posOffset>36206</wp:posOffset>
            </wp:positionV>
            <wp:extent cx="359994" cy="359994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Sensory motor ataxic </w:t>
      </w:r>
      <w:r>
        <w:rPr>
          <w:w w:val="125"/>
        </w:rPr>
        <w:t>neuropathy associated dysarthria and ophthalmoplegia</w:t>
      </w:r>
      <w:r>
        <w:rPr>
          <w:spacing w:val="-15"/>
          <w:w w:val="125"/>
        </w:rPr>
        <w:t> </w:t>
      </w:r>
      <w:r>
        <w:rPr>
          <w:w w:val="125"/>
        </w:rPr>
        <w:t>‘‘SMANDO’’</w:t>
      </w:r>
    </w:p>
    <w:p>
      <w:pPr>
        <w:spacing w:line="271" w:lineRule="auto" w:before="1"/>
        <w:ind w:left="86" w:right="1400" w:firstLine="0"/>
        <w:jc w:val="left"/>
        <w:rPr>
          <w:sz w:val="19"/>
        </w:rPr>
      </w:pPr>
      <w:r>
        <w:rPr>
          <w:w w:val="125"/>
          <w:sz w:val="19"/>
        </w:rPr>
        <w:t>in a consanguineous </w:t>
      </w:r>
      <w:r>
        <w:rPr>
          <w:w w:val="125"/>
          <w:sz w:val="19"/>
        </w:rPr>
        <w:t>Moroccan patient with new POLG gene homozygote mutation</w:t>
      </w:r>
    </w:p>
    <w:p>
      <w:pPr>
        <w:pStyle w:val="BodyText"/>
        <w:spacing w:before="29"/>
        <w:rPr>
          <w:sz w:val="19"/>
        </w:rPr>
      </w:pPr>
    </w:p>
    <w:p>
      <w:pPr>
        <w:pStyle w:val="BodyText"/>
        <w:spacing w:line="300" w:lineRule="auto"/>
        <w:ind w:left="86" w:right="184" w:firstLine="20"/>
        <w:jc w:val="both"/>
      </w:pPr>
      <w:r>
        <w:rPr>
          <w:w w:val="120"/>
        </w:rPr>
        <w:t>A</w:t>
      </w:r>
      <w:r>
        <w:rPr>
          <w:w w:val="120"/>
        </w:rPr>
        <w:t> 25-year-old</w:t>
      </w:r>
      <w:r>
        <w:rPr>
          <w:w w:val="120"/>
        </w:rPr>
        <w:t> Moroccan</w:t>
      </w:r>
      <w:r>
        <w:rPr>
          <w:spacing w:val="-1"/>
          <w:w w:val="120"/>
        </w:rPr>
        <w:t> </w:t>
      </w:r>
      <w:r>
        <w:rPr>
          <w:w w:val="120"/>
        </w:rPr>
        <w:t>man</w:t>
      </w:r>
      <w:r>
        <w:rPr>
          <w:w w:val="120"/>
        </w:rPr>
        <w:t> experienced</w:t>
      </w:r>
      <w:r>
        <w:rPr>
          <w:w w:val="120"/>
        </w:rPr>
        <w:t> his</w:t>
      </w:r>
      <w:r>
        <w:rPr>
          <w:spacing w:val="-1"/>
          <w:w w:val="120"/>
        </w:rPr>
        <w:t> </w:t>
      </w:r>
      <w:r>
        <w:rPr>
          <w:w w:val="120"/>
        </w:rPr>
        <w:t>first</w:t>
      </w:r>
      <w:r>
        <w:rPr>
          <w:spacing w:val="-1"/>
          <w:w w:val="120"/>
        </w:rPr>
        <w:t> </w:t>
      </w:r>
      <w:r>
        <w:rPr>
          <w:w w:val="120"/>
        </w:rPr>
        <w:t>symptoms when</w:t>
      </w:r>
      <w:r>
        <w:rPr>
          <w:w w:val="120"/>
        </w:rPr>
        <w:t> he</w:t>
      </w:r>
      <w:r>
        <w:rPr>
          <w:w w:val="120"/>
        </w:rPr>
        <w:t> was</w:t>
      </w:r>
      <w:r>
        <w:rPr>
          <w:w w:val="120"/>
        </w:rPr>
        <w:t> 7 years old</w:t>
      </w:r>
      <w:r>
        <w:rPr>
          <w:w w:val="120"/>
        </w:rPr>
        <w:t> with</w:t>
      </w:r>
      <w:r>
        <w:rPr>
          <w:w w:val="120"/>
        </w:rPr>
        <w:t> progressive</w:t>
      </w:r>
      <w:r>
        <w:rPr>
          <w:w w:val="120"/>
        </w:rPr>
        <w:t> bilateral</w:t>
      </w:r>
      <w:r>
        <w:rPr>
          <w:w w:val="120"/>
        </w:rPr>
        <w:t> ptosis.</w:t>
      </w:r>
      <w:r>
        <w:rPr>
          <w:w w:val="120"/>
        </w:rPr>
        <w:t> His </w:t>
      </w:r>
      <w:r>
        <w:rPr>
          <w:spacing w:val="-2"/>
          <w:w w:val="120"/>
        </w:rPr>
        <w:t>parents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were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consanguineous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(first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degree).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His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gait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had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become </w:t>
      </w:r>
      <w:r>
        <w:rPr>
          <w:w w:val="120"/>
        </w:rPr>
        <w:t>progressively</w:t>
      </w:r>
      <w:r>
        <w:rPr>
          <w:w w:val="120"/>
        </w:rPr>
        <w:t> unsteady</w:t>
      </w:r>
      <w:r>
        <w:rPr>
          <w:w w:val="120"/>
        </w:rPr>
        <w:t> with</w:t>
      </w:r>
      <w:r>
        <w:rPr>
          <w:w w:val="120"/>
        </w:rPr>
        <w:t> falls</w:t>
      </w:r>
      <w:r>
        <w:rPr>
          <w:w w:val="120"/>
        </w:rPr>
        <w:t> and</w:t>
      </w:r>
      <w:r>
        <w:rPr>
          <w:w w:val="120"/>
        </w:rPr>
        <w:t> painful</w:t>
      </w:r>
      <w:r>
        <w:rPr>
          <w:w w:val="120"/>
        </w:rPr>
        <w:t> paresthesia.</w:t>
      </w:r>
      <w:r>
        <w:rPr>
          <w:w w:val="120"/>
        </w:rPr>
        <w:t> His speech</w:t>
      </w:r>
      <w:r>
        <w:rPr>
          <w:spacing w:val="-5"/>
          <w:w w:val="120"/>
        </w:rPr>
        <w:t> </w:t>
      </w:r>
      <w:r>
        <w:rPr>
          <w:w w:val="120"/>
        </w:rPr>
        <w:t>was</w:t>
      </w:r>
      <w:r>
        <w:rPr>
          <w:spacing w:val="-5"/>
          <w:w w:val="120"/>
        </w:rPr>
        <w:t> </w:t>
      </w:r>
      <w:r>
        <w:rPr>
          <w:w w:val="120"/>
        </w:rPr>
        <w:t>progressively</w:t>
      </w:r>
      <w:r>
        <w:rPr>
          <w:spacing w:val="-5"/>
          <w:w w:val="120"/>
        </w:rPr>
        <w:t> </w:t>
      </w:r>
      <w:r>
        <w:rPr>
          <w:w w:val="120"/>
        </w:rPr>
        <w:t>becoming</w:t>
      </w:r>
      <w:r>
        <w:rPr>
          <w:spacing w:val="-5"/>
          <w:w w:val="120"/>
        </w:rPr>
        <w:t> </w:t>
      </w:r>
      <w:r>
        <w:rPr>
          <w:w w:val="120"/>
        </w:rPr>
        <w:t>more</w:t>
      </w:r>
      <w:r>
        <w:rPr>
          <w:spacing w:val="-5"/>
          <w:w w:val="120"/>
        </w:rPr>
        <w:t> </w:t>
      </w:r>
      <w:r>
        <w:rPr>
          <w:w w:val="120"/>
        </w:rPr>
        <w:t>slurred</w:t>
      </w:r>
      <w:r>
        <w:rPr>
          <w:spacing w:val="-5"/>
          <w:w w:val="120"/>
        </w:rPr>
        <w:t> </w:t>
      </w:r>
      <w:r>
        <w:rPr>
          <w:w w:val="120"/>
        </w:rPr>
        <w:t>suggesting</w:t>
      </w:r>
      <w:r>
        <w:rPr>
          <w:spacing w:val="-5"/>
          <w:w w:val="120"/>
        </w:rPr>
        <w:t> </w:t>
      </w:r>
      <w:r>
        <w:rPr>
          <w:w w:val="120"/>
        </w:rPr>
        <w:t>a </w:t>
      </w:r>
      <w:r>
        <w:rPr>
          <w:spacing w:val="-2"/>
          <w:w w:val="120"/>
        </w:rPr>
        <w:t>probably associated cerebellar syndrome. Ophthalmologic exa- </w:t>
      </w:r>
      <w:r>
        <w:rPr>
          <w:w w:val="120"/>
        </w:rPr>
        <w:t>mination</w:t>
      </w:r>
      <w:r>
        <w:rPr>
          <w:w w:val="120"/>
        </w:rPr>
        <w:t> revealed</w:t>
      </w:r>
      <w:r>
        <w:rPr>
          <w:w w:val="120"/>
        </w:rPr>
        <w:t> bilateral</w:t>
      </w:r>
      <w:r>
        <w:rPr>
          <w:w w:val="120"/>
        </w:rPr>
        <w:t> ptosis</w:t>
      </w:r>
      <w:r>
        <w:rPr>
          <w:w w:val="120"/>
        </w:rPr>
        <w:t> (</w:t>
      </w:r>
      <w:r>
        <w:rPr>
          <w:color w:val="00689C"/>
          <w:w w:val="120"/>
        </w:rPr>
        <w:t>Fig.</w:t>
      </w:r>
      <w:r>
        <w:rPr>
          <w:color w:val="00689C"/>
          <w:w w:val="120"/>
        </w:rPr>
        <w:t> 1</w:t>
      </w:r>
      <w:r>
        <w:rPr>
          <w:w w:val="120"/>
        </w:rPr>
        <w:t>a)</w:t>
      </w:r>
      <w:r>
        <w:rPr>
          <w:w w:val="120"/>
        </w:rPr>
        <w:t> with</w:t>
      </w:r>
      <w:r>
        <w:rPr>
          <w:w w:val="120"/>
        </w:rPr>
        <w:t> severe</w:t>
      </w:r>
      <w:r>
        <w:rPr>
          <w:w w:val="120"/>
        </w:rPr>
        <w:t> oph- thalmoparesis</w:t>
      </w:r>
      <w:r>
        <w:rPr>
          <w:spacing w:val="-1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all</w:t>
      </w:r>
      <w:r>
        <w:rPr>
          <w:spacing w:val="-2"/>
          <w:w w:val="120"/>
        </w:rPr>
        <w:t> </w:t>
      </w:r>
      <w:r>
        <w:rPr>
          <w:w w:val="120"/>
        </w:rPr>
        <w:t>directions.</w:t>
      </w:r>
      <w:r>
        <w:rPr>
          <w:spacing w:val="-1"/>
          <w:w w:val="120"/>
        </w:rPr>
        <w:t> </w:t>
      </w:r>
      <w:r>
        <w:rPr>
          <w:w w:val="120"/>
        </w:rPr>
        <w:t>Gait</w:t>
      </w:r>
      <w:r>
        <w:rPr>
          <w:spacing w:val="-2"/>
          <w:w w:val="120"/>
        </w:rPr>
        <w:t> </w:t>
      </w:r>
      <w:r>
        <w:rPr>
          <w:w w:val="120"/>
        </w:rPr>
        <w:t>showed</w:t>
      </w:r>
      <w:r>
        <w:rPr>
          <w:spacing w:val="-3"/>
          <w:w w:val="120"/>
        </w:rPr>
        <w:t> </w:t>
      </w:r>
      <w:r>
        <w:rPr>
          <w:w w:val="120"/>
        </w:rPr>
        <w:t>a</w:t>
      </w:r>
      <w:r>
        <w:rPr>
          <w:spacing w:val="-1"/>
          <w:w w:val="120"/>
        </w:rPr>
        <w:t> </w:t>
      </w:r>
      <w:r>
        <w:rPr>
          <w:w w:val="120"/>
        </w:rPr>
        <w:t>marked</w:t>
      </w:r>
      <w:r>
        <w:rPr>
          <w:spacing w:val="-2"/>
          <w:w w:val="120"/>
        </w:rPr>
        <w:t> </w:t>
      </w:r>
      <w:r>
        <w:rPr>
          <w:w w:val="120"/>
        </w:rPr>
        <w:t>sensory ataxia with</w:t>
      </w:r>
      <w:r>
        <w:rPr>
          <w:w w:val="120"/>
        </w:rPr>
        <w:t> a positive</w:t>
      </w:r>
      <w:r>
        <w:rPr>
          <w:w w:val="120"/>
        </w:rPr>
        <w:t> Romberg sign.</w:t>
      </w:r>
      <w:r>
        <w:rPr>
          <w:w w:val="120"/>
        </w:rPr>
        <w:t> Speech was</w:t>
      </w:r>
      <w:r>
        <w:rPr>
          <w:w w:val="120"/>
        </w:rPr>
        <w:t> dysarthric. </w:t>
      </w:r>
      <w:r>
        <w:rPr>
          <w:spacing w:val="-2"/>
          <w:w w:val="120"/>
        </w:rPr>
        <w:t>Motor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examination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revealed</w:t>
      </w:r>
      <w:r>
        <w:rPr>
          <w:spacing w:val="-8"/>
          <w:w w:val="120"/>
        </w:rPr>
        <w:t> </w:t>
      </w:r>
      <w:r>
        <w:rPr>
          <w:spacing w:val="-2"/>
          <w:w w:val="120"/>
        </w:rPr>
        <w:t>atrophy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involving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mainly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distal </w:t>
      </w:r>
      <w:r>
        <w:rPr>
          <w:spacing w:val="-4"/>
          <w:w w:val="120"/>
        </w:rPr>
        <w:t>muscles with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pes cavus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(</w:t>
      </w:r>
      <w:r>
        <w:rPr>
          <w:color w:val="00689C"/>
          <w:spacing w:val="-4"/>
          <w:w w:val="120"/>
        </w:rPr>
        <w:t>Fig.</w:t>
      </w:r>
      <w:r>
        <w:rPr>
          <w:color w:val="00689C"/>
          <w:spacing w:val="-5"/>
          <w:w w:val="120"/>
        </w:rPr>
        <w:t> </w:t>
      </w:r>
      <w:r>
        <w:rPr>
          <w:color w:val="00689C"/>
          <w:spacing w:val="-4"/>
          <w:w w:val="120"/>
        </w:rPr>
        <w:t>1</w:t>
      </w:r>
      <w:r>
        <w:rPr>
          <w:spacing w:val="-4"/>
          <w:w w:val="120"/>
        </w:rPr>
        <w:t>b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and</w:t>
      </w:r>
      <w:r>
        <w:rPr>
          <w:spacing w:val="-5"/>
          <w:w w:val="120"/>
        </w:rPr>
        <w:t> </w:t>
      </w:r>
      <w:r>
        <w:rPr>
          <w:spacing w:val="-4"/>
          <w:w w:val="120"/>
        </w:rPr>
        <w:t>d)</w:t>
      </w:r>
      <w:r>
        <w:rPr>
          <w:spacing w:val="-5"/>
          <w:w w:val="120"/>
        </w:rPr>
        <w:t> </w:t>
      </w:r>
      <w:r>
        <w:rPr>
          <w:spacing w:val="-4"/>
          <w:w w:val="120"/>
        </w:rPr>
        <w:t>and</w:t>
      </w:r>
      <w:r>
        <w:rPr>
          <w:spacing w:val="-5"/>
          <w:w w:val="120"/>
        </w:rPr>
        <w:t> </w:t>
      </w:r>
      <w:r>
        <w:rPr>
          <w:spacing w:val="-4"/>
          <w:w w:val="120"/>
        </w:rPr>
        <w:t>severe</w:t>
      </w:r>
      <w:r>
        <w:rPr>
          <w:spacing w:val="-5"/>
          <w:w w:val="120"/>
        </w:rPr>
        <w:t> </w:t>
      </w:r>
      <w:r>
        <w:rPr>
          <w:spacing w:val="-4"/>
          <w:w w:val="120"/>
        </w:rPr>
        <w:t>proprioceptive </w:t>
      </w:r>
      <w:r>
        <w:rPr>
          <w:spacing w:val="-2"/>
          <w:w w:val="120"/>
        </w:rPr>
        <w:t>impairment.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Pectus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excavatum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(funnel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breast)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(</w:t>
      </w:r>
      <w:r>
        <w:rPr>
          <w:color w:val="00689C"/>
          <w:spacing w:val="-2"/>
          <w:w w:val="120"/>
        </w:rPr>
        <w:t>Fig.</w:t>
      </w:r>
      <w:r>
        <w:rPr>
          <w:color w:val="00689C"/>
          <w:spacing w:val="-10"/>
          <w:w w:val="120"/>
        </w:rPr>
        <w:t> </w:t>
      </w:r>
      <w:r>
        <w:rPr>
          <w:color w:val="00689C"/>
          <w:spacing w:val="-2"/>
          <w:w w:val="120"/>
        </w:rPr>
        <w:t>1</w:t>
      </w:r>
      <w:r>
        <w:rPr>
          <w:spacing w:val="-2"/>
          <w:w w:val="120"/>
        </w:rPr>
        <w:t>c)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cleft </w:t>
      </w:r>
      <w:r>
        <w:rPr>
          <w:w w:val="120"/>
        </w:rPr>
        <w:t>palate were also present.</w:t>
      </w:r>
      <w:r>
        <w:rPr>
          <w:w w:val="120"/>
        </w:rPr>
        <w:t> Electroneuromyography revealed severe</w:t>
      </w:r>
      <w:r>
        <w:rPr>
          <w:w w:val="120"/>
        </w:rPr>
        <w:t> axonal</w:t>
      </w:r>
      <w:r>
        <w:rPr>
          <w:w w:val="120"/>
        </w:rPr>
        <w:t> predominantly</w:t>
      </w:r>
      <w:r>
        <w:rPr>
          <w:w w:val="120"/>
        </w:rPr>
        <w:t> sensory</w:t>
      </w:r>
      <w:r>
        <w:rPr>
          <w:w w:val="120"/>
        </w:rPr>
        <w:t> peripheral</w:t>
      </w:r>
      <w:r>
        <w:rPr>
          <w:w w:val="120"/>
        </w:rPr>
        <w:t> neuropathy. Skeletal</w:t>
      </w:r>
      <w:r>
        <w:rPr>
          <w:w w:val="120"/>
        </w:rPr>
        <w:t> muscle</w:t>
      </w:r>
      <w:r>
        <w:rPr>
          <w:w w:val="120"/>
        </w:rPr>
        <w:t> biopsy</w:t>
      </w:r>
      <w:r>
        <w:rPr>
          <w:w w:val="120"/>
        </w:rPr>
        <w:t> revealed</w:t>
      </w:r>
      <w:r>
        <w:rPr>
          <w:w w:val="120"/>
        </w:rPr>
        <w:t> ragged</w:t>
      </w:r>
      <w:r>
        <w:rPr>
          <w:w w:val="120"/>
        </w:rPr>
        <w:t> red</w:t>
      </w:r>
      <w:r>
        <w:rPr>
          <w:w w:val="120"/>
        </w:rPr>
        <w:t> fibers</w:t>
      </w:r>
      <w:r>
        <w:rPr>
          <w:w w:val="120"/>
        </w:rPr>
        <w:t> (</w:t>
      </w:r>
      <w:r>
        <w:rPr>
          <w:color w:val="00689C"/>
          <w:w w:val="120"/>
        </w:rPr>
        <w:t>Fig.</w:t>
      </w:r>
      <w:r>
        <w:rPr>
          <w:color w:val="00689C"/>
          <w:w w:val="120"/>
        </w:rPr>
        <w:t> 1</w:t>
      </w:r>
      <w:r>
        <w:rPr>
          <w:w w:val="120"/>
        </w:rPr>
        <w:t>e). </w:t>
      </w:r>
      <w:r>
        <w:rPr>
          <w:spacing w:val="-4"/>
          <w:w w:val="120"/>
        </w:rPr>
        <w:t>Magnetic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resonance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imaging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(MRI)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of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the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brain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was</w:t>
      </w:r>
      <w:r>
        <w:rPr>
          <w:spacing w:val="-8"/>
          <w:w w:val="120"/>
        </w:rPr>
        <w:t> </w:t>
      </w:r>
      <w:r>
        <w:rPr>
          <w:spacing w:val="-4"/>
          <w:w w:val="120"/>
        </w:rPr>
        <w:t>normal.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The </w:t>
      </w:r>
      <w:r>
        <w:rPr>
          <w:w w:val="120"/>
        </w:rPr>
        <w:t>laboratory</w:t>
      </w:r>
      <w:r>
        <w:rPr>
          <w:w w:val="120"/>
        </w:rPr>
        <w:t> investigations</w:t>
      </w:r>
      <w:r>
        <w:rPr>
          <w:w w:val="120"/>
        </w:rPr>
        <w:t> revealed</w:t>
      </w:r>
      <w:r>
        <w:rPr>
          <w:w w:val="120"/>
        </w:rPr>
        <w:t> elevation</w:t>
      </w:r>
      <w:r>
        <w:rPr>
          <w:w w:val="120"/>
        </w:rPr>
        <w:t> in</w:t>
      </w:r>
      <w:r>
        <w:rPr>
          <w:w w:val="120"/>
        </w:rPr>
        <w:t> serum</w:t>
      </w:r>
      <w:r>
        <w:rPr>
          <w:w w:val="120"/>
        </w:rPr>
        <w:t> lactate </w:t>
      </w:r>
      <w:r>
        <w:rPr>
          <w:spacing w:val="-4"/>
          <w:w w:val="115"/>
        </w:rPr>
        <w:t>886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mg/l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(normal: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57–220)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and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pyruvate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21.66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mg/L</w:t>
      </w:r>
      <w:r>
        <w:rPr>
          <w:spacing w:val="-7"/>
          <w:w w:val="115"/>
        </w:rPr>
        <w:t> </w:t>
      </w:r>
      <w:r>
        <w:rPr>
          <w:spacing w:val="-4"/>
          <w:w w:val="115"/>
        </w:rPr>
        <w:t>(normal:</w:t>
      </w:r>
      <w:r>
        <w:rPr>
          <w:spacing w:val="-8"/>
          <w:w w:val="115"/>
        </w:rPr>
        <w:t> </w:t>
      </w:r>
      <w:r>
        <w:rPr>
          <w:spacing w:val="-4"/>
          <w:w w:val="115"/>
        </w:rPr>
        <w:t>3.60– </w:t>
      </w:r>
      <w:r>
        <w:rPr>
          <w:spacing w:val="-6"/>
          <w:w w:val="120"/>
        </w:rPr>
        <w:t>5.90).</w:t>
      </w:r>
      <w:r>
        <w:rPr>
          <w:spacing w:val="6"/>
          <w:w w:val="120"/>
        </w:rPr>
        <w:t> </w:t>
      </w:r>
      <w:r>
        <w:rPr>
          <w:spacing w:val="-6"/>
          <w:w w:val="120"/>
        </w:rPr>
        <w:t>Molecular</w:t>
      </w:r>
      <w:r>
        <w:rPr>
          <w:spacing w:val="6"/>
          <w:w w:val="120"/>
        </w:rPr>
        <w:t> </w:t>
      </w:r>
      <w:r>
        <w:rPr>
          <w:spacing w:val="-6"/>
          <w:w w:val="120"/>
        </w:rPr>
        <w:t>genetic</w:t>
      </w:r>
      <w:r>
        <w:rPr>
          <w:spacing w:val="6"/>
          <w:w w:val="120"/>
        </w:rPr>
        <w:t> </w:t>
      </w:r>
      <w:r>
        <w:rPr>
          <w:spacing w:val="-6"/>
          <w:w w:val="120"/>
        </w:rPr>
        <w:t>analysis</w:t>
      </w:r>
      <w:r>
        <w:rPr>
          <w:spacing w:val="6"/>
          <w:w w:val="120"/>
        </w:rPr>
        <w:t> </w:t>
      </w:r>
      <w:r>
        <w:rPr>
          <w:spacing w:val="-6"/>
          <w:w w:val="120"/>
        </w:rPr>
        <w:t>revealed multiple</w:t>
      </w:r>
      <w:r>
        <w:rPr>
          <w:spacing w:val="6"/>
          <w:w w:val="120"/>
        </w:rPr>
        <w:t> </w:t>
      </w:r>
      <w:r>
        <w:rPr>
          <w:spacing w:val="-6"/>
          <w:w w:val="120"/>
        </w:rPr>
        <w:t>mitochondrial </w:t>
      </w:r>
      <w:r>
        <w:rPr>
          <w:spacing w:val="-2"/>
          <w:w w:val="120"/>
        </w:rPr>
        <w:t>DNA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deletions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in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muscle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tissue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detected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by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long-range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PCR </w:t>
      </w:r>
      <w:r>
        <w:rPr>
          <w:w w:val="120"/>
        </w:rPr>
        <w:t>technique.</w:t>
      </w:r>
      <w:r>
        <w:rPr>
          <w:w w:val="120"/>
        </w:rPr>
        <w:t> Sequencing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POLG1</w:t>
      </w:r>
      <w:r>
        <w:rPr>
          <w:w w:val="120"/>
        </w:rPr>
        <w:t> gene</w:t>
      </w:r>
      <w:r>
        <w:rPr>
          <w:w w:val="120"/>
        </w:rPr>
        <w:t> revealed</w:t>
      </w:r>
      <w:r>
        <w:rPr>
          <w:w w:val="120"/>
        </w:rPr>
        <w:t> the</w:t>
      </w:r>
      <w:r>
        <w:rPr>
          <w:w w:val="120"/>
        </w:rPr>
        <w:t> c. 1789C</w:t>
      </w:r>
      <w:r>
        <w:rPr>
          <w:spacing w:val="-12"/>
          <w:w w:val="120"/>
        </w:rPr>
        <w:t> </w:t>
      </w:r>
      <w:r>
        <w:rPr>
          <w:rFonts w:ascii="Arial" w:hAnsi="Arial"/>
          <w:w w:val="120"/>
        </w:rPr>
        <w:t>&gt;</w:t>
      </w:r>
      <w:r>
        <w:rPr>
          <w:rFonts w:ascii="Arial" w:hAnsi="Arial"/>
          <w:spacing w:val="-14"/>
          <w:w w:val="120"/>
        </w:rPr>
        <w:t> </w:t>
      </w:r>
      <w:r>
        <w:rPr>
          <w:w w:val="120"/>
        </w:rPr>
        <w:t>T</w:t>
      </w:r>
      <w:r>
        <w:rPr>
          <w:spacing w:val="-12"/>
          <w:w w:val="120"/>
        </w:rPr>
        <w:t> </w:t>
      </w:r>
      <w:r>
        <w:rPr>
          <w:w w:val="120"/>
        </w:rPr>
        <w:t>(p.Arg597Trp)</w:t>
      </w:r>
      <w:r>
        <w:rPr>
          <w:w w:val="120"/>
        </w:rPr>
        <w:t> mutation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homozygous</w:t>
      </w:r>
      <w:r>
        <w:rPr>
          <w:w w:val="120"/>
        </w:rPr>
        <w:t> state.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c.</w:t>
      </w:r>
      <w:r>
        <w:rPr>
          <w:spacing w:val="-11"/>
          <w:w w:val="115"/>
        </w:rPr>
        <w:t> </w:t>
      </w:r>
      <w:r>
        <w:rPr>
          <w:w w:val="115"/>
        </w:rPr>
        <w:t>1789C</w:t>
      </w:r>
      <w:r>
        <w:rPr>
          <w:spacing w:val="-12"/>
          <w:w w:val="115"/>
        </w:rPr>
        <w:t> </w:t>
      </w:r>
      <w:r>
        <w:rPr>
          <w:rFonts w:ascii="Arial" w:hAnsi="Arial"/>
          <w:w w:val="115"/>
        </w:rPr>
        <w:t>&gt;</w:t>
      </w:r>
      <w:r>
        <w:rPr>
          <w:rFonts w:ascii="Arial" w:hAnsi="Arial"/>
          <w:spacing w:val="-13"/>
          <w:w w:val="115"/>
        </w:rPr>
        <w:t> </w:t>
      </w:r>
      <w:r>
        <w:rPr>
          <w:w w:val="115"/>
        </w:rPr>
        <w:t>T</w:t>
      </w:r>
      <w:r>
        <w:rPr>
          <w:spacing w:val="-11"/>
          <w:w w:val="115"/>
        </w:rPr>
        <w:t> </w:t>
      </w:r>
      <w:r>
        <w:rPr>
          <w:w w:val="115"/>
        </w:rPr>
        <w:t>mutation</w:t>
      </w:r>
      <w:r>
        <w:rPr>
          <w:spacing w:val="-12"/>
          <w:w w:val="115"/>
        </w:rPr>
        <w:t> </w:t>
      </w:r>
      <w:r>
        <w:rPr>
          <w:w w:val="115"/>
        </w:rPr>
        <w:t>was</w:t>
      </w:r>
      <w:r>
        <w:rPr>
          <w:spacing w:val="-11"/>
          <w:w w:val="115"/>
        </w:rPr>
        <w:t> </w:t>
      </w:r>
      <w:r>
        <w:rPr>
          <w:w w:val="115"/>
        </w:rPr>
        <w:t>found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heterozygous</w:t>
      </w:r>
      <w:r>
        <w:rPr>
          <w:spacing w:val="-12"/>
          <w:w w:val="115"/>
        </w:rPr>
        <w:t> </w:t>
      </w:r>
      <w:r>
        <w:rPr>
          <w:w w:val="115"/>
        </w:rPr>
        <w:t>form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his </w:t>
      </w:r>
      <w:r>
        <w:rPr>
          <w:spacing w:val="-2"/>
          <w:w w:val="120"/>
        </w:rPr>
        <w:t>consanguineous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parents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with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no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manifestation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disease.</w:t>
      </w:r>
      <w:r>
        <w:rPr>
          <w:spacing w:val="-9"/>
          <w:w w:val="120"/>
        </w:rPr>
        <w:t> </w:t>
      </w:r>
      <w:r>
        <w:rPr>
          <w:spacing w:val="-2"/>
          <w:w w:val="120"/>
        </w:rPr>
        <w:t>Based </w:t>
      </w:r>
      <w:r>
        <w:rPr>
          <w:spacing w:val="-2"/>
          <w:w w:val="115"/>
        </w:rPr>
        <w:t>on ACMG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guidelines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in silico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gene variant tolerance analysis, </w:t>
      </w:r>
      <w:r>
        <w:rPr>
          <w:w w:val="120"/>
        </w:rPr>
        <w:t>c.1789C</w:t>
      </w:r>
      <w:r>
        <w:rPr>
          <w:spacing w:val="-12"/>
          <w:w w:val="120"/>
        </w:rPr>
        <w:t> </w:t>
      </w:r>
      <w:r>
        <w:rPr>
          <w:rFonts w:ascii="Arial" w:hAnsi="Arial"/>
          <w:w w:val="120"/>
        </w:rPr>
        <w:t>&gt;</w:t>
      </w:r>
      <w:r>
        <w:rPr>
          <w:rFonts w:ascii="Arial" w:hAnsi="Arial"/>
          <w:spacing w:val="-14"/>
          <w:w w:val="120"/>
        </w:rPr>
        <w:t> </w:t>
      </w:r>
      <w:r>
        <w:rPr>
          <w:w w:val="120"/>
        </w:rPr>
        <w:t>T</w:t>
      </w:r>
      <w:r>
        <w:rPr>
          <w:spacing w:val="-12"/>
          <w:w w:val="120"/>
        </w:rPr>
        <w:t> </w:t>
      </w:r>
      <w:r>
        <w:rPr>
          <w:w w:val="120"/>
        </w:rPr>
        <w:t>(p.Arg597Trp)</w:t>
      </w:r>
      <w:r>
        <w:rPr>
          <w:spacing w:val="-12"/>
          <w:w w:val="120"/>
        </w:rPr>
        <w:t> </w:t>
      </w:r>
      <w:r>
        <w:rPr>
          <w:w w:val="120"/>
        </w:rPr>
        <w:t>variant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classified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ClinVar database</w:t>
      </w:r>
      <w:r>
        <w:rPr>
          <w:w w:val="120"/>
        </w:rPr>
        <w:t> as</w:t>
      </w:r>
      <w:r>
        <w:rPr>
          <w:w w:val="120"/>
        </w:rPr>
        <w:t> pathogenic/likely</w:t>
      </w:r>
      <w:r>
        <w:rPr>
          <w:w w:val="120"/>
        </w:rPr>
        <w:t> pathogenic</w:t>
      </w:r>
      <w:r>
        <w:rPr>
          <w:w w:val="120"/>
        </w:rPr>
        <w:t> by</w:t>
      </w:r>
      <w:r>
        <w:rPr>
          <w:w w:val="120"/>
        </w:rPr>
        <w:t> three</w:t>
      </w:r>
      <w:r>
        <w:rPr>
          <w:w w:val="120"/>
        </w:rPr>
        <w:t> submitters </w:t>
      </w:r>
      <w:r>
        <w:rPr>
          <w:spacing w:val="-4"/>
          <w:w w:val="115"/>
        </w:rPr>
        <w:t>(GeneDx; EGL Genetic</w:t>
      </w:r>
      <w:r>
        <w:rPr>
          <w:spacing w:val="-5"/>
          <w:w w:val="115"/>
        </w:rPr>
        <w:t> </w:t>
      </w:r>
      <w:r>
        <w:rPr>
          <w:spacing w:val="-4"/>
          <w:w w:val="115"/>
        </w:rPr>
        <w:t>Diagnostics [Eurofins Clinical Diagnostics] </w:t>
      </w:r>
      <w:r>
        <w:rPr>
          <w:w w:val="120"/>
        </w:rPr>
        <w:t>and Wong Mito Lab [Molecular and</w:t>
      </w:r>
      <w:r>
        <w:rPr>
          <w:w w:val="120"/>
        </w:rPr>
        <w:t> Human</w:t>
      </w:r>
      <w:r>
        <w:rPr>
          <w:w w:val="120"/>
        </w:rPr>
        <w:t> Genetics,</w:t>
      </w:r>
      <w:r>
        <w:rPr>
          <w:w w:val="120"/>
        </w:rPr>
        <w:t> Baylor College</w:t>
      </w:r>
      <w:r>
        <w:rPr>
          <w:w w:val="120"/>
        </w:rPr>
        <w:t> of</w:t>
      </w:r>
      <w:r>
        <w:rPr>
          <w:w w:val="120"/>
        </w:rPr>
        <w:t> Medicine]).</w:t>
      </w:r>
      <w:r>
        <w:rPr>
          <w:w w:val="120"/>
        </w:rPr>
        <w:t> Also,</w:t>
      </w:r>
      <w:r>
        <w:rPr>
          <w:w w:val="120"/>
        </w:rPr>
        <w:t> this</w:t>
      </w:r>
      <w:r>
        <w:rPr>
          <w:w w:val="120"/>
        </w:rPr>
        <w:t> substitution</w:t>
      </w:r>
      <w:r>
        <w:rPr>
          <w:w w:val="120"/>
        </w:rPr>
        <w:t> is</w:t>
      </w:r>
      <w:r>
        <w:rPr>
          <w:w w:val="120"/>
        </w:rPr>
        <w:t> located</w:t>
      </w:r>
      <w:r>
        <w:rPr>
          <w:w w:val="120"/>
        </w:rPr>
        <w:t> in</w:t>
      </w:r>
      <w:r>
        <w:rPr>
          <w:w w:val="120"/>
        </w:rPr>
        <w:t> the linker</w:t>
      </w:r>
      <w:r>
        <w:rPr>
          <w:spacing w:val="-5"/>
          <w:w w:val="120"/>
        </w:rPr>
        <w:t> </w:t>
      </w:r>
      <w:r>
        <w:rPr>
          <w:w w:val="120"/>
        </w:rPr>
        <w:t>domain</w:t>
      </w:r>
      <w:r>
        <w:rPr>
          <w:spacing w:val="-5"/>
          <w:w w:val="120"/>
        </w:rPr>
        <w:t> </w:t>
      </w:r>
      <w:r>
        <w:rPr>
          <w:w w:val="120"/>
        </w:rPr>
        <w:t>(residues</w:t>
      </w:r>
      <w:r>
        <w:rPr>
          <w:spacing w:val="-5"/>
          <w:w w:val="120"/>
        </w:rPr>
        <w:t> </w:t>
      </w:r>
      <w:r>
        <w:rPr>
          <w:w w:val="120"/>
        </w:rPr>
        <w:t>418–755)</w:t>
      </w:r>
      <w:r>
        <w:rPr>
          <w:spacing w:val="-5"/>
          <w:w w:val="120"/>
        </w:rPr>
        <w:t> </w:t>
      </w:r>
      <w:r>
        <w:rPr>
          <w:w w:val="120"/>
        </w:rPr>
        <w:t>which</w:t>
      </w:r>
      <w:r>
        <w:rPr>
          <w:spacing w:val="-5"/>
          <w:w w:val="120"/>
        </w:rPr>
        <w:t> </w:t>
      </w:r>
      <w:r>
        <w:rPr>
          <w:w w:val="120"/>
        </w:rPr>
        <w:t>is</w:t>
      </w:r>
      <w:r>
        <w:rPr>
          <w:spacing w:val="-5"/>
          <w:w w:val="120"/>
        </w:rPr>
        <w:t> </w:t>
      </w:r>
      <w:r>
        <w:rPr>
          <w:w w:val="120"/>
        </w:rPr>
        <w:t>a</w:t>
      </w:r>
      <w:r>
        <w:rPr>
          <w:spacing w:val="-5"/>
          <w:w w:val="120"/>
        </w:rPr>
        <w:t> </w:t>
      </w:r>
      <w:r>
        <w:rPr>
          <w:w w:val="120"/>
        </w:rPr>
        <w:t>highly</w:t>
      </w:r>
      <w:r>
        <w:rPr>
          <w:spacing w:val="-5"/>
          <w:w w:val="120"/>
        </w:rPr>
        <w:t> </w:t>
      </w:r>
      <w:r>
        <w:rPr>
          <w:w w:val="120"/>
        </w:rPr>
        <w:t>conserved region.</w:t>
      </w:r>
      <w:r>
        <w:rPr>
          <w:spacing w:val="-12"/>
          <w:w w:val="120"/>
        </w:rPr>
        <w:t> </w:t>
      </w:r>
      <w:r>
        <w:rPr>
          <w:w w:val="120"/>
        </w:rPr>
        <w:t>Using</w:t>
      </w:r>
      <w:r>
        <w:rPr>
          <w:spacing w:val="-12"/>
          <w:w w:val="120"/>
        </w:rPr>
        <w:t> </w:t>
      </w:r>
      <w:r>
        <w:rPr>
          <w:w w:val="120"/>
        </w:rPr>
        <w:t>four</w:t>
      </w:r>
      <w:r>
        <w:rPr>
          <w:spacing w:val="-12"/>
          <w:w w:val="120"/>
        </w:rPr>
        <w:t> </w:t>
      </w:r>
      <w:r>
        <w:rPr>
          <w:w w:val="120"/>
        </w:rPr>
        <w:t>computational</w:t>
      </w:r>
      <w:r>
        <w:rPr>
          <w:spacing w:val="-12"/>
          <w:w w:val="120"/>
        </w:rPr>
        <w:t> </w:t>
      </w:r>
      <w:r>
        <w:rPr>
          <w:w w:val="120"/>
        </w:rPr>
        <w:t>methods,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functional</w:t>
      </w:r>
      <w:r>
        <w:rPr>
          <w:spacing w:val="-12"/>
          <w:w w:val="120"/>
        </w:rPr>
        <w:t> </w:t>
      </w:r>
      <w:r>
        <w:rPr>
          <w:w w:val="120"/>
        </w:rPr>
        <w:t>impact combined</w:t>
      </w:r>
      <w:r>
        <w:rPr>
          <w:w w:val="120"/>
        </w:rPr>
        <w:t> score</w:t>
      </w:r>
      <w:r>
        <w:rPr>
          <w:w w:val="120"/>
        </w:rPr>
        <w:t> of</w:t>
      </w:r>
      <w:r>
        <w:rPr>
          <w:w w:val="120"/>
        </w:rPr>
        <w:t> 2.65</w:t>
      </w:r>
      <w:r>
        <w:rPr>
          <w:w w:val="120"/>
        </w:rPr>
        <w:t> was</w:t>
      </w:r>
      <w:r>
        <w:rPr>
          <w:w w:val="120"/>
        </w:rPr>
        <w:t> obtained</w:t>
      </w:r>
      <w:r>
        <w:rPr>
          <w:w w:val="120"/>
        </w:rPr>
        <w:t> by</w:t>
      </w:r>
      <w:r>
        <w:rPr>
          <w:w w:val="120"/>
        </w:rPr>
        <w:t> Mutation</w:t>
      </w:r>
      <w:r>
        <w:rPr>
          <w:w w:val="120"/>
        </w:rPr>
        <w:t> Assessor </w:t>
      </w:r>
      <w:r>
        <w:rPr>
          <w:spacing w:val="-2"/>
          <w:w w:val="115"/>
        </w:rPr>
        <w:t>classifying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change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‘‘medium’’.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Otherwise,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SIFT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Polyphen-2 </w:t>
      </w:r>
      <w:r>
        <w:rPr>
          <w:spacing w:val="-2"/>
          <w:w w:val="120"/>
        </w:rPr>
        <w:t>and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SNPs&amp;GO software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predicted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variant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to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be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deleterious, </w:t>
      </w:r>
      <w:r>
        <w:rPr>
          <w:w w:val="120"/>
        </w:rPr>
        <w:t>probably damaging and disease related, respectively.</w:t>
      </w:r>
    </w:p>
    <w:p>
      <w:pPr>
        <w:pStyle w:val="BodyText"/>
        <w:spacing w:line="151" w:lineRule="exact"/>
        <w:ind w:left="325"/>
        <w:jc w:val="both"/>
      </w:pPr>
      <w:r>
        <w:rPr>
          <w:w w:val="115"/>
        </w:rPr>
        <w:t>According</w:t>
      </w:r>
      <w:r>
        <w:rPr>
          <w:spacing w:val="36"/>
          <w:w w:val="115"/>
        </w:rPr>
        <w:t>  </w:t>
      </w:r>
      <w:r>
        <w:rPr>
          <w:w w:val="115"/>
        </w:rPr>
        <w:t>to</w:t>
      </w:r>
      <w:r>
        <w:rPr>
          <w:spacing w:val="37"/>
          <w:w w:val="115"/>
        </w:rPr>
        <w:t>  </w:t>
      </w:r>
      <w:r>
        <w:rPr>
          <w:w w:val="115"/>
        </w:rPr>
        <w:t>gnomAD,</w:t>
      </w:r>
      <w:r>
        <w:rPr>
          <w:spacing w:val="37"/>
          <w:w w:val="115"/>
        </w:rPr>
        <w:t>  </w:t>
      </w:r>
      <w:r>
        <w:rPr>
          <w:w w:val="115"/>
        </w:rPr>
        <w:t>R597</w:t>
      </w:r>
      <w:r>
        <w:rPr>
          <w:spacing w:val="-4"/>
          <w:w w:val="115"/>
        </w:rPr>
        <w:t> </w:t>
      </w:r>
      <w:r>
        <w:rPr>
          <w:w w:val="115"/>
        </w:rPr>
        <w:t>W</w:t>
      </w:r>
      <w:r>
        <w:rPr>
          <w:spacing w:val="37"/>
          <w:w w:val="115"/>
        </w:rPr>
        <w:t>  </w:t>
      </w:r>
      <w:r>
        <w:rPr>
          <w:w w:val="115"/>
        </w:rPr>
        <w:t>allele</w:t>
      </w:r>
      <w:r>
        <w:rPr>
          <w:spacing w:val="36"/>
          <w:w w:val="115"/>
        </w:rPr>
        <w:t>  </w:t>
      </w:r>
      <w:r>
        <w:rPr>
          <w:w w:val="115"/>
        </w:rPr>
        <w:t>frequency</w:t>
      </w:r>
      <w:r>
        <w:rPr>
          <w:spacing w:val="37"/>
          <w:w w:val="115"/>
        </w:rPr>
        <w:t>  </w:t>
      </w:r>
      <w:r>
        <w:rPr>
          <w:spacing w:val="-7"/>
          <w:w w:val="115"/>
        </w:rPr>
        <w:t>is</w:t>
      </w:r>
    </w:p>
    <w:p>
      <w:pPr>
        <w:pStyle w:val="BodyText"/>
        <w:spacing w:before="45"/>
        <w:ind w:left="86"/>
      </w:pPr>
      <w:r>
        <w:rPr>
          <w:spacing w:val="-2"/>
          <w:w w:val="110"/>
        </w:rPr>
        <w:t>0.000006979.</w:t>
      </w:r>
    </w:p>
    <w:p>
      <w:pPr>
        <w:pStyle w:val="BodyText"/>
        <w:spacing w:after="0"/>
        <w:sectPr>
          <w:type w:val="continuous"/>
          <w:pgSz w:w="11910" w:h="15880"/>
          <w:pgMar w:top="540" w:bottom="280" w:left="850" w:right="850"/>
          <w:cols w:num="2" w:equalWidth="0">
            <w:col w:w="4920" w:space="229"/>
            <w:col w:w="5061"/>
          </w:cols>
        </w:sectPr>
      </w:pPr>
    </w:p>
    <w:p>
      <w:pPr>
        <w:tabs>
          <w:tab w:pos="10109" w:val="right" w:leader="none"/>
        </w:tabs>
        <w:spacing w:before="59"/>
        <w:ind w:left="3388" w:right="0" w:firstLine="0"/>
        <w:jc w:val="left"/>
        <w:rPr>
          <w:sz w:val="19"/>
        </w:rPr>
      </w:pPr>
      <w:r>
        <w:rPr>
          <w:w w:val="145"/>
          <w:sz w:val="14"/>
        </w:rPr>
        <w:t>r</w:t>
      </w:r>
      <w:r>
        <w:rPr>
          <w:spacing w:val="-25"/>
          <w:w w:val="145"/>
          <w:sz w:val="14"/>
        </w:rPr>
        <w:t> </w:t>
      </w:r>
      <w:r>
        <w:rPr>
          <w:w w:val="115"/>
          <w:sz w:val="14"/>
        </w:rPr>
        <w:t>e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v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u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e</w:t>
      </w:r>
      <w:r>
        <w:rPr>
          <w:spacing w:val="32"/>
          <w:w w:val="115"/>
          <w:sz w:val="14"/>
        </w:rPr>
        <w:t> </w:t>
      </w:r>
      <w:r>
        <w:rPr>
          <w:w w:val="115"/>
          <w:sz w:val="14"/>
        </w:rPr>
        <w:t>n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e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u</w:t>
      </w:r>
      <w:r>
        <w:rPr>
          <w:spacing w:val="-15"/>
          <w:w w:val="115"/>
          <w:sz w:val="14"/>
        </w:rPr>
        <w:t> </w:t>
      </w:r>
      <w:r>
        <w:rPr>
          <w:w w:val="145"/>
          <w:sz w:val="14"/>
        </w:rPr>
        <w:t>r</w:t>
      </w:r>
      <w:r>
        <w:rPr>
          <w:spacing w:val="-25"/>
          <w:w w:val="145"/>
          <w:sz w:val="14"/>
        </w:rPr>
        <w:t> </w:t>
      </w:r>
      <w:r>
        <w:rPr>
          <w:w w:val="115"/>
          <w:sz w:val="14"/>
        </w:rPr>
        <w:t>o</w:t>
      </w:r>
      <w:r>
        <w:rPr>
          <w:spacing w:val="-15"/>
          <w:w w:val="115"/>
          <w:sz w:val="14"/>
        </w:rPr>
        <w:t> </w:t>
      </w:r>
      <w:r>
        <w:rPr>
          <w:w w:val="145"/>
          <w:sz w:val="14"/>
        </w:rPr>
        <w:t>l</w:t>
      </w:r>
      <w:r>
        <w:rPr>
          <w:spacing w:val="-24"/>
          <w:w w:val="145"/>
          <w:sz w:val="14"/>
        </w:rPr>
        <w:t> </w:t>
      </w:r>
      <w:r>
        <w:rPr>
          <w:w w:val="115"/>
          <w:sz w:val="14"/>
        </w:rPr>
        <w:t>o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g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i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q</w:t>
      </w:r>
      <w:r>
        <w:rPr>
          <w:spacing w:val="-16"/>
          <w:w w:val="115"/>
          <w:sz w:val="14"/>
        </w:rPr>
        <w:t> </w:t>
      </w:r>
      <w:r>
        <w:rPr>
          <w:w w:val="115"/>
          <w:sz w:val="14"/>
        </w:rPr>
        <w:t>u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e</w:t>
      </w:r>
      <w:r>
        <w:rPr>
          <w:spacing w:val="33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7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7</w:t>
      </w:r>
      <w:r>
        <w:rPr>
          <w:spacing w:val="32"/>
          <w:w w:val="115"/>
          <w:sz w:val="14"/>
        </w:rPr>
        <w:t> </w:t>
      </w:r>
      <w:r>
        <w:rPr>
          <w:w w:val="115"/>
          <w:sz w:val="14"/>
        </w:rPr>
        <w:t>(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2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0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2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)</w:t>
      </w:r>
      <w:r>
        <w:rPr>
          <w:spacing w:val="32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3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2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–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5</w:t>
      </w:r>
      <w:r>
        <w:rPr>
          <w:spacing w:val="-14"/>
          <w:w w:val="115"/>
          <w:sz w:val="14"/>
        </w:rPr>
        <w:t> </w:t>
      </w:r>
      <w:r>
        <w:rPr>
          <w:spacing w:val="-10"/>
          <w:w w:val="115"/>
          <w:sz w:val="14"/>
        </w:rPr>
        <w:t>7</w:t>
      </w:r>
      <w:r>
        <w:rPr>
          <w:sz w:val="14"/>
        </w:rPr>
        <w:tab/>
      </w:r>
      <w:r>
        <w:rPr>
          <w:spacing w:val="-5"/>
          <w:w w:val="115"/>
          <w:sz w:val="19"/>
        </w:rPr>
        <w:t>145</w:t>
      </w:r>
    </w:p>
    <w:p>
      <w:pPr>
        <w:pStyle w:val="BodyText"/>
        <w:spacing w:before="7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658799</wp:posOffset>
                </wp:positionH>
                <wp:positionV relativeFrom="paragraph">
                  <wp:posOffset>122166</wp:posOffset>
                </wp:positionV>
                <wp:extent cx="6301105" cy="381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300724" y="360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619418pt;width:496.12pt;height:.28351pt;mso-position-horizontal-relative:page;mso-position-vertical-relative:paragraph;z-index:-1572608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1523517</wp:posOffset>
            </wp:positionH>
            <wp:positionV relativeFrom="paragraph">
              <wp:posOffset>281875</wp:posOffset>
            </wp:positionV>
            <wp:extent cx="4572174" cy="2237231"/>
            <wp:effectExtent l="0" t="0" r="0" b="0"/>
            <wp:wrapTopAndBottom/>
            <wp:docPr id="7" name="Image 7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Image of Fig. 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174" cy="223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4"/>
      </w:pPr>
    </w:p>
    <w:p>
      <w:pPr>
        <w:pStyle w:val="BodyText"/>
        <w:spacing w:line="297" w:lineRule="auto"/>
        <w:ind w:left="187" w:right="199"/>
      </w:pPr>
      <w:r>
        <w:rPr>
          <w:w w:val="120"/>
        </w:rPr>
        <w:t>Fig. 1 – Asymmetric ptosis (a). Muscle atrophy (b). Pectus excavatum (funnel breast) (c). Muscle atrophy (d). Muscle biopsy</w:t>
      </w:r>
      <w:r>
        <w:rPr>
          <w:spacing w:val="40"/>
          <w:w w:val="120"/>
        </w:rPr>
        <w:t> </w:t>
      </w:r>
      <w:r>
        <w:rPr>
          <w:w w:val="120"/>
        </w:rPr>
        <w:t>revealed ragged red fibers (e).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658799</wp:posOffset>
                </wp:positionH>
                <wp:positionV relativeFrom="paragraph">
                  <wp:posOffset>115840</wp:posOffset>
                </wp:positionV>
                <wp:extent cx="6301105" cy="381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121269pt;width:496.12pt;height:.283450pt;mso-position-horizontal-relative:page;mso-position-vertical-relative:paragraph;z-index:-1572505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5880"/>
          <w:pgMar w:top="540" w:bottom="280" w:left="850" w:right="850"/>
        </w:sectPr>
      </w:pPr>
    </w:p>
    <w:p>
      <w:pPr>
        <w:pStyle w:val="BodyText"/>
        <w:spacing w:line="300" w:lineRule="auto" w:before="83"/>
        <w:ind w:left="187" w:right="38" w:firstLine="239"/>
        <w:jc w:val="both"/>
      </w:pPr>
      <w:r>
        <w:rPr>
          <w:w w:val="120"/>
        </w:rPr>
        <w:t>The</w:t>
      </w:r>
      <w:r>
        <w:rPr>
          <w:w w:val="120"/>
        </w:rPr>
        <w:t> first</w:t>
      </w:r>
      <w:r>
        <w:rPr>
          <w:w w:val="120"/>
        </w:rPr>
        <w:t> cases</w:t>
      </w:r>
      <w:r>
        <w:rPr>
          <w:w w:val="120"/>
        </w:rPr>
        <w:t> of</w:t>
      </w:r>
      <w:r>
        <w:rPr>
          <w:w w:val="120"/>
        </w:rPr>
        <w:t> SANDO</w:t>
      </w:r>
      <w:r>
        <w:rPr>
          <w:w w:val="120"/>
        </w:rPr>
        <w:t> were</w:t>
      </w:r>
      <w:r>
        <w:rPr>
          <w:w w:val="120"/>
        </w:rPr>
        <w:t> reported</w:t>
      </w:r>
      <w:r>
        <w:rPr>
          <w:w w:val="120"/>
        </w:rPr>
        <w:t> in</w:t>
      </w:r>
      <w:r>
        <w:rPr>
          <w:w w:val="120"/>
        </w:rPr>
        <w:t> 1997</w:t>
      </w:r>
      <w:r>
        <w:rPr>
          <w:w w:val="120"/>
        </w:rPr>
        <w:t> </w:t>
      </w:r>
      <w:hyperlink w:history="true" w:anchor="_bookmark1">
        <w:r>
          <w:rPr>
            <w:color w:val="00689C"/>
            <w:w w:val="120"/>
          </w:rPr>
          <w:t>[1]</w:t>
        </w:r>
      </w:hyperlink>
      <w:r>
        <w:rPr>
          <w:color w:val="00689C"/>
          <w:w w:val="120"/>
        </w:rPr>
        <w:t> </w:t>
      </w:r>
      <w:r>
        <w:rPr>
          <w:w w:val="120"/>
        </w:rPr>
        <w:t>to describe</w:t>
      </w:r>
      <w:r>
        <w:rPr>
          <w:w w:val="120"/>
        </w:rPr>
        <w:t> a</w:t>
      </w:r>
      <w:r>
        <w:rPr>
          <w:w w:val="120"/>
        </w:rPr>
        <w:t> novel</w:t>
      </w:r>
      <w:r>
        <w:rPr>
          <w:w w:val="120"/>
        </w:rPr>
        <w:t> mitochondrial</w:t>
      </w:r>
      <w:r>
        <w:rPr>
          <w:w w:val="120"/>
        </w:rPr>
        <w:t> disease</w:t>
      </w:r>
      <w:r>
        <w:rPr>
          <w:w w:val="120"/>
        </w:rPr>
        <w:t> associated</w:t>
      </w:r>
      <w:r>
        <w:rPr>
          <w:w w:val="120"/>
        </w:rPr>
        <w:t> with </w:t>
      </w:r>
      <w:bookmarkStart w:name="_bookmark1" w:id="5"/>
      <w:bookmarkEnd w:id="5"/>
      <w:r>
        <w:rPr>
          <w:w w:val="120"/>
        </w:rPr>
        <w:t>multiple</w:t>
      </w:r>
      <w:r>
        <w:rPr>
          <w:w w:val="120"/>
        </w:rPr>
        <w:t> mtDNA</w:t>
      </w:r>
      <w:r>
        <w:rPr>
          <w:w w:val="120"/>
        </w:rPr>
        <w:t> mutations</w:t>
      </w:r>
      <w:r>
        <w:rPr>
          <w:w w:val="120"/>
        </w:rPr>
        <w:t> in</w:t>
      </w:r>
      <w:r>
        <w:rPr>
          <w:w w:val="120"/>
        </w:rPr>
        <w:t> four</w:t>
      </w:r>
      <w:r>
        <w:rPr>
          <w:w w:val="120"/>
        </w:rPr>
        <w:t> unrelated</w:t>
      </w:r>
      <w:r>
        <w:rPr>
          <w:w w:val="120"/>
        </w:rPr>
        <w:t> patients</w:t>
      </w:r>
      <w:r>
        <w:rPr>
          <w:w w:val="120"/>
        </w:rPr>
        <w:t> who presented</w:t>
      </w:r>
      <w:r>
        <w:rPr>
          <w:w w:val="120"/>
        </w:rPr>
        <w:t> with</w:t>
      </w:r>
      <w:r>
        <w:rPr>
          <w:w w:val="120"/>
        </w:rPr>
        <w:t> sensory</w:t>
      </w:r>
      <w:r>
        <w:rPr>
          <w:w w:val="120"/>
        </w:rPr>
        <w:t> ataxic</w:t>
      </w:r>
      <w:r>
        <w:rPr>
          <w:w w:val="120"/>
        </w:rPr>
        <w:t> neuropathy,</w:t>
      </w:r>
      <w:r>
        <w:rPr>
          <w:w w:val="120"/>
        </w:rPr>
        <w:t> dysarthria</w:t>
      </w:r>
      <w:r>
        <w:rPr>
          <w:w w:val="120"/>
        </w:rPr>
        <w:t> and ophthalmoplegia</w:t>
      </w:r>
      <w:r>
        <w:rPr>
          <w:spacing w:val="-8"/>
          <w:w w:val="120"/>
        </w:rPr>
        <w:t> </w:t>
      </w:r>
      <w:hyperlink w:history="true" w:anchor="_bookmark1">
        <w:r>
          <w:rPr>
            <w:color w:val="00689C"/>
            <w:w w:val="120"/>
          </w:rPr>
          <w:t>[1]</w:t>
        </w:r>
      </w:hyperlink>
      <w:r>
        <w:rPr>
          <w:w w:val="120"/>
        </w:rPr>
        <w:t>.</w:t>
      </w:r>
      <w:r>
        <w:rPr>
          <w:spacing w:val="-8"/>
          <w:w w:val="120"/>
        </w:rPr>
        <w:t> </w:t>
      </w:r>
      <w:r>
        <w:rPr>
          <w:w w:val="120"/>
        </w:rPr>
        <w:t>Since</w:t>
      </w:r>
      <w:r>
        <w:rPr>
          <w:spacing w:val="-8"/>
          <w:w w:val="120"/>
        </w:rPr>
        <w:t> </w:t>
      </w:r>
      <w:r>
        <w:rPr>
          <w:w w:val="120"/>
        </w:rPr>
        <w:t>then</w:t>
      </w:r>
      <w:r>
        <w:rPr>
          <w:spacing w:val="-7"/>
          <w:w w:val="120"/>
        </w:rPr>
        <w:t> </w:t>
      </w:r>
      <w:r>
        <w:rPr>
          <w:w w:val="120"/>
        </w:rPr>
        <w:t>few</w:t>
      </w:r>
      <w:r>
        <w:rPr>
          <w:spacing w:val="-8"/>
          <w:w w:val="120"/>
        </w:rPr>
        <w:t> </w:t>
      </w:r>
      <w:r>
        <w:rPr>
          <w:w w:val="120"/>
        </w:rPr>
        <w:t>cases</w:t>
      </w:r>
      <w:r>
        <w:rPr>
          <w:spacing w:val="-8"/>
          <w:w w:val="120"/>
        </w:rPr>
        <w:t> </w:t>
      </w:r>
      <w:r>
        <w:rPr>
          <w:w w:val="120"/>
        </w:rPr>
        <w:t>have</w:t>
      </w:r>
      <w:r>
        <w:rPr>
          <w:spacing w:val="-9"/>
          <w:w w:val="120"/>
        </w:rPr>
        <w:t> </w:t>
      </w:r>
      <w:r>
        <w:rPr>
          <w:w w:val="120"/>
        </w:rPr>
        <w:t>been</w:t>
      </w:r>
      <w:r>
        <w:rPr>
          <w:spacing w:val="-8"/>
          <w:w w:val="120"/>
        </w:rPr>
        <w:t> </w:t>
      </w:r>
      <w:r>
        <w:rPr>
          <w:w w:val="120"/>
        </w:rPr>
        <w:t>reported. We present the first case of a Moroccan patient with different </w:t>
      </w:r>
      <w:bookmarkStart w:name="_bookmark2" w:id="6"/>
      <w:bookmarkEnd w:id="6"/>
      <w:r>
        <w:rPr>
          <w:w w:val="120"/>
        </w:rPr>
        <w:t>clinical</w:t>
      </w:r>
      <w:r>
        <w:rPr>
          <w:w w:val="120"/>
        </w:rPr>
        <w:t> features</w:t>
      </w:r>
      <w:r>
        <w:rPr>
          <w:w w:val="120"/>
        </w:rPr>
        <w:t> of</w:t>
      </w:r>
      <w:r>
        <w:rPr>
          <w:w w:val="120"/>
        </w:rPr>
        <w:t> ‘‘SMANDO’’</w:t>
      </w:r>
      <w:r>
        <w:rPr>
          <w:w w:val="120"/>
        </w:rPr>
        <w:t> syndrome</w:t>
      </w:r>
      <w:r>
        <w:rPr>
          <w:w w:val="120"/>
        </w:rPr>
        <w:t> (Sensory</w:t>
      </w:r>
      <w:r>
        <w:rPr>
          <w:w w:val="120"/>
        </w:rPr>
        <w:t> Motor </w:t>
      </w:r>
      <w:bookmarkStart w:name="Disclosure of interest" w:id="7"/>
      <w:bookmarkEnd w:id="7"/>
      <w:r>
        <w:rPr>
          <w:w w:val="120"/>
        </w:rPr>
        <w:t>Ataxic</w:t>
      </w:r>
      <w:r>
        <w:rPr>
          <w:w w:val="120"/>
        </w:rPr>
        <w:t> Neuropathy</w:t>
      </w:r>
      <w:r>
        <w:rPr>
          <w:w w:val="120"/>
        </w:rPr>
        <w:t> ‘‘CMT</w:t>
      </w:r>
      <w:r>
        <w:rPr>
          <w:spacing w:val="-1"/>
          <w:w w:val="120"/>
        </w:rPr>
        <w:t> </w:t>
      </w:r>
      <w:r>
        <w:rPr>
          <w:w w:val="120"/>
        </w:rPr>
        <w:t>like’’</w:t>
      </w:r>
      <w:r>
        <w:rPr>
          <w:w w:val="120"/>
        </w:rPr>
        <w:t> Phenotype</w:t>
      </w:r>
      <w:r>
        <w:rPr>
          <w:w w:val="120"/>
        </w:rPr>
        <w:t> associated</w:t>
      </w:r>
      <w:r>
        <w:rPr>
          <w:w w:val="120"/>
        </w:rPr>
        <w:t> dysar- thria</w:t>
      </w:r>
      <w:r>
        <w:rPr>
          <w:w w:val="120"/>
        </w:rPr>
        <w:t> and</w:t>
      </w:r>
      <w:r>
        <w:rPr>
          <w:w w:val="120"/>
        </w:rPr>
        <w:t> Ophthalmoplegia)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a</w:t>
      </w:r>
      <w:r>
        <w:rPr>
          <w:w w:val="120"/>
        </w:rPr>
        <w:t> new</w:t>
      </w:r>
      <w:r>
        <w:rPr>
          <w:w w:val="120"/>
        </w:rPr>
        <w:t> POLG</w:t>
      </w:r>
      <w:r>
        <w:rPr>
          <w:w w:val="120"/>
        </w:rPr>
        <w:t> gene homozygote</w:t>
      </w:r>
      <w:r>
        <w:rPr>
          <w:w w:val="120"/>
        </w:rPr>
        <w:t> mutation</w:t>
      </w:r>
      <w:r>
        <w:rPr>
          <w:w w:val="120"/>
        </w:rPr>
        <w:t> that</w:t>
      </w:r>
      <w:r>
        <w:rPr>
          <w:w w:val="120"/>
        </w:rPr>
        <w:t> illustrates</w:t>
      </w:r>
      <w:r>
        <w:rPr>
          <w:w w:val="120"/>
        </w:rPr>
        <w:t> the</w:t>
      </w:r>
      <w:r>
        <w:rPr>
          <w:w w:val="120"/>
        </w:rPr>
        <w:t> phenotypic</w:t>
      </w:r>
      <w:r>
        <w:rPr>
          <w:w w:val="120"/>
        </w:rPr>
        <w:t> varia- bility and difficult diagnosis of this syndrome. The pathophy- siology</w:t>
      </w:r>
      <w:r>
        <w:rPr>
          <w:w w:val="120"/>
        </w:rPr>
        <w:t> of</w:t>
      </w:r>
      <w:r>
        <w:rPr>
          <w:w w:val="120"/>
        </w:rPr>
        <w:t> SANDO</w:t>
      </w:r>
      <w:r>
        <w:rPr>
          <w:w w:val="120"/>
        </w:rPr>
        <w:t> most</w:t>
      </w:r>
      <w:r>
        <w:rPr>
          <w:w w:val="120"/>
        </w:rPr>
        <w:t> often</w:t>
      </w:r>
      <w:r>
        <w:rPr>
          <w:w w:val="120"/>
        </w:rPr>
        <w:t> results</w:t>
      </w:r>
      <w:r>
        <w:rPr>
          <w:w w:val="120"/>
        </w:rPr>
        <w:t> from</w:t>
      </w:r>
      <w:r>
        <w:rPr>
          <w:w w:val="120"/>
        </w:rPr>
        <w:t> mutations</w:t>
      </w:r>
      <w:r>
        <w:rPr>
          <w:w w:val="120"/>
        </w:rPr>
        <w:t> in</w:t>
      </w:r>
      <w:r>
        <w:rPr>
          <w:w w:val="120"/>
        </w:rPr>
        <w:t> the </w:t>
      </w:r>
      <w:bookmarkStart w:name="_bookmark3" w:id="8"/>
      <w:bookmarkEnd w:id="8"/>
      <w:r>
        <w:rPr>
          <w:w w:val="115"/>
        </w:rPr>
        <w:t>POLG1</w:t>
      </w:r>
      <w:r>
        <w:rPr>
          <w:spacing w:val="-12"/>
          <w:w w:val="115"/>
        </w:rPr>
        <w:t> </w:t>
      </w:r>
      <w:r>
        <w:rPr>
          <w:w w:val="115"/>
        </w:rPr>
        <w:t>gene</w:t>
      </w:r>
      <w:r>
        <w:rPr>
          <w:spacing w:val="-11"/>
          <w:w w:val="115"/>
        </w:rPr>
        <w:t> </w:t>
      </w:r>
      <w:hyperlink w:history="true" w:anchor="_bookmark2">
        <w:r>
          <w:rPr>
            <w:color w:val="00689C"/>
            <w:w w:val="115"/>
          </w:rPr>
          <w:t>[2]</w:t>
        </w:r>
      </w:hyperlink>
      <w:r>
        <w:rPr>
          <w:w w:val="115"/>
        </w:rPr>
        <w:t>.</w:t>
      </w:r>
      <w:r>
        <w:rPr>
          <w:spacing w:val="-12"/>
          <w:w w:val="115"/>
        </w:rPr>
        <w:t> </w:t>
      </w:r>
      <w:r>
        <w:rPr>
          <w:w w:val="115"/>
        </w:rPr>
        <w:t>POLG1</w:t>
      </w:r>
      <w:r>
        <w:rPr>
          <w:spacing w:val="-11"/>
          <w:w w:val="115"/>
        </w:rPr>
        <w:t> </w:t>
      </w:r>
      <w:r>
        <w:rPr>
          <w:w w:val="115"/>
        </w:rPr>
        <w:t>usually</w:t>
      </w:r>
      <w:r>
        <w:rPr>
          <w:spacing w:val="-12"/>
          <w:w w:val="115"/>
        </w:rPr>
        <w:t> </w:t>
      </w:r>
      <w:r>
        <w:rPr>
          <w:w w:val="115"/>
        </w:rPr>
        <w:t>encodes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DNA</w:t>
      </w:r>
      <w:r>
        <w:rPr>
          <w:spacing w:val="-11"/>
          <w:w w:val="115"/>
        </w:rPr>
        <w:t> </w:t>
      </w:r>
      <w:r>
        <w:rPr>
          <w:w w:val="115"/>
        </w:rPr>
        <w:t>polymerase-g </w:t>
      </w:r>
      <w:r>
        <w:rPr>
          <w:w w:val="120"/>
        </w:rPr>
        <w:t>which</w:t>
      </w:r>
      <w:r>
        <w:rPr>
          <w:w w:val="120"/>
        </w:rPr>
        <w:t> is</w:t>
      </w:r>
      <w:r>
        <w:rPr>
          <w:w w:val="120"/>
        </w:rPr>
        <w:t> important</w:t>
      </w:r>
      <w:r>
        <w:rPr>
          <w:w w:val="120"/>
        </w:rPr>
        <w:t> in</w:t>
      </w:r>
      <w:r>
        <w:rPr>
          <w:w w:val="120"/>
        </w:rPr>
        <w:t> mitochondrial</w:t>
      </w:r>
      <w:r>
        <w:rPr>
          <w:w w:val="120"/>
        </w:rPr>
        <w:t> DNA</w:t>
      </w:r>
      <w:r>
        <w:rPr>
          <w:w w:val="120"/>
        </w:rPr>
        <w:t> (mtDNA)</w:t>
      </w:r>
      <w:r>
        <w:rPr>
          <w:w w:val="120"/>
        </w:rPr>
        <w:t> replica- </w:t>
      </w:r>
      <w:bookmarkStart w:name="References" w:id="9"/>
      <w:bookmarkEnd w:id="9"/>
      <w:r>
        <w:rPr>
          <w:w w:val="120"/>
        </w:rPr>
        <w:t>tion.</w:t>
      </w:r>
      <w:r>
        <w:rPr>
          <w:w w:val="120"/>
        </w:rPr>
        <w:t> There</w:t>
      </w:r>
      <w:r>
        <w:rPr>
          <w:w w:val="120"/>
        </w:rPr>
        <w:t> are</w:t>
      </w:r>
      <w:r>
        <w:rPr>
          <w:w w:val="120"/>
        </w:rPr>
        <w:t> now</w:t>
      </w:r>
      <w:r>
        <w:rPr>
          <w:w w:val="120"/>
        </w:rPr>
        <w:t> over</w:t>
      </w:r>
      <w:r>
        <w:rPr>
          <w:w w:val="120"/>
        </w:rPr>
        <w:t> 150</w:t>
      </w:r>
      <w:r>
        <w:rPr>
          <w:w w:val="120"/>
        </w:rPr>
        <w:t> POLG1</w:t>
      </w:r>
      <w:r>
        <w:rPr>
          <w:w w:val="120"/>
        </w:rPr>
        <w:t> mutations</w:t>
      </w:r>
      <w:r>
        <w:rPr>
          <w:w w:val="120"/>
        </w:rPr>
        <w:t> known</w:t>
      </w:r>
      <w:r>
        <w:rPr>
          <w:w w:val="120"/>
        </w:rPr>
        <w:t> and collectively</w:t>
      </w:r>
      <w:r>
        <w:rPr>
          <w:w w:val="120"/>
        </w:rPr>
        <w:t> these</w:t>
      </w:r>
      <w:r>
        <w:rPr>
          <w:w w:val="120"/>
        </w:rPr>
        <w:t> mutations</w:t>
      </w:r>
      <w:r>
        <w:rPr>
          <w:w w:val="120"/>
        </w:rPr>
        <w:t> result</w:t>
      </w:r>
      <w:r>
        <w:rPr>
          <w:w w:val="120"/>
        </w:rPr>
        <w:t> in</w:t>
      </w:r>
      <w:r>
        <w:rPr>
          <w:w w:val="120"/>
        </w:rPr>
        <w:t> errors</w:t>
      </w:r>
      <w:r>
        <w:rPr>
          <w:w w:val="120"/>
        </w:rPr>
        <w:t> in</w:t>
      </w:r>
      <w:r>
        <w:rPr>
          <w:w w:val="120"/>
        </w:rPr>
        <w:t> mtDNA</w:t>
      </w:r>
      <w:r>
        <w:rPr>
          <w:w w:val="120"/>
        </w:rPr>
        <w:t> </w:t>
      </w:r>
      <w:hyperlink w:history="true" w:anchor="_bookmark2">
        <w:r>
          <w:rPr>
            <w:color w:val="00689C"/>
            <w:w w:val="120"/>
          </w:rPr>
          <w:t>[2,3]</w:t>
        </w:r>
      </w:hyperlink>
      <w:r>
        <w:rPr>
          <w:w w:val="120"/>
        </w:rPr>
        <w:t>. These</w:t>
      </w:r>
      <w:r>
        <w:rPr>
          <w:w w:val="120"/>
        </w:rPr>
        <w:t> errors accumulate</w:t>
      </w:r>
      <w:r>
        <w:rPr>
          <w:w w:val="120"/>
        </w:rPr>
        <w:t> and</w:t>
      </w:r>
      <w:r>
        <w:rPr>
          <w:w w:val="120"/>
        </w:rPr>
        <w:t> cause</w:t>
      </w:r>
      <w:r>
        <w:rPr>
          <w:w w:val="120"/>
        </w:rPr>
        <w:t> dysfunction in</w:t>
      </w:r>
      <w:r>
        <w:rPr>
          <w:w w:val="120"/>
        </w:rPr>
        <w:t> the respiratory</w:t>
      </w:r>
      <w:r>
        <w:rPr>
          <w:w w:val="120"/>
        </w:rPr>
        <w:t> chain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oxidative-phosphorylation</w:t>
      </w:r>
      <w:r>
        <w:rPr>
          <w:w w:val="120"/>
        </w:rPr>
        <w:t> pathway leading</w:t>
      </w:r>
      <w:r>
        <w:rPr>
          <w:w w:val="120"/>
        </w:rPr>
        <w:t> to</w:t>
      </w:r>
      <w:r>
        <w:rPr>
          <w:w w:val="120"/>
        </w:rPr>
        <w:t> clinical</w:t>
      </w:r>
      <w:r>
        <w:rPr>
          <w:w w:val="120"/>
        </w:rPr>
        <w:t> symptoms</w:t>
      </w:r>
      <w:r>
        <w:rPr>
          <w:w w:val="120"/>
        </w:rPr>
        <w:t> and</w:t>
      </w:r>
      <w:r>
        <w:rPr>
          <w:w w:val="120"/>
        </w:rPr>
        <w:t> findings.</w:t>
      </w:r>
      <w:r>
        <w:rPr>
          <w:w w:val="120"/>
        </w:rPr>
        <w:t> SANDO</w:t>
      </w:r>
      <w:r>
        <w:rPr>
          <w:w w:val="120"/>
        </w:rPr>
        <w:t> can</w:t>
      </w:r>
      <w:r>
        <w:rPr>
          <w:w w:val="120"/>
        </w:rPr>
        <w:t> be either</w:t>
      </w:r>
      <w:r>
        <w:rPr>
          <w:w w:val="120"/>
        </w:rPr>
        <w:t> an</w:t>
      </w:r>
      <w:r>
        <w:rPr>
          <w:w w:val="120"/>
        </w:rPr>
        <w:t> autosomal</w:t>
      </w:r>
      <w:r>
        <w:rPr>
          <w:w w:val="120"/>
        </w:rPr>
        <w:t> recessive</w:t>
      </w:r>
      <w:r>
        <w:rPr>
          <w:w w:val="120"/>
        </w:rPr>
        <w:t> or</w:t>
      </w:r>
      <w:r>
        <w:rPr>
          <w:w w:val="120"/>
        </w:rPr>
        <w:t> de</w:t>
      </w:r>
      <w:r>
        <w:rPr>
          <w:w w:val="120"/>
        </w:rPr>
        <w:t> novo</w:t>
      </w:r>
      <w:r>
        <w:rPr>
          <w:w w:val="120"/>
        </w:rPr>
        <w:t> mutation,</w:t>
      </w:r>
      <w:r>
        <w:rPr>
          <w:w w:val="120"/>
        </w:rPr>
        <w:t> rarely reported</w:t>
      </w:r>
      <w:r>
        <w:rPr>
          <w:spacing w:val="-6"/>
          <w:w w:val="120"/>
        </w:rPr>
        <w:t> </w:t>
      </w:r>
      <w:r>
        <w:rPr>
          <w:w w:val="120"/>
        </w:rPr>
        <w:t>as</w:t>
      </w:r>
      <w:r>
        <w:rPr>
          <w:spacing w:val="-4"/>
          <w:w w:val="120"/>
        </w:rPr>
        <w:t> </w:t>
      </w:r>
      <w:r>
        <w:rPr>
          <w:w w:val="120"/>
        </w:rPr>
        <w:t>autosomal</w:t>
      </w:r>
      <w:r>
        <w:rPr>
          <w:spacing w:val="-3"/>
          <w:w w:val="120"/>
        </w:rPr>
        <w:t> </w:t>
      </w:r>
      <w:r>
        <w:rPr>
          <w:w w:val="120"/>
        </w:rPr>
        <w:t>dominant.</w:t>
      </w:r>
      <w:r>
        <w:rPr>
          <w:spacing w:val="-3"/>
          <w:w w:val="120"/>
        </w:rPr>
        <w:t> </w:t>
      </w:r>
      <w:r>
        <w:rPr>
          <w:w w:val="120"/>
        </w:rPr>
        <w:t>There</w:t>
      </w:r>
      <w:r>
        <w:rPr>
          <w:spacing w:val="-3"/>
          <w:w w:val="120"/>
        </w:rPr>
        <w:t> </w:t>
      </w:r>
      <w:r>
        <w:rPr>
          <w:w w:val="120"/>
        </w:rPr>
        <w:t>is</w:t>
      </w:r>
      <w:r>
        <w:rPr>
          <w:spacing w:val="-4"/>
          <w:w w:val="120"/>
        </w:rPr>
        <w:t> </w:t>
      </w:r>
      <w:r>
        <w:rPr>
          <w:w w:val="120"/>
        </w:rPr>
        <w:t>a</w:t>
      </w:r>
      <w:r>
        <w:rPr>
          <w:spacing w:val="-3"/>
          <w:w w:val="120"/>
        </w:rPr>
        <w:t> </w:t>
      </w:r>
      <w:r>
        <w:rPr>
          <w:w w:val="120"/>
        </w:rPr>
        <w:t>wide</w:t>
      </w:r>
      <w:r>
        <w:rPr>
          <w:spacing w:val="-3"/>
          <w:w w:val="120"/>
        </w:rPr>
        <w:t> </w:t>
      </w:r>
      <w:r>
        <w:rPr>
          <w:w w:val="120"/>
        </w:rPr>
        <w:t>phenotypical variation</w:t>
      </w:r>
      <w:r>
        <w:rPr>
          <w:w w:val="120"/>
        </w:rPr>
        <w:t> making</w:t>
      </w:r>
      <w:r>
        <w:rPr>
          <w:w w:val="120"/>
        </w:rPr>
        <w:t> diagnosis</w:t>
      </w:r>
      <w:r>
        <w:rPr>
          <w:w w:val="120"/>
        </w:rPr>
        <w:t> difficult,</w:t>
      </w:r>
      <w:r>
        <w:rPr>
          <w:w w:val="120"/>
        </w:rPr>
        <w:t> as</w:t>
      </w:r>
      <w:r>
        <w:rPr>
          <w:w w:val="120"/>
        </w:rPr>
        <w:t> was</w:t>
      </w:r>
      <w:r>
        <w:rPr>
          <w:w w:val="120"/>
        </w:rPr>
        <w:t> the</w:t>
      </w:r>
      <w:r>
        <w:rPr>
          <w:w w:val="120"/>
        </w:rPr>
        <w:t> case</w:t>
      </w:r>
      <w:r>
        <w:rPr>
          <w:w w:val="120"/>
        </w:rPr>
        <w:t> in</w:t>
      </w:r>
      <w:r>
        <w:rPr>
          <w:w w:val="120"/>
        </w:rPr>
        <w:t> our patient who</w:t>
      </w:r>
      <w:r>
        <w:rPr>
          <w:w w:val="120"/>
        </w:rPr>
        <w:t> had</w:t>
      </w:r>
      <w:r>
        <w:rPr>
          <w:w w:val="120"/>
        </w:rPr>
        <w:t> a</w:t>
      </w:r>
      <w:r>
        <w:rPr>
          <w:w w:val="120"/>
        </w:rPr>
        <w:t> typical manifestation</w:t>
      </w:r>
      <w:r>
        <w:rPr>
          <w:w w:val="120"/>
        </w:rPr>
        <w:t> of SANDO, with</w:t>
      </w:r>
      <w:r>
        <w:rPr>
          <w:w w:val="120"/>
        </w:rPr>
        <w:t> an important atrophy involving mainly the distal muscles.</w:t>
      </w:r>
    </w:p>
    <w:p>
      <w:pPr>
        <w:pStyle w:val="BodyText"/>
        <w:spacing w:line="164" w:lineRule="exact"/>
        <w:ind w:left="426"/>
        <w:jc w:val="both"/>
      </w:pPr>
      <w:r>
        <w:rPr>
          <w:w w:val="120"/>
        </w:rPr>
        <w:t>There</w:t>
      </w:r>
      <w:r>
        <w:rPr>
          <w:spacing w:val="72"/>
          <w:w w:val="120"/>
        </w:rPr>
        <w:t> </w:t>
      </w:r>
      <w:r>
        <w:rPr>
          <w:w w:val="120"/>
        </w:rPr>
        <w:t>is</w:t>
      </w:r>
      <w:r>
        <w:rPr>
          <w:spacing w:val="75"/>
          <w:w w:val="120"/>
        </w:rPr>
        <w:t> </w:t>
      </w:r>
      <w:r>
        <w:rPr>
          <w:w w:val="120"/>
        </w:rPr>
        <w:t>considerable</w:t>
      </w:r>
      <w:r>
        <w:rPr>
          <w:spacing w:val="75"/>
          <w:w w:val="120"/>
        </w:rPr>
        <w:t> </w:t>
      </w:r>
      <w:r>
        <w:rPr>
          <w:w w:val="120"/>
        </w:rPr>
        <w:t>variability</w:t>
      </w:r>
      <w:r>
        <w:rPr>
          <w:spacing w:val="74"/>
          <w:w w:val="120"/>
        </w:rPr>
        <w:t> </w:t>
      </w:r>
      <w:r>
        <w:rPr>
          <w:w w:val="120"/>
        </w:rPr>
        <w:t>in</w:t>
      </w:r>
      <w:r>
        <w:rPr>
          <w:spacing w:val="75"/>
          <w:w w:val="120"/>
        </w:rPr>
        <w:t> </w:t>
      </w:r>
      <w:r>
        <w:rPr>
          <w:w w:val="120"/>
        </w:rPr>
        <w:t>the</w:t>
      </w:r>
      <w:r>
        <w:rPr>
          <w:spacing w:val="73"/>
          <w:w w:val="120"/>
        </w:rPr>
        <w:t> </w:t>
      </w:r>
      <w:r>
        <w:rPr>
          <w:w w:val="120"/>
        </w:rPr>
        <w:t>phenotype</w:t>
      </w:r>
      <w:r>
        <w:rPr>
          <w:spacing w:val="73"/>
          <w:w w:val="120"/>
        </w:rPr>
        <w:t> </w:t>
      </w:r>
      <w:r>
        <w:rPr>
          <w:spacing w:val="-5"/>
          <w:w w:val="120"/>
        </w:rPr>
        <w:t>of</w:t>
      </w:r>
    </w:p>
    <w:p>
      <w:pPr>
        <w:pStyle w:val="BodyText"/>
        <w:spacing w:line="300" w:lineRule="auto" w:before="45"/>
        <w:ind w:left="187" w:right="38"/>
        <w:jc w:val="both"/>
      </w:pPr>
      <w:r>
        <w:rPr>
          <w:w w:val="120"/>
        </w:rPr>
        <w:t>mitochondrial</w:t>
      </w:r>
      <w:r>
        <w:rPr>
          <w:w w:val="120"/>
        </w:rPr>
        <w:t> disease</w:t>
      </w:r>
      <w:r>
        <w:rPr>
          <w:w w:val="120"/>
        </w:rPr>
        <w:t> making</w:t>
      </w:r>
      <w:r>
        <w:rPr>
          <w:w w:val="120"/>
        </w:rPr>
        <w:t> the</w:t>
      </w:r>
      <w:r>
        <w:rPr>
          <w:w w:val="120"/>
        </w:rPr>
        <w:t> diagnosis</w:t>
      </w:r>
      <w:r>
        <w:rPr>
          <w:w w:val="120"/>
        </w:rPr>
        <w:t> between</w:t>
      </w:r>
      <w:r>
        <w:rPr>
          <w:w w:val="120"/>
        </w:rPr>
        <w:t> </w:t>
      </w:r>
      <w:r>
        <w:rPr>
          <w:w w:val="120"/>
        </w:rPr>
        <w:t>diffe- </w:t>
      </w:r>
      <w:r>
        <w:rPr>
          <w:w w:val="115"/>
        </w:rPr>
        <w:t>rent</w:t>
      </w:r>
      <w:r>
        <w:rPr>
          <w:spacing w:val="-3"/>
          <w:w w:val="115"/>
        </w:rPr>
        <w:t> </w:t>
      </w:r>
      <w:r>
        <w:rPr>
          <w:w w:val="115"/>
        </w:rPr>
        <w:t>syndromes</w:t>
      </w:r>
      <w:r>
        <w:rPr>
          <w:spacing w:val="-3"/>
          <w:w w:val="115"/>
        </w:rPr>
        <w:t> </w:t>
      </w:r>
      <w:r>
        <w:rPr>
          <w:w w:val="115"/>
        </w:rPr>
        <w:t>difficult</w:t>
      </w:r>
      <w:r>
        <w:rPr>
          <w:spacing w:val="-6"/>
          <w:w w:val="115"/>
        </w:rPr>
        <w:t> </w:t>
      </w:r>
      <w:hyperlink w:history="true" w:anchor="_bookmark3">
        <w:r>
          <w:rPr>
            <w:color w:val="00689C"/>
            <w:w w:val="115"/>
          </w:rPr>
          <w:t>[4,5]</w:t>
        </w:r>
      </w:hyperlink>
      <w:r>
        <w:rPr>
          <w:w w:val="115"/>
        </w:rPr>
        <w:t>.</w:t>
      </w:r>
      <w:r>
        <w:rPr>
          <w:spacing w:val="-2"/>
          <w:w w:val="115"/>
        </w:rPr>
        <w:t> </w:t>
      </w:r>
      <w:r>
        <w:rPr>
          <w:w w:val="115"/>
        </w:rPr>
        <w:t>Mutations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POLG</w:t>
      </w:r>
      <w:r>
        <w:rPr>
          <w:spacing w:val="-5"/>
          <w:w w:val="115"/>
        </w:rPr>
        <w:t> </w:t>
      </w:r>
      <w:r>
        <w:rPr>
          <w:w w:val="115"/>
        </w:rPr>
        <w:t>gene</w:t>
      </w:r>
      <w:r>
        <w:rPr>
          <w:spacing w:val="-6"/>
          <w:w w:val="115"/>
        </w:rPr>
        <w:t> </w:t>
      </w:r>
      <w:r>
        <w:rPr>
          <w:w w:val="115"/>
        </w:rPr>
        <w:t>have </w:t>
      </w:r>
      <w:r>
        <w:rPr>
          <w:w w:val="120"/>
        </w:rPr>
        <w:t>emerged and they are responsible for a heterogeneous group of multiple syndromes (Alpers syndrome, Ataxia Neuropathy Spectrum</w:t>
      </w:r>
      <w:r>
        <w:rPr>
          <w:w w:val="120"/>
        </w:rPr>
        <w:t> disorders,</w:t>
      </w:r>
      <w:r>
        <w:rPr>
          <w:w w:val="120"/>
        </w:rPr>
        <w:t> Myoclonus</w:t>
      </w:r>
      <w:r>
        <w:rPr>
          <w:w w:val="120"/>
        </w:rPr>
        <w:t> Epilepsy</w:t>
      </w:r>
      <w:r>
        <w:rPr>
          <w:w w:val="120"/>
        </w:rPr>
        <w:t> Myopathy</w:t>
      </w:r>
      <w:r>
        <w:rPr>
          <w:w w:val="120"/>
        </w:rPr>
        <w:t> Sensory Ataxia,</w:t>
      </w:r>
      <w:r>
        <w:rPr>
          <w:spacing w:val="-4"/>
          <w:w w:val="120"/>
        </w:rPr>
        <w:t> </w:t>
      </w:r>
      <w:r>
        <w:rPr>
          <w:w w:val="120"/>
        </w:rPr>
        <w:t>autosomal</w:t>
      </w:r>
      <w:r>
        <w:rPr>
          <w:spacing w:val="-5"/>
          <w:w w:val="120"/>
        </w:rPr>
        <w:t> </w:t>
      </w:r>
      <w:r>
        <w:rPr>
          <w:w w:val="120"/>
        </w:rPr>
        <w:t>recessive</w:t>
      </w:r>
      <w:r>
        <w:rPr>
          <w:spacing w:val="-6"/>
          <w:w w:val="120"/>
        </w:rPr>
        <w:t> </w:t>
      </w:r>
      <w:r>
        <w:rPr>
          <w:w w:val="120"/>
        </w:rPr>
        <w:t>Progressive</w:t>
      </w:r>
      <w:r>
        <w:rPr>
          <w:spacing w:val="-5"/>
          <w:w w:val="120"/>
        </w:rPr>
        <w:t> </w:t>
      </w:r>
      <w:r>
        <w:rPr>
          <w:w w:val="120"/>
        </w:rPr>
        <w:t>External</w:t>
      </w:r>
      <w:r>
        <w:rPr>
          <w:spacing w:val="-4"/>
          <w:w w:val="120"/>
        </w:rPr>
        <w:t> </w:t>
      </w:r>
      <w:r>
        <w:rPr>
          <w:w w:val="120"/>
        </w:rPr>
        <w:t>Ophthalmo- plegia</w:t>
      </w:r>
      <w:r>
        <w:rPr>
          <w:w w:val="120"/>
        </w:rPr>
        <w:t> and</w:t>
      </w:r>
      <w:r>
        <w:rPr>
          <w:w w:val="120"/>
        </w:rPr>
        <w:t> autosomal</w:t>
      </w:r>
      <w:r>
        <w:rPr>
          <w:w w:val="120"/>
        </w:rPr>
        <w:t> dominant</w:t>
      </w:r>
      <w:r>
        <w:rPr>
          <w:w w:val="120"/>
        </w:rPr>
        <w:t> Progressive</w:t>
      </w:r>
      <w:r>
        <w:rPr>
          <w:w w:val="120"/>
        </w:rPr>
        <w:t> External</w:t>
      </w:r>
      <w:r>
        <w:rPr>
          <w:w w:val="120"/>
        </w:rPr>
        <w:t> Oph- thalmoplegia)</w:t>
      </w:r>
      <w:r>
        <w:rPr>
          <w:spacing w:val="-10"/>
          <w:w w:val="120"/>
        </w:rPr>
        <w:t> </w:t>
      </w:r>
      <w:hyperlink w:history="true" w:anchor="_bookmark4">
        <w:r>
          <w:rPr>
            <w:color w:val="00689C"/>
            <w:w w:val="120"/>
          </w:rPr>
          <w:t>[6]</w:t>
        </w:r>
      </w:hyperlink>
      <w:r>
        <w:rPr>
          <w:w w:val="120"/>
        </w:rPr>
        <w:t>.</w:t>
      </w:r>
      <w:r>
        <w:rPr>
          <w:spacing w:val="-10"/>
          <w:w w:val="120"/>
        </w:rPr>
        <w:t> </w:t>
      </w:r>
      <w:r>
        <w:rPr>
          <w:w w:val="120"/>
        </w:rPr>
        <w:t>There</w:t>
      </w:r>
      <w:r>
        <w:rPr>
          <w:spacing w:val="-10"/>
          <w:w w:val="120"/>
        </w:rPr>
        <w:t> </w:t>
      </w:r>
      <w:r>
        <w:rPr>
          <w:w w:val="120"/>
        </w:rPr>
        <w:t>has</w:t>
      </w:r>
      <w:r>
        <w:rPr>
          <w:spacing w:val="-11"/>
          <w:w w:val="120"/>
        </w:rPr>
        <w:t> </w:t>
      </w:r>
      <w:r>
        <w:rPr>
          <w:w w:val="120"/>
        </w:rPr>
        <w:t>been</w:t>
      </w:r>
      <w:r>
        <w:rPr>
          <w:spacing w:val="-11"/>
          <w:w w:val="120"/>
        </w:rPr>
        <w:t> </w:t>
      </w:r>
      <w:r>
        <w:rPr>
          <w:w w:val="120"/>
        </w:rPr>
        <w:t>no</w:t>
      </w:r>
      <w:r>
        <w:rPr>
          <w:spacing w:val="-9"/>
          <w:w w:val="120"/>
        </w:rPr>
        <w:t> </w:t>
      </w:r>
      <w:r>
        <w:rPr>
          <w:w w:val="120"/>
        </w:rPr>
        <w:t>clear</w:t>
      </w:r>
      <w:r>
        <w:rPr>
          <w:spacing w:val="-11"/>
          <w:w w:val="120"/>
        </w:rPr>
        <w:t> </w:t>
      </w:r>
      <w:r>
        <w:rPr>
          <w:w w:val="120"/>
        </w:rPr>
        <w:t>correlation</w:t>
      </w:r>
      <w:r>
        <w:rPr>
          <w:spacing w:val="-11"/>
          <w:w w:val="120"/>
        </w:rPr>
        <w:t> </w:t>
      </w:r>
      <w:r>
        <w:rPr>
          <w:w w:val="120"/>
        </w:rPr>
        <w:t>between genotype</w:t>
      </w:r>
      <w:r>
        <w:rPr>
          <w:w w:val="120"/>
        </w:rPr>
        <w:t> and</w:t>
      </w:r>
      <w:r>
        <w:rPr>
          <w:w w:val="120"/>
        </w:rPr>
        <w:t> phenotype</w:t>
      </w:r>
      <w:r>
        <w:rPr>
          <w:w w:val="120"/>
        </w:rPr>
        <w:t> in</w:t>
      </w:r>
      <w:r>
        <w:rPr>
          <w:w w:val="120"/>
        </w:rPr>
        <w:t> patients</w:t>
      </w:r>
      <w:r>
        <w:rPr>
          <w:w w:val="120"/>
        </w:rPr>
        <w:t> with</w:t>
      </w:r>
      <w:r>
        <w:rPr>
          <w:w w:val="120"/>
        </w:rPr>
        <w:t> POLG</w:t>
      </w:r>
      <w:r>
        <w:rPr>
          <w:w w:val="120"/>
        </w:rPr>
        <w:t> mutations. The</w:t>
      </w:r>
      <w:r>
        <w:rPr>
          <w:w w:val="120"/>
        </w:rPr>
        <w:t> p.A467</w:t>
      </w:r>
      <w:r>
        <w:rPr>
          <w:spacing w:val="-9"/>
          <w:w w:val="120"/>
        </w:rPr>
        <w:t> </w:t>
      </w:r>
      <w:r>
        <w:rPr>
          <w:w w:val="120"/>
        </w:rPr>
        <w:t>T</w:t>
      </w:r>
      <w:r>
        <w:rPr>
          <w:w w:val="120"/>
        </w:rPr>
        <w:t> mutation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linker</w:t>
      </w:r>
      <w:r>
        <w:rPr>
          <w:w w:val="120"/>
        </w:rPr>
        <w:t> region</w:t>
      </w:r>
      <w:r>
        <w:rPr>
          <w:w w:val="120"/>
        </w:rPr>
        <w:t> is</w:t>
      </w:r>
      <w:r>
        <w:rPr>
          <w:w w:val="120"/>
        </w:rPr>
        <w:t> the</w:t>
      </w:r>
      <w:r>
        <w:rPr>
          <w:w w:val="120"/>
        </w:rPr>
        <w:t> most common</w:t>
      </w:r>
      <w:r>
        <w:rPr>
          <w:spacing w:val="77"/>
          <w:w w:val="120"/>
        </w:rPr>
        <w:t> </w:t>
      </w:r>
      <w:r>
        <w:rPr>
          <w:w w:val="120"/>
        </w:rPr>
        <w:t>mutation.</w:t>
      </w:r>
      <w:r>
        <w:rPr>
          <w:spacing w:val="78"/>
          <w:w w:val="120"/>
        </w:rPr>
        <w:t> </w:t>
      </w:r>
      <w:r>
        <w:rPr>
          <w:w w:val="120"/>
        </w:rPr>
        <w:t>The</w:t>
      </w:r>
      <w:r>
        <w:rPr>
          <w:spacing w:val="77"/>
          <w:w w:val="120"/>
        </w:rPr>
        <w:t> </w:t>
      </w:r>
      <w:r>
        <w:rPr>
          <w:w w:val="120"/>
        </w:rPr>
        <w:t>homozygous</w:t>
      </w:r>
      <w:r>
        <w:rPr>
          <w:spacing w:val="77"/>
          <w:w w:val="120"/>
        </w:rPr>
        <w:t> </w:t>
      </w:r>
      <w:r>
        <w:rPr>
          <w:w w:val="120"/>
        </w:rPr>
        <w:t>p.A467</w:t>
      </w:r>
      <w:r>
        <w:rPr>
          <w:spacing w:val="-10"/>
          <w:w w:val="120"/>
        </w:rPr>
        <w:t> </w:t>
      </w:r>
      <w:r>
        <w:rPr>
          <w:w w:val="120"/>
        </w:rPr>
        <w:t>T</w:t>
      </w:r>
      <w:r>
        <w:rPr>
          <w:spacing w:val="78"/>
          <w:w w:val="120"/>
        </w:rPr>
        <w:t> </w:t>
      </w:r>
      <w:r>
        <w:rPr>
          <w:spacing w:val="-2"/>
          <w:w w:val="120"/>
        </w:rPr>
        <w:t>mutation</w:t>
      </w:r>
    </w:p>
    <w:p>
      <w:pPr>
        <w:pStyle w:val="BodyText"/>
        <w:spacing w:line="300" w:lineRule="auto" w:before="83"/>
        <w:ind w:left="196" w:right="92"/>
        <w:jc w:val="both"/>
      </w:pPr>
      <w:r>
        <w:rPr/>
        <w:br w:type="column"/>
      </w:r>
      <w:r>
        <w:rPr>
          <w:spacing w:val="-2"/>
          <w:w w:val="120"/>
        </w:rPr>
        <w:t>shows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emerging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spectrum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mitochondrial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DNA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(mtDNA) </w:t>
      </w:r>
      <w:r>
        <w:rPr>
          <w:w w:val="125"/>
        </w:rPr>
        <w:t>stability</w:t>
      </w:r>
      <w:r>
        <w:rPr>
          <w:spacing w:val="-2"/>
          <w:w w:val="125"/>
        </w:rPr>
        <w:t> </w:t>
      </w:r>
      <w:r>
        <w:rPr>
          <w:w w:val="125"/>
        </w:rPr>
        <w:t>disorders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enlarging</w:t>
      </w:r>
      <w:r>
        <w:rPr>
          <w:spacing w:val="-2"/>
          <w:w w:val="125"/>
        </w:rPr>
        <w:t> </w:t>
      </w:r>
      <w:r>
        <w:rPr>
          <w:w w:val="125"/>
        </w:rPr>
        <w:t>spectrum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1"/>
          <w:w w:val="125"/>
        </w:rPr>
        <w:t> </w:t>
      </w:r>
      <w:r>
        <w:rPr>
          <w:w w:val="125"/>
        </w:rPr>
        <w:t>sensory</w:t>
      </w:r>
      <w:r>
        <w:rPr>
          <w:spacing w:val="-2"/>
          <w:w w:val="125"/>
        </w:rPr>
        <w:t> </w:t>
      </w:r>
      <w:r>
        <w:rPr>
          <w:w w:val="125"/>
        </w:rPr>
        <w:t>ataxic neuropathies</w:t>
      </w:r>
      <w:r>
        <w:rPr>
          <w:spacing w:val="-1"/>
          <w:w w:val="125"/>
        </w:rPr>
        <w:t> </w:t>
      </w:r>
      <w:r>
        <w:rPr>
          <w:w w:val="125"/>
        </w:rPr>
        <w:t>associated</w:t>
      </w:r>
      <w:r>
        <w:rPr>
          <w:spacing w:val="-1"/>
          <w:w w:val="125"/>
        </w:rPr>
        <w:t> </w:t>
      </w:r>
      <w:r>
        <w:rPr>
          <w:w w:val="125"/>
        </w:rPr>
        <w:t>with</w:t>
      </w:r>
      <w:r>
        <w:rPr>
          <w:spacing w:val="-1"/>
          <w:w w:val="125"/>
        </w:rPr>
        <w:t> </w:t>
      </w:r>
      <w:r>
        <w:rPr>
          <w:w w:val="125"/>
        </w:rPr>
        <w:t>mtDNA</w:t>
      </w:r>
      <w:r>
        <w:rPr>
          <w:spacing w:val="-1"/>
          <w:w w:val="125"/>
        </w:rPr>
        <w:t> </w:t>
      </w:r>
      <w:r>
        <w:rPr>
          <w:w w:val="125"/>
        </w:rPr>
        <w:t>instability</w:t>
      </w:r>
      <w:r>
        <w:rPr>
          <w:spacing w:val="-1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POLG mutations</w:t>
      </w:r>
      <w:r>
        <w:rPr>
          <w:spacing w:val="-3"/>
          <w:w w:val="125"/>
        </w:rPr>
        <w:t> </w:t>
      </w:r>
      <w:r>
        <w:rPr>
          <w:w w:val="125"/>
        </w:rPr>
        <w:t>showing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complex</w:t>
      </w:r>
      <w:r>
        <w:rPr>
          <w:spacing w:val="-4"/>
          <w:w w:val="125"/>
        </w:rPr>
        <w:t> </w:t>
      </w:r>
      <w:r>
        <w:rPr>
          <w:w w:val="125"/>
        </w:rPr>
        <w:t>relationship</w:t>
      </w:r>
      <w:r>
        <w:rPr>
          <w:spacing w:val="-3"/>
          <w:w w:val="125"/>
        </w:rPr>
        <w:t> </w:t>
      </w:r>
      <w:r>
        <w:rPr>
          <w:w w:val="125"/>
        </w:rPr>
        <w:t>between</w:t>
      </w:r>
      <w:r>
        <w:rPr>
          <w:spacing w:val="-4"/>
          <w:w w:val="125"/>
        </w:rPr>
        <w:t> </w:t>
      </w:r>
      <w:r>
        <w:rPr>
          <w:w w:val="125"/>
        </w:rPr>
        <w:t>geno- </w:t>
      </w:r>
      <w:r>
        <w:rPr>
          <w:w w:val="120"/>
        </w:rPr>
        <w:t>type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phenotype</w:t>
      </w:r>
      <w:r>
        <w:rPr>
          <w:spacing w:val="-12"/>
          <w:w w:val="120"/>
        </w:rPr>
        <w:t> </w:t>
      </w:r>
      <w:hyperlink w:history="true" w:anchor="_bookmark3">
        <w:r>
          <w:rPr>
            <w:color w:val="00689C"/>
            <w:w w:val="120"/>
          </w:rPr>
          <w:t>[4,5]</w:t>
        </w:r>
      </w:hyperlink>
      <w:r>
        <w:rPr>
          <w:w w:val="120"/>
        </w:rPr>
        <w:t>.</w:t>
      </w:r>
      <w:r>
        <w:rPr>
          <w:spacing w:val="-10"/>
          <w:w w:val="120"/>
        </w:rPr>
        <w:t> </w:t>
      </w:r>
      <w:r>
        <w:rPr>
          <w:w w:val="120"/>
        </w:rPr>
        <w:t>Homozygous</w:t>
      </w:r>
      <w:r>
        <w:rPr>
          <w:spacing w:val="-10"/>
          <w:w w:val="120"/>
        </w:rPr>
        <w:t> </w:t>
      </w:r>
      <w:r>
        <w:rPr>
          <w:w w:val="120"/>
        </w:rPr>
        <w:t>mutations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p.W748S and</w:t>
      </w:r>
      <w:r>
        <w:rPr>
          <w:spacing w:val="-7"/>
          <w:w w:val="120"/>
        </w:rPr>
        <w:t> </w:t>
      </w:r>
      <w:r>
        <w:rPr>
          <w:w w:val="120"/>
        </w:rPr>
        <w:t>p.E1143G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cis</w:t>
      </w:r>
      <w:r>
        <w:rPr>
          <w:spacing w:val="-6"/>
          <w:w w:val="120"/>
        </w:rPr>
        <w:t> </w:t>
      </w:r>
      <w:r>
        <w:rPr>
          <w:w w:val="120"/>
        </w:rPr>
        <w:t>have</w:t>
      </w:r>
      <w:r>
        <w:rPr>
          <w:spacing w:val="-6"/>
          <w:w w:val="120"/>
        </w:rPr>
        <w:t> </w:t>
      </w:r>
      <w:r>
        <w:rPr>
          <w:w w:val="120"/>
        </w:rPr>
        <w:t>been</w:t>
      </w:r>
      <w:r>
        <w:rPr>
          <w:spacing w:val="-7"/>
          <w:w w:val="120"/>
        </w:rPr>
        <w:t> </w:t>
      </w:r>
      <w:r>
        <w:rPr>
          <w:w w:val="120"/>
        </w:rPr>
        <w:t>reported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patients</w:t>
      </w:r>
      <w:r>
        <w:rPr>
          <w:spacing w:val="-6"/>
          <w:w w:val="120"/>
        </w:rPr>
        <w:t> </w:t>
      </w:r>
      <w:r>
        <w:rPr>
          <w:w w:val="120"/>
        </w:rPr>
        <w:t>with</w:t>
      </w:r>
      <w:r>
        <w:rPr>
          <w:spacing w:val="-7"/>
          <w:w w:val="120"/>
        </w:rPr>
        <w:t> </w:t>
      </w:r>
      <w:r>
        <w:rPr>
          <w:w w:val="120"/>
        </w:rPr>
        <w:t>ataxia </w:t>
      </w:r>
      <w:r>
        <w:rPr>
          <w:w w:val="125"/>
        </w:rPr>
        <w:t>neuropathy without muscle involvement </w:t>
      </w:r>
      <w:hyperlink w:history="true" w:anchor="_bookmark4">
        <w:r>
          <w:rPr>
            <w:color w:val="00689C"/>
            <w:w w:val="125"/>
          </w:rPr>
          <w:t>[6]</w:t>
        </w:r>
      </w:hyperlink>
      <w:r>
        <w:rPr>
          <w:w w:val="125"/>
        </w:rPr>
        <w:t>.</w:t>
      </w:r>
    </w:p>
    <w:p>
      <w:pPr>
        <w:pStyle w:val="BodyText"/>
        <w:spacing w:before="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3923284</wp:posOffset>
                </wp:positionH>
                <wp:positionV relativeFrom="paragraph">
                  <wp:posOffset>166732</wp:posOffset>
                </wp:positionV>
                <wp:extent cx="3036570" cy="254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3.128512pt;width:239.074pt;height:1.9843pt;mso-position-horizontal-relative:page;mso-position-vertical-relative:paragraph;z-index:-1572454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51"/>
        <w:ind w:left="196"/>
        <w:jc w:val="both"/>
      </w:pPr>
      <w:r>
        <w:rPr>
          <w:w w:val="120"/>
        </w:rPr>
        <w:t>Disclosure</w:t>
      </w:r>
      <w:r>
        <w:rPr>
          <w:spacing w:val="9"/>
          <w:w w:val="120"/>
        </w:rPr>
        <w:t> </w:t>
      </w:r>
      <w:r>
        <w:rPr>
          <w:w w:val="120"/>
        </w:rPr>
        <w:t>of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interest</w:t>
      </w:r>
    </w:p>
    <w:p>
      <w:pPr>
        <w:pStyle w:val="BodyText"/>
        <w:spacing w:before="121"/>
        <w:rPr>
          <w:sz w:val="19"/>
        </w:rPr>
      </w:pPr>
    </w:p>
    <w:p>
      <w:pPr>
        <w:pStyle w:val="BodyText"/>
        <w:ind w:left="215"/>
        <w:jc w:val="both"/>
      </w:pPr>
      <w:r>
        <w:rPr>
          <w:w w:val="125"/>
        </w:rPr>
        <w:t>The authors</w:t>
      </w:r>
      <w:r>
        <w:rPr>
          <w:spacing w:val="-1"/>
          <w:w w:val="125"/>
        </w:rPr>
        <w:t> </w:t>
      </w:r>
      <w:r>
        <w:rPr>
          <w:w w:val="125"/>
        </w:rPr>
        <w:t>declare</w:t>
      </w:r>
      <w:r>
        <w:rPr>
          <w:spacing w:val="-1"/>
          <w:w w:val="125"/>
        </w:rPr>
        <w:t> </w:t>
      </w:r>
      <w:r>
        <w:rPr>
          <w:w w:val="125"/>
        </w:rPr>
        <w:t>that they</w:t>
      </w:r>
      <w:r>
        <w:rPr>
          <w:spacing w:val="-1"/>
          <w:w w:val="125"/>
        </w:rPr>
        <w:t> </w:t>
      </w:r>
      <w:r>
        <w:rPr>
          <w:w w:val="125"/>
        </w:rPr>
        <w:t>have no</w:t>
      </w:r>
      <w:r>
        <w:rPr>
          <w:spacing w:val="1"/>
          <w:w w:val="125"/>
        </w:rPr>
        <w:t> </w:t>
      </w:r>
      <w:r>
        <w:rPr>
          <w:w w:val="125"/>
        </w:rPr>
        <w:t>competing</w:t>
      </w:r>
      <w:r>
        <w:rPr>
          <w:spacing w:val="1"/>
          <w:w w:val="125"/>
        </w:rPr>
        <w:t> </w:t>
      </w:r>
      <w:r>
        <w:rPr>
          <w:spacing w:val="-2"/>
          <w:w w:val="125"/>
        </w:rPr>
        <w:t>interest.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Heading2"/>
        <w:ind w:left="196"/>
        <w:jc w:val="both"/>
      </w:pPr>
      <w:r>
        <w:rPr>
          <w:w w:val="140"/>
        </w:rPr>
        <w:t>r</w:t>
      </w:r>
      <w:r>
        <w:rPr>
          <w:spacing w:val="-18"/>
          <w:w w:val="140"/>
        </w:rPr>
        <w:t> </w:t>
      </w:r>
      <w:r>
        <w:rPr>
          <w:w w:val="130"/>
        </w:rPr>
        <w:t>e</w:t>
      </w:r>
      <w:r>
        <w:rPr>
          <w:spacing w:val="-15"/>
          <w:w w:val="130"/>
        </w:rPr>
        <w:t> </w:t>
      </w:r>
      <w:r>
        <w:rPr>
          <w:w w:val="130"/>
        </w:rPr>
        <w:t>f</w:t>
      </w:r>
      <w:r>
        <w:rPr>
          <w:spacing w:val="-15"/>
          <w:w w:val="130"/>
        </w:rPr>
        <w:t> </w:t>
      </w:r>
      <w:r>
        <w:rPr>
          <w:w w:val="130"/>
        </w:rPr>
        <w:t>e</w:t>
      </w:r>
      <w:r>
        <w:rPr>
          <w:spacing w:val="-14"/>
          <w:w w:val="130"/>
        </w:rPr>
        <w:t> </w:t>
      </w:r>
      <w:r>
        <w:rPr>
          <w:w w:val="140"/>
        </w:rPr>
        <w:t>r</w:t>
      </w:r>
      <w:r>
        <w:rPr>
          <w:spacing w:val="-18"/>
          <w:w w:val="140"/>
        </w:rPr>
        <w:t> </w:t>
      </w:r>
      <w:r>
        <w:rPr>
          <w:w w:val="130"/>
        </w:rPr>
        <w:t>e</w:t>
      </w:r>
      <w:r>
        <w:rPr>
          <w:spacing w:val="-14"/>
          <w:w w:val="130"/>
        </w:rPr>
        <w:t> </w:t>
      </w:r>
      <w:r>
        <w:rPr>
          <w:w w:val="130"/>
        </w:rPr>
        <w:t>n</w:t>
      </w:r>
      <w:r>
        <w:rPr>
          <w:spacing w:val="-14"/>
          <w:w w:val="130"/>
        </w:rPr>
        <w:t> </w:t>
      </w:r>
      <w:r>
        <w:rPr>
          <w:w w:val="130"/>
        </w:rPr>
        <w:t>c</w:t>
      </w:r>
      <w:r>
        <w:rPr>
          <w:spacing w:val="-14"/>
          <w:w w:val="130"/>
        </w:rPr>
        <w:t> </w:t>
      </w:r>
      <w:r>
        <w:rPr>
          <w:w w:val="130"/>
        </w:rPr>
        <w:t>e</w:t>
      </w:r>
      <w:r>
        <w:rPr>
          <w:spacing w:val="-14"/>
          <w:w w:val="130"/>
        </w:rPr>
        <w:t> </w:t>
      </w:r>
      <w:r>
        <w:rPr>
          <w:spacing w:val="-10"/>
          <w:w w:val="130"/>
        </w:rPr>
        <w:t>s</w:t>
      </w:r>
    </w:p>
    <w:p>
      <w:pPr>
        <w:pStyle w:val="BodyText"/>
        <w:spacing w:before="6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3923284</wp:posOffset>
                </wp:positionH>
                <wp:positionV relativeFrom="paragraph">
                  <wp:posOffset>114300</wp:posOffset>
                </wp:positionV>
                <wp:extent cx="303657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0365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17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036239" y="288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9.00005pt;width:239.074pt;height:.22681pt;mso-position-horizontal-relative:page;mso-position-vertical-relative:paragraph;z-index:-15724032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2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220" w:hanging="252"/>
        <w:jc w:val="left"/>
        <w:rPr>
          <w:sz w:val="15"/>
        </w:rPr>
      </w:pPr>
      <w:r>
        <w:rPr>
          <w:w w:val="115"/>
          <w:sz w:val="15"/>
        </w:rPr>
        <w:t>Lovan A, Haq IUL, Balakrishnan N. Diagnostic challenges in movement disorders: Sensory Ataxia Neuropathy </w:t>
      </w:r>
      <w:r>
        <w:rPr>
          <w:w w:val="115"/>
          <w:sz w:val="15"/>
        </w:rPr>
        <w:t>Dysarthria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and Ophthalmoplegia (SANDO) syndrome. Case Rep 2013 [Internet, cite´</w:t>
      </w:r>
      <w:r>
        <w:rPr>
          <w:w w:val="115"/>
          <w:sz w:val="15"/>
        </w:rPr>
        <w:t> 15 fe´vr 2020]</w:t>
      </w:r>
      <w:hyperlink r:id="rId13">
        <w:r>
          <w:rPr>
            <w:color w:val="00689C"/>
            <w:w w:val="115"/>
            <w:sz w:val="15"/>
          </w:rPr>
          <w:t>https://casereports.bmj.com/</w:t>
        </w:r>
      </w:hyperlink>
      <w:r>
        <w:rPr>
          <w:color w:val="00689C"/>
          <w:w w:val="115"/>
          <w:sz w:val="15"/>
        </w:rPr>
        <w:t> </w:t>
      </w:r>
      <w:hyperlink r:id="rId13">
        <w:r>
          <w:rPr>
            <w:color w:val="00689C"/>
            <w:spacing w:val="-2"/>
            <w:w w:val="115"/>
            <w:sz w:val="15"/>
          </w:rPr>
          <w:t>content/2013/bcr-2013-010343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169" w:lineRule="exact" w:before="0" w:after="0"/>
        <w:ind w:left="437" w:right="0" w:hanging="250"/>
        <w:jc w:val="left"/>
        <w:rPr>
          <w:sz w:val="15"/>
        </w:rPr>
      </w:pPr>
      <w:hyperlink r:id="rId14">
        <w:r>
          <w:rPr>
            <w:color w:val="00689C"/>
            <w:w w:val="120"/>
            <w:sz w:val="15"/>
          </w:rPr>
          <w:t>Hansen</w:t>
        </w:r>
        <w:r>
          <w:rPr>
            <w:color w:val="00689C"/>
            <w:spacing w:val="-6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N,</w:t>
        </w:r>
        <w:r>
          <w:rPr>
            <w:color w:val="00689C"/>
            <w:spacing w:val="-5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Zwarg</w:t>
        </w:r>
        <w:r>
          <w:rPr>
            <w:color w:val="00689C"/>
            <w:spacing w:val="-6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T,</w:t>
        </w:r>
        <w:r>
          <w:rPr>
            <w:color w:val="00689C"/>
            <w:spacing w:val="-5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Wanke</w:t>
        </w:r>
        <w:r>
          <w:rPr>
            <w:color w:val="00689C"/>
            <w:spacing w:val="-6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I,</w:t>
        </w:r>
        <w:r>
          <w:rPr>
            <w:color w:val="00689C"/>
            <w:spacing w:val="-5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Zierz</w:t>
        </w:r>
        <w:r>
          <w:rPr>
            <w:color w:val="00689C"/>
            <w:spacing w:val="-6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S,</w:t>
        </w:r>
        <w:r>
          <w:rPr>
            <w:color w:val="00689C"/>
            <w:spacing w:val="-6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Kastrup</w:t>
        </w:r>
        <w:r>
          <w:rPr>
            <w:color w:val="00689C"/>
            <w:spacing w:val="-6"/>
            <w:w w:val="120"/>
            <w:sz w:val="15"/>
          </w:rPr>
          <w:t> </w:t>
        </w:r>
        <w:r>
          <w:rPr>
            <w:color w:val="00689C"/>
            <w:w w:val="120"/>
            <w:sz w:val="15"/>
          </w:rPr>
          <w:t>O,</w:t>
        </w:r>
        <w:r>
          <w:rPr>
            <w:color w:val="00689C"/>
            <w:spacing w:val="-6"/>
            <w:w w:val="120"/>
            <w:sz w:val="15"/>
          </w:rPr>
          <w:t> </w:t>
        </w:r>
        <w:r>
          <w:rPr>
            <w:color w:val="00689C"/>
            <w:spacing w:val="-2"/>
            <w:w w:val="120"/>
            <w:sz w:val="15"/>
          </w:rPr>
          <w:t>Deschauer</w:t>
        </w:r>
      </w:hyperlink>
    </w:p>
    <w:p>
      <w:pPr>
        <w:spacing w:line="278" w:lineRule="auto" w:before="27"/>
        <w:ind w:left="439" w:right="0" w:firstLine="0"/>
        <w:jc w:val="left"/>
        <w:rPr>
          <w:sz w:val="15"/>
        </w:rPr>
      </w:pPr>
      <w:hyperlink r:id="rId14">
        <w:r>
          <w:rPr>
            <w:color w:val="00689C"/>
            <w:w w:val="115"/>
            <w:sz w:val="15"/>
          </w:rPr>
          <w:t>M.</w:t>
        </w:r>
        <w:r>
          <w:rPr>
            <w:color w:val="00689C"/>
            <w:spacing w:val="-9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MELAS/SANDO</w:t>
        </w:r>
        <w:r>
          <w:rPr>
            <w:color w:val="00689C"/>
            <w:spacing w:val="-9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overlap</w:t>
        </w:r>
        <w:r>
          <w:rPr>
            <w:color w:val="00689C"/>
            <w:spacing w:val="-8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syndrome</w:t>
        </w:r>
        <w:r>
          <w:rPr>
            <w:color w:val="00689C"/>
            <w:spacing w:val="-1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associated</w:t>
        </w:r>
        <w:r>
          <w:rPr>
            <w:color w:val="00689C"/>
            <w:spacing w:val="-9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with</w:t>
        </w:r>
        <w:r>
          <w:rPr>
            <w:color w:val="00689C"/>
            <w:spacing w:val="-9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POLG1</w:t>
        </w:r>
      </w:hyperlink>
      <w:r>
        <w:rPr>
          <w:color w:val="00689C"/>
          <w:w w:val="115"/>
          <w:sz w:val="15"/>
        </w:rPr>
        <w:t> </w:t>
      </w:r>
      <w:hyperlink r:id="rId14">
        <w:r>
          <w:rPr>
            <w:color w:val="00689C"/>
            <w:w w:val="115"/>
            <w:sz w:val="15"/>
          </w:rPr>
          <w:t>mutations. Neurol Sci 2012;33(1):209–12.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219" w:hanging="252"/>
        <w:jc w:val="left"/>
        <w:rPr>
          <w:sz w:val="15"/>
        </w:rPr>
      </w:pPr>
      <w:hyperlink r:id="rId15">
        <w:r>
          <w:rPr>
            <w:color w:val="00689C"/>
            <w:w w:val="115"/>
            <w:sz w:val="15"/>
          </w:rPr>
          <w:t>Fadic R, Russell</w:t>
        </w:r>
        <w:r>
          <w:rPr>
            <w:color w:val="00689C"/>
            <w:spacing w:val="-1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JA, Vedanarayanan VV, Lehar M,</w:t>
        </w:r>
        <w:r>
          <w:rPr>
            <w:color w:val="00689C"/>
            <w:spacing w:val="-1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Kuncl</w:t>
        </w:r>
        <w:r>
          <w:rPr>
            <w:color w:val="00689C"/>
            <w:spacing w:val="-1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RW,</w:t>
        </w:r>
      </w:hyperlink>
      <w:r>
        <w:rPr>
          <w:color w:val="00689C"/>
          <w:w w:val="115"/>
          <w:sz w:val="15"/>
        </w:rPr>
        <w:t> </w:t>
      </w:r>
      <w:hyperlink r:id="rId15">
        <w:r>
          <w:rPr>
            <w:color w:val="00689C"/>
            <w:w w:val="115"/>
            <w:sz w:val="15"/>
          </w:rPr>
          <w:t>Johns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DR.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Sensory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ataxic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neuropathy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as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the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presenting</w:t>
        </w:r>
      </w:hyperlink>
      <w:r>
        <w:rPr>
          <w:color w:val="00689C"/>
          <w:w w:val="115"/>
          <w:sz w:val="15"/>
        </w:rPr>
        <w:t> </w:t>
      </w:r>
      <w:hyperlink r:id="rId15">
        <w:r>
          <w:rPr>
            <w:color w:val="00689C"/>
            <w:w w:val="115"/>
            <w:sz w:val="15"/>
          </w:rPr>
          <w:t>feature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of a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novel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mitochondrial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disease.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Neurology</w:t>
        </w:r>
      </w:hyperlink>
      <w:r>
        <w:rPr>
          <w:color w:val="00689C"/>
          <w:w w:val="115"/>
          <w:sz w:val="15"/>
        </w:rPr>
        <w:t> </w:t>
      </w:r>
      <w:hyperlink r:id="rId15">
        <w:r>
          <w:rPr>
            <w:color w:val="00689C"/>
            <w:spacing w:val="-2"/>
            <w:w w:val="115"/>
            <w:sz w:val="15"/>
          </w:rPr>
          <w:t>1997;49(1):239–45.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2" w:after="0"/>
        <w:ind w:left="439" w:right="219" w:hanging="252"/>
        <w:jc w:val="left"/>
        <w:rPr>
          <w:sz w:val="15"/>
        </w:rPr>
      </w:pPr>
      <w:hyperlink r:id="rId16">
        <w:r>
          <w:rPr>
            <w:color w:val="00689C"/>
            <w:w w:val="115"/>
            <w:sz w:val="15"/>
          </w:rPr>
          <w:t>Hudson G, Deschauer M, Busse K, Zierz S, Chinnery PF.</w:t>
        </w:r>
      </w:hyperlink>
      <w:r>
        <w:rPr>
          <w:color w:val="00689C"/>
          <w:w w:val="115"/>
          <w:sz w:val="15"/>
        </w:rPr>
        <w:t> </w:t>
      </w:r>
      <w:hyperlink r:id="rId16">
        <w:r>
          <w:rPr>
            <w:color w:val="00689C"/>
            <w:w w:val="115"/>
            <w:sz w:val="15"/>
          </w:rPr>
          <w:t>Sensory ataxic neuropathy due to a novel C10Orf2 </w:t>
        </w:r>
        <w:r>
          <w:rPr>
            <w:color w:val="00689C"/>
            <w:w w:val="115"/>
            <w:sz w:val="15"/>
          </w:rPr>
          <w:t>mutation</w:t>
        </w:r>
      </w:hyperlink>
      <w:r>
        <w:rPr>
          <w:color w:val="00689C"/>
          <w:spacing w:val="80"/>
          <w:w w:val="115"/>
          <w:sz w:val="15"/>
        </w:rPr>
        <w:t> </w:t>
      </w:r>
      <w:hyperlink r:id="rId16">
        <w:r>
          <w:rPr>
            <w:color w:val="00689C"/>
            <w:w w:val="115"/>
            <w:sz w:val="15"/>
          </w:rPr>
          <w:t>with probable germline mosaicism. Neurology</w:t>
        </w:r>
      </w:hyperlink>
      <w:r>
        <w:rPr>
          <w:color w:val="00689C"/>
          <w:spacing w:val="40"/>
          <w:w w:val="115"/>
          <w:sz w:val="15"/>
        </w:rPr>
        <w:t> </w:t>
      </w:r>
      <w:hyperlink r:id="rId16">
        <w:r>
          <w:rPr>
            <w:color w:val="00689C"/>
            <w:spacing w:val="-2"/>
            <w:w w:val="115"/>
            <w:sz w:val="15"/>
          </w:rPr>
          <w:t>2005;64(2):371–3.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3" w:after="0"/>
        <w:ind w:left="439" w:right="275" w:hanging="252"/>
        <w:jc w:val="left"/>
        <w:rPr>
          <w:sz w:val="15"/>
        </w:rPr>
      </w:pPr>
      <w:hyperlink r:id="rId17">
        <w:r>
          <w:rPr>
            <w:color w:val="00689C"/>
            <w:w w:val="115"/>
            <w:sz w:val="15"/>
          </w:rPr>
          <w:t>McHugh</w:t>
        </w:r>
        <w:r>
          <w:rPr>
            <w:color w:val="00689C"/>
            <w:spacing w:val="-7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JC,</w:t>
        </w:r>
        <w:r>
          <w:rPr>
            <w:color w:val="00689C"/>
            <w:spacing w:val="-8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Lonergan</w:t>
        </w:r>
        <w:r>
          <w:rPr>
            <w:color w:val="00689C"/>
            <w:spacing w:val="-8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R,</w:t>
        </w:r>
        <w:r>
          <w:rPr>
            <w:color w:val="00689C"/>
            <w:spacing w:val="-8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Howley</w:t>
        </w:r>
        <w:r>
          <w:rPr>
            <w:color w:val="00689C"/>
            <w:spacing w:val="-7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R,</w:t>
        </w:r>
        <w:r>
          <w:rPr>
            <w:color w:val="00689C"/>
            <w:spacing w:val="-8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O’Rourke</w:t>
        </w:r>
        <w:r>
          <w:rPr>
            <w:color w:val="00689C"/>
            <w:spacing w:val="-6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K,</w:t>
        </w:r>
        <w:r>
          <w:rPr>
            <w:color w:val="00689C"/>
            <w:spacing w:val="-8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Taylor</w:t>
        </w:r>
        <w:r>
          <w:rPr>
            <w:color w:val="00689C"/>
            <w:spacing w:val="-7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RW,</w:t>
        </w:r>
      </w:hyperlink>
      <w:r>
        <w:rPr>
          <w:color w:val="00689C"/>
          <w:w w:val="115"/>
          <w:sz w:val="15"/>
        </w:rPr>
        <w:t> </w:t>
      </w:r>
      <w:hyperlink r:id="rId17">
        <w:r>
          <w:rPr>
            <w:color w:val="00689C"/>
            <w:w w:val="115"/>
            <w:sz w:val="15"/>
          </w:rPr>
          <w:t>Farrell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M,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et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al.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Sensory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ataxic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neuropathy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dysarthria</w:t>
        </w:r>
        <w:r>
          <w:rPr>
            <w:color w:val="00689C"/>
            <w:spacing w:val="40"/>
            <w:w w:val="115"/>
            <w:sz w:val="15"/>
          </w:rPr>
          <w:t> </w:t>
        </w:r>
        <w:r>
          <w:rPr>
            <w:color w:val="00689C"/>
            <w:w w:val="115"/>
            <w:sz w:val="15"/>
          </w:rPr>
          <w:t>and</w:t>
        </w:r>
      </w:hyperlink>
      <w:r>
        <w:rPr>
          <w:color w:val="00689C"/>
          <w:w w:val="115"/>
          <w:sz w:val="15"/>
        </w:rPr>
        <w:t> </w:t>
      </w:r>
      <w:hyperlink r:id="rId17">
        <w:r>
          <w:rPr>
            <w:color w:val="00689C"/>
            <w:w w:val="115"/>
            <w:sz w:val="15"/>
          </w:rPr>
          <w:t>ophthalmoparesis (SANDO) in a sibling pair with a</w:t>
        </w:r>
      </w:hyperlink>
      <w:r>
        <w:rPr>
          <w:color w:val="00689C"/>
          <w:spacing w:val="40"/>
          <w:w w:val="115"/>
          <w:sz w:val="15"/>
        </w:rPr>
        <w:t> </w:t>
      </w:r>
      <w:hyperlink r:id="rId17">
        <w:r>
          <w:rPr>
            <w:color w:val="00689C"/>
            <w:w w:val="115"/>
            <w:sz w:val="15"/>
          </w:rPr>
          <w:t>homozygous p.A467 T POLG mutation. Muscle Nerve</w:t>
        </w:r>
      </w:hyperlink>
      <w:r>
        <w:rPr>
          <w:color w:val="00689C"/>
          <w:w w:val="115"/>
          <w:sz w:val="15"/>
        </w:rPr>
        <w:t> </w:t>
      </w:r>
      <w:hyperlink r:id="rId17">
        <w:r>
          <w:rPr>
            <w:color w:val="00689C"/>
            <w:spacing w:val="-2"/>
            <w:w w:val="115"/>
            <w:sz w:val="15"/>
          </w:rPr>
          <w:t>2010;41(2):265–9.</w:t>
        </w:r>
      </w:hyperlink>
    </w:p>
    <w:p>
      <w:pPr>
        <w:pStyle w:val="ListParagraph"/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40" w:bottom="280" w:left="850" w:right="850"/>
          <w:cols w:num="2" w:equalWidth="0">
            <w:col w:w="5012" w:space="120"/>
            <w:col w:w="5078"/>
          </w:cols>
        </w:sectPr>
      </w:pPr>
    </w:p>
    <w:p>
      <w:pPr>
        <w:tabs>
          <w:tab w:pos="3296" w:val="left" w:leader="none"/>
        </w:tabs>
        <w:spacing w:before="59"/>
        <w:ind w:left="95" w:right="0" w:firstLine="0"/>
        <w:jc w:val="left"/>
        <w:rPr>
          <w:sz w:val="14"/>
        </w:rPr>
      </w:pPr>
      <w:bookmarkStart w:name="_bookmark4" w:id="10"/>
      <w:bookmarkEnd w:id="10"/>
      <w:r>
        <w:rPr/>
      </w:r>
      <w:r>
        <w:rPr>
          <w:spacing w:val="-5"/>
          <w:w w:val="115"/>
          <w:sz w:val="19"/>
        </w:rPr>
        <w:t>146</w:t>
      </w:r>
      <w:r>
        <w:rPr>
          <w:sz w:val="19"/>
        </w:rPr>
        <w:tab/>
      </w:r>
      <w:r>
        <w:rPr>
          <w:w w:val="145"/>
          <w:sz w:val="14"/>
        </w:rPr>
        <w:t>r</w:t>
      </w:r>
      <w:r>
        <w:rPr>
          <w:spacing w:val="-26"/>
          <w:w w:val="145"/>
          <w:sz w:val="14"/>
        </w:rPr>
        <w:t> </w:t>
      </w:r>
      <w:r>
        <w:rPr>
          <w:w w:val="115"/>
          <w:sz w:val="14"/>
        </w:rPr>
        <w:t>e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v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u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e</w:t>
      </w:r>
      <w:r>
        <w:rPr>
          <w:spacing w:val="32"/>
          <w:w w:val="115"/>
          <w:sz w:val="14"/>
        </w:rPr>
        <w:t> </w:t>
      </w:r>
      <w:r>
        <w:rPr>
          <w:w w:val="115"/>
          <w:sz w:val="14"/>
        </w:rPr>
        <w:t>n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e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u</w:t>
      </w:r>
      <w:r>
        <w:rPr>
          <w:spacing w:val="-14"/>
          <w:w w:val="115"/>
          <w:sz w:val="14"/>
        </w:rPr>
        <w:t> </w:t>
      </w:r>
      <w:r>
        <w:rPr>
          <w:w w:val="145"/>
          <w:sz w:val="14"/>
        </w:rPr>
        <w:t>r</w:t>
      </w:r>
      <w:r>
        <w:rPr>
          <w:spacing w:val="-26"/>
          <w:w w:val="145"/>
          <w:sz w:val="14"/>
        </w:rPr>
        <w:t> </w:t>
      </w:r>
      <w:r>
        <w:rPr>
          <w:w w:val="115"/>
          <w:sz w:val="14"/>
        </w:rPr>
        <w:t>o</w:t>
      </w:r>
      <w:r>
        <w:rPr>
          <w:spacing w:val="-14"/>
          <w:w w:val="115"/>
          <w:sz w:val="14"/>
        </w:rPr>
        <w:t> </w:t>
      </w:r>
      <w:r>
        <w:rPr>
          <w:w w:val="145"/>
          <w:sz w:val="14"/>
        </w:rPr>
        <w:t>l</w:t>
      </w:r>
      <w:r>
        <w:rPr>
          <w:spacing w:val="-24"/>
          <w:w w:val="145"/>
          <w:sz w:val="14"/>
        </w:rPr>
        <w:t> </w:t>
      </w:r>
      <w:r>
        <w:rPr>
          <w:w w:val="115"/>
          <w:sz w:val="14"/>
        </w:rPr>
        <w:t>o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g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i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q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u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e</w:t>
      </w:r>
      <w:r>
        <w:rPr>
          <w:spacing w:val="33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7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7</w:t>
      </w:r>
      <w:r>
        <w:rPr>
          <w:spacing w:val="32"/>
          <w:w w:val="115"/>
          <w:sz w:val="14"/>
        </w:rPr>
        <w:t> </w:t>
      </w:r>
      <w:r>
        <w:rPr>
          <w:w w:val="115"/>
          <w:sz w:val="14"/>
        </w:rPr>
        <w:t>(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2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0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2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)</w:t>
      </w:r>
      <w:r>
        <w:rPr>
          <w:spacing w:val="32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3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2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–</w:t>
      </w:r>
      <w:r>
        <w:rPr>
          <w:spacing w:val="-15"/>
          <w:w w:val="115"/>
          <w:sz w:val="14"/>
        </w:rPr>
        <w:t> </w:t>
      </w:r>
      <w:r>
        <w:rPr>
          <w:w w:val="115"/>
          <w:sz w:val="14"/>
        </w:rPr>
        <w:t>1</w:t>
      </w:r>
      <w:r>
        <w:rPr>
          <w:spacing w:val="-14"/>
          <w:w w:val="115"/>
          <w:sz w:val="14"/>
        </w:rPr>
        <w:t> </w:t>
      </w:r>
      <w:r>
        <w:rPr>
          <w:w w:val="115"/>
          <w:sz w:val="14"/>
        </w:rPr>
        <w:t>5</w:t>
      </w:r>
      <w:r>
        <w:rPr>
          <w:spacing w:val="-14"/>
          <w:w w:val="115"/>
          <w:sz w:val="14"/>
        </w:rPr>
        <w:t> </w:t>
      </w:r>
      <w:r>
        <w:rPr>
          <w:spacing w:val="-10"/>
          <w:w w:val="115"/>
          <w:sz w:val="14"/>
        </w:rPr>
        <w:t>7</w:t>
      </w:r>
    </w:p>
    <w:p>
      <w:pPr>
        <w:pStyle w:val="BodyText"/>
        <w:spacing w:before="7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600481</wp:posOffset>
                </wp:positionH>
                <wp:positionV relativeFrom="paragraph">
                  <wp:posOffset>122166</wp:posOffset>
                </wp:positionV>
                <wp:extent cx="6301105" cy="381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300724" y="360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619418pt;width:496.12pt;height:.28351pt;mso-position-horizontal-relative:page;mso-position-vertical-relative:paragraph;z-index:-15723520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1910" w:h="15880"/>
          <w:pgMar w:top="540" w:bottom="280" w:left="850" w:right="850"/>
        </w:sectPr>
      </w:pPr>
    </w:p>
    <w:p>
      <w:pPr>
        <w:pStyle w:val="ListParagraph"/>
        <w:numPr>
          <w:ilvl w:val="0"/>
          <w:numId w:val="2"/>
        </w:numPr>
        <w:tabs>
          <w:tab w:pos="335" w:val="left" w:leader="none"/>
          <w:tab w:pos="337" w:val="left" w:leader="none"/>
        </w:tabs>
        <w:spacing w:line="278" w:lineRule="auto" w:before="85" w:after="0"/>
        <w:ind w:left="337" w:right="166" w:hanging="251"/>
        <w:jc w:val="left"/>
        <w:rPr>
          <w:sz w:val="15"/>
        </w:rPr>
      </w:pPr>
      <w:r>
        <w:rPr>
          <w:w w:val="115"/>
          <w:sz w:val="15"/>
        </w:rPr>
        <w:t>Wong L, et al. Molecular and Clinical Genetics of Mitochondrial Diseases Due to POLG Mutations. Hum </w:t>
      </w:r>
      <w:r>
        <w:rPr>
          <w:w w:val="115"/>
          <w:sz w:val="15"/>
        </w:rPr>
        <w:t>Mutat. Author manuscript; available in PMC 2010 Jun 24. Published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-1"/>
          <w:w w:val="115"/>
          <w:sz w:val="15"/>
        </w:rPr>
        <w:t> </w:t>
      </w:r>
      <w:r>
        <w:rPr>
          <w:w w:val="115"/>
          <w:sz w:val="15"/>
        </w:rPr>
        <w:t>final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edited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form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as.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Hum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Mutat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2008;29(9):E150–72</w:t>
      </w:r>
      <w:hyperlink r:id="rId18">
        <w:r>
          <w:rPr>
            <w:color w:val="00689C"/>
            <w:w w:val="115"/>
            <w:sz w:val="15"/>
          </w:rPr>
          <w:t>.</w:t>
        </w:r>
      </w:hyperlink>
      <w:r>
        <w:rPr>
          <w:color w:val="00689C"/>
          <w:spacing w:val="-3"/>
          <w:w w:val="115"/>
          <w:sz w:val="15"/>
        </w:rPr>
        <w:t> </w:t>
      </w:r>
      <w:hyperlink r:id="rId18">
        <w:r>
          <w:rPr>
            <w:color w:val="00689C"/>
            <w:w w:val="115"/>
            <w:sz w:val="15"/>
            <w:u w:val="single" w:color="000000"/>
          </w:rPr>
          <w:t>http://</w:t>
        </w:r>
      </w:hyperlink>
      <w:r>
        <w:rPr>
          <w:color w:val="00689C"/>
          <w:w w:val="115"/>
          <w:sz w:val="15"/>
        </w:rPr>
        <w:t> </w:t>
      </w:r>
      <w:hyperlink r:id="rId18">
        <w:r>
          <w:rPr>
            <w:color w:val="00689C"/>
            <w:spacing w:val="-2"/>
            <w:w w:val="115"/>
            <w:sz w:val="15"/>
            <w:u w:val="single" w:color="000000"/>
          </w:rPr>
          <w:t>dx.doi.org/10.1002/humu.20824</w:t>
        </w:r>
      </w:hyperlink>
      <w:r>
        <w:rPr>
          <w:spacing w:val="-2"/>
          <w:w w:val="115"/>
          <w:sz w:val="15"/>
        </w:rPr>
        <w:t>.</w:t>
      </w:r>
    </w:p>
    <w:p>
      <w:pPr>
        <w:pStyle w:val="BodyText"/>
        <w:spacing w:before="80"/>
        <w:rPr>
          <w:sz w:val="15"/>
        </w:rPr>
      </w:pPr>
    </w:p>
    <w:p>
      <w:pPr>
        <w:pStyle w:val="BodyText"/>
        <w:ind w:right="39"/>
        <w:jc w:val="right"/>
      </w:pPr>
      <w:r>
        <w:rPr>
          <w:w w:val="110"/>
        </w:rPr>
        <w:t>M.A.</w:t>
      </w:r>
      <w:r>
        <w:rPr>
          <w:spacing w:val="-10"/>
          <w:w w:val="110"/>
        </w:rPr>
        <w:t> </w:t>
      </w:r>
      <w:r>
        <w:rPr>
          <w:spacing w:val="-2"/>
          <w:w w:val="115"/>
        </w:rPr>
        <w:t>Rafai</w:t>
      </w:r>
      <w:r>
        <w:rPr>
          <w:color w:val="00689C"/>
          <w:spacing w:val="-2"/>
          <w:w w:val="115"/>
          <w:vertAlign w:val="superscript"/>
        </w:rPr>
        <w:t>a</w:t>
      </w:r>
      <w:r>
        <w:rPr>
          <w:spacing w:val="-2"/>
          <w:w w:val="115"/>
          <w:vertAlign w:val="superscript"/>
        </w:rPr>
        <w:t>,</w:t>
      </w:r>
      <w:r>
        <w:rPr>
          <w:color w:val="00689C"/>
          <w:spacing w:val="-2"/>
          <w:w w:val="115"/>
          <w:vertAlign w:val="superscript"/>
        </w:rPr>
        <w:t>b</w:t>
      </w:r>
      <w:r>
        <w:rPr>
          <w:spacing w:val="-2"/>
          <w:w w:val="115"/>
          <w:vertAlign w:val="superscript"/>
        </w:rPr>
        <w:t>,</w:t>
      </w:r>
      <w:r>
        <w:rPr>
          <w:color w:val="00689C"/>
          <w:spacing w:val="-2"/>
          <w:w w:val="115"/>
          <w:vertAlign w:val="baseline"/>
        </w:rPr>
        <w:t>*</w:t>
      </w:r>
    </w:p>
    <w:p>
      <w:pPr>
        <w:pStyle w:val="BodyText"/>
        <w:spacing w:before="43"/>
        <w:ind w:right="39"/>
        <w:jc w:val="right"/>
      </w:pPr>
      <w:bookmarkStart w:name="_bookmark5" w:id="11"/>
      <w:bookmarkEnd w:id="11"/>
      <w:r>
        <w:rPr/>
      </w:r>
      <w:r>
        <w:rPr>
          <w:w w:val="115"/>
        </w:rPr>
        <w:t>H.</w:t>
      </w:r>
      <w:r>
        <w:rPr>
          <w:spacing w:val="-5"/>
          <w:w w:val="115"/>
        </w:rPr>
        <w:t> </w:t>
      </w:r>
      <w:r>
        <w:rPr>
          <w:spacing w:val="-2"/>
          <w:w w:val="120"/>
        </w:rPr>
        <w:t>Khattab</w:t>
      </w:r>
      <w:r>
        <w:rPr>
          <w:color w:val="00689C"/>
          <w:spacing w:val="-2"/>
          <w:w w:val="120"/>
          <w:vertAlign w:val="superscript"/>
        </w:rPr>
        <w:t>a</w:t>
      </w:r>
    </w:p>
    <w:p>
      <w:pPr>
        <w:pStyle w:val="BodyText"/>
        <w:spacing w:before="44"/>
        <w:ind w:right="40"/>
        <w:jc w:val="right"/>
      </w:pPr>
      <w:r>
        <w:rPr>
          <w:w w:val="115"/>
        </w:rPr>
        <w:t>C.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Jardel</w:t>
      </w:r>
      <w:r>
        <w:rPr>
          <w:color w:val="00689C"/>
          <w:spacing w:val="-2"/>
          <w:w w:val="115"/>
          <w:vertAlign w:val="superscript"/>
        </w:rPr>
        <w:t>c</w:t>
      </w:r>
    </w:p>
    <w:p>
      <w:pPr>
        <w:pStyle w:val="BodyText"/>
        <w:spacing w:before="43"/>
        <w:ind w:right="39"/>
        <w:jc w:val="right"/>
      </w:pPr>
      <w:r>
        <w:rPr>
          <w:w w:val="115"/>
        </w:rPr>
        <w:t>I.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Slassi</w:t>
      </w:r>
      <w:r>
        <w:rPr>
          <w:color w:val="00689C"/>
          <w:spacing w:val="-2"/>
          <w:w w:val="115"/>
          <w:vertAlign w:val="superscript"/>
        </w:rPr>
        <w:t>a</w:t>
      </w:r>
    </w:p>
    <w:p>
      <w:pPr>
        <w:pStyle w:val="BodyText"/>
        <w:spacing w:before="43"/>
        <w:ind w:right="40"/>
        <w:jc w:val="right"/>
      </w:pPr>
      <w:r>
        <w:rPr>
          <w:w w:val="115"/>
        </w:rPr>
        <w:t>H.</w:t>
      </w:r>
      <w:r>
        <w:rPr>
          <w:spacing w:val="-5"/>
          <w:w w:val="115"/>
        </w:rPr>
        <w:t> </w:t>
      </w:r>
      <w:r>
        <w:rPr>
          <w:spacing w:val="-2"/>
          <w:w w:val="120"/>
        </w:rPr>
        <w:t>Dehbi</w:t>
      </w:r>
      <w:hyperlink w:history="true" w:anchor="_bookmark0">
        <w:r>
          <w:rPr>
            <w:color w:val="00689C"/>
            <w:spacing w:val="-2"/>
            <w:w w:val="120"/>
            <w:vertAlign w:val="superscript"/>
          </w:rPr>
          <w:t>d</w:t>
        </w:r>
      </w:hyperlink>
    </w:p>
    <w:p>
      <w:pPr>
        <w:spacing w:line="297" w:lineRule="auto" w:before="44"/>
        <w:ind w:left="173" w:right="39" w:firstLine="3875"/>
        <w:jc w:val="right"/>
        <w:rPr>
          <w:i/>
          <w:sz w:val="16"/>
        </w:rPr>
      </w:pPr>
      <w:r>
        <w:rPr>
          <w:w w:val="105"/>
          <w:sz w:val="16"/>
        </w:rPr>
        <w:t>P. </w:t>
      </w:r>
      <w:r>
        <w:rPr>
          <w:w w:val="105"/>
          <w:sz w:val="16"/>
        </w:rPr>
        <w:t>Bouche</w:t>
      </w:r>
      <w:hyperlink w:history="true" w:anchor="_bookmark5">
        <w:r>
          <w:rPr>
            <w:color w:val="00689C"/>
            <w:w w:val="105"/>
            <w:sz w:val="16"/>
            <w:vertAlign w:val="superscript"/>
          </w:rPr>
          <w:t>e</w:t>
        </w:r>
      </w:hyperlink>
      <w:r>
        <w:rPr>
          <w:color w:val="00689C"/>
          <w:w w:val="105"/>
          <w:sz w:val="16"/>
          <w:vertAlign w:val="baseline"/>
        </w:rPr>
        <w:t> </w:t>
      </w:r>
      <w:r>
        <w:rPr>
          <w:w w:val="105"/>
          <w:sz w:val="16"/>
          <w:vertAlign w:val="superscript"/>
        </w:rPr>
        <w:t>a</w:t>
      </w:r>
      <w:r>
        <w:rPr>
          <w:i/>
          <w:w w:val="105"/>
          <w:sz w:val="16"/>
          <w:vertAlign w:val="baseline"/>
        </w:rPr>
        <w:t>Service de neurologie, explorations neurophysiologiques </w:t>
      </w:r>
      <w:r>
        <w:rPr>
          <w:i/>
          <w:w w:val="105"/>
          <w:sz w:val="16"/>
          <w:vertAlign w:val="baseline"/>
        </w:rPr>
        <w:t>cliniques</w:t>
      </w:r>
      <w:r>
        <w:rPr>
          <w:i/>
          <w:w w:val="105"/>
          <w:sz w:val="16"/>
          <w:vertAlign w:val="baseline"/>
        </w:rPr>
        <w:t>,</w:t>
      </w:r>
      <w:r>
        <w:rPr>
          <w:i/>
          <w:w w:val="105"/>
          <w:sz w:val="16"/>
          <w:vertAlign w:val="baseline"/>
        </w:rPr>
        <w:t> CHU de Ibn Rochd, quartier des Hoˆpitaux, 1, rue des Hoˆpitaux,</w:t>
      </w:r>
    </w:p>
    <w:p>
      <w:pPr>
        <w:spacing w:line="297" w:lineRule="auto" w:before="0"/>
        <w:ind w:left="95" w:right="38" w:firstLine="2163"/>
        <w:jc w:val="right"/>
        <w:rPr>
          <w:i/>
          <w:sz w:val="16"/>
        </w:rPr>
      </w:pPr>
      <w:r>
        <w:rPr>
          <w:i/>
          <w:w w:val="105"/>
          <w:sz w:val="16"/>
        </w:rPr>
        <w:t>BP-40143, 20000 Casablanca, </w:t>
      </w:r>
      <w:r>
        <w:rPr>
          <w:i/>
          <w:w w:val="105"/>
          <w:sz w:val="16"/>
        </w:rPr>
        <w:t>Maroc </w:t>
      </w:r>
      <w:r>
        <w:rPr>
          <w:w w:val="105"/>
          <w:sz w:val="16"/>
          <w:vertAlign w:val="superscript"/>
        </w:rPr>
        <w:t>b</w:t>
      </w:r>
      <w:r>
        <w:rPr>
          <w:i/>
          <w:w w:val="105"/>
          <w:sz w:val="16"/>
          <w:vertAlign w:val="baseline"/>
        </w:rPr>
        <w:t>Laboratoire de recherche sur les maladies du syste`me nerveux, neurosensorielles et handicap, faculte´</w:t>
      </w:r>
      <w:r>
        <w:rPr>
          <w:i/>
          <w:spacing w:val="1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de me´decine et de pharmacie, universite´</w:t>
      </w:r>
      <w:r>
        <w:rPr>
          <w:i/>
          <w:spacing w:val="25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Hassan II, rue Tarik-Ibn-Ziad, 20000 Casablanca, Maroc </w:t>
      </w:r>
      <w:r>
        <w:rPr>
          <w:spacing w:val="-2"/>
          <w:w w:val="105"/>
          <w:sz w:val="16"/>
          <w:vertAlign w:val="superscript"/>
        </w:rPr>
        <w:t>c</w:t>
      </w:r>
      <w:r>
        <w:rPr>
          <w:i/>
          <w:spacing w:val="-2"/>
          <w:w w:val="105"/>
          <w:sz w:val="16"/>
          <w:vertAlign w:val="baseline"/>
        </w:rPr>
        <w:t>Service de biochimie me´tabolique, hoˆpital Pitie´</w:t>
      </w:r>
      <w:r>
        <w:rPr>
          <w:i/>
          <w:spacing w:val="12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Palpeˆtrie`re, 47–83,</w:t>
      </w:r>
    </w:p>
    <w:p>
      <w:pPr>
        <w:spacing w:line="295" w:lineRule="auto" w:before="0"/>
        <w:ind w:left="95" w:right="39" w:firstLine="1706"/>
        <w:jc w:val="right"/>
        <w:rPr>
          <w:i/>
          <w:sz w:val="16"/>
        </w:rPr>
      </w:pPr>
      <w:r>
        <w:rPr>
          <w:i/>
          <w:w w:val="105"/>
          <w:sz w:val="16"/>
        </w:rPr>
        <w:t>boulevard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de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l’Hoˆpital,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75013</w:t>
      </w:r>
      <w:r>
        <w:rPr>
          <w:i/>
          <w:spacing w:val="-7"/>
          <w:w w:val="105"/>
          <w:sz w:val="16"/>
        </w:rPr>
        <w:t> </w:t>
      </w:r>
      <w:r>
        <w:rPr>
          <w:i/>
          <w:w w:val="105"/>
          <w:sz w:val="16"/>
        </w:rPr>
        <w:t>Paris,</w:t>
      </w:r>
      <w:r>
        <w:rPr>
          <w:i/>
          <w:spacing w:val="-8"/>
          <w:w w:val="105"/>
          <w:sz w:val="16"/>
        </w:rPr>
        <w:t> </w:t>
      </w:r>
      <w:r>
        <w:rPr>
          <w:i/>
          <w:w w:val="105"/>
          <w:sz w:val="16"/>
        </w:rPr>
        <w:t>France </w:t>
      </w:r>
      <w:r>
        <w:rPr>
          <w:spacing w:val="-2"/>
          <w:w w:val="105"/>
          <w:sz w:val="16"/>
          <w:vertAlign w:val="superscript"/>
        </w:rPr>
        <w:t>d</w:t>
      </w:r>
      <w:r>
        <w:rPr>
          <w:i/>
          <w:spacing w:val="-2"/>
          <w:w w:val="105"/>
          <w:sz w:val="16"/>
          <w:vertAlign w:val="baseline"/>
        </w:rPr>
        <w:t>Laboratoire</w:t>
      </w:r>
      <w:r>
        <w:rPr>
          <w:i/>
          <w:spacing w:val="-4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de</w:t>
      </w:r>
      <w:r>
        <w:rPr>
          <w:i/>
          <w:spacing w:val="-3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ge´ne´tique</w:t>
      </w:r>
      <w:r>
        <w:rPr>
          <w:i/>
          <w:spacing w:val="-3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me´dicale,</w:t>
      </w:r>
      <w:r>
        <w:rPr>
          <w:i/>
          <w:spacing w:val="-3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universite´</w:t>
      </w:r>
      <w:r>
        <w:rPr>
          <w:i/>
          <w:spacing w:val="9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Hassan</w:t>
      </w:r>
      <w:r>
        <w:rPr>
          <w:i/>
          <w:spacing w:val="-4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II,</w:t>
      </w:r>
      <w:r>
        <w:rPr>
          <w:i/>
          <w:spacing w:val="-3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faculte´</w:t>
      </w:r>
      <w:r>
        <w:rPr>
          <w:i/>
          <w:spacing w:val="9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de</w:t>
      </w:r>
      <w:r>
        <w:rPr>
          <w:i/>
          <w:w w:val="105"/>
          <w:sz w:val="16"/>
          <w:vertAlign w:val="baseline"/>
        </w:rPr>
        <w:t> me´decine et de pharmacie, rue Tarik-Ibn-Ziad, 20000 Casablanca,</w:t>
      </w:r>
    </w:p>
    <w:p>
      <w:pPr>
        <w:spacing w:before="0"/>
        <w:ind w:left="0" w:right="39" w:firstLine="0"/>
        <w:jc w:val="right"/>
        <w:rPr>
          <w:i/>
          <w:sz w:val="16"/>
        </w:rPr>
      </w:pPr>
      <w:r>
        <w:rPr>
          <w:i/>
          <w:spacing w:val="-4"/>
          <w:w w:val="105"/>
          <w:sz w:val="16"/>
        </w:rPr>
        <w:t>Maroc</w:t>
      </w:r>
    </w:p>
    <w:p>
      <w:pPr>
        <w:spacing w:line="295" w:lineRule="auto" w:before="39"/>
        <w:ind w:left="95" w:right="39" w:firstLine="350"/>
        <w:jc w:val="left"/>
        <w:rPr>
          <w:i/>
          <w:sz w:val="16"/>
        </w:rPr>
      </w:pPr>
      <w:r>
        <w:rPr>
          <w:w w:val="105"/>
          <w:sz w:val="16"/>
          <w:vertAlign w:val="superscript"/>
        </w:rPr>
        <w:t>e</w:t>
      </w:r>
      <w:r>
        <w:rPr>
          <w:i/>
          <w:w w:val="105"/>
          <w:sz w:val="16"/>
          <w:vertAlign w:val="baseline"/>
        </w:rPr>
        <w:t>Service des explorations fonctionnelles neurologiques, hoˆpital </w:t>
      </w:r>
      <w:r>
        <w:rPr>
          <w:i/>
          <w:spacing w:val="-4"/>
          <w:w w:val="105"/>
          <w:sz w:val="16"/>
          <w:vertAlign w:val="baseline"/>
        </w:rPr>
        <w:t>Pitie´-Salpeˆtrie`re,</w:t>
      </w:r>
      <w:r>
        <w:rPr>
          <w:i/>
          <w:spacing w:val="8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47–83,</w:t>
      </w:r>
      <w:r>
        <w:rPr>
          <w:i/>
          <w:spacing w:val="8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boulevard</w:t>
      </w:r>
      <w:r>
        <w:rPr>
          <w:i/>
          <w:spacing w:val="7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de</w:t>
      </w:r>
      <w:r>
        <w:rPr>
          <w:i/>
          <w:spacing w:val="8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l’Hoˆpital,</w:t>
      </w:r>
      <w:r>
        <w:rPr>
          <w:i/>
          <w:spacing w:val="9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75013</w:t>
      </w:r>
      <w:r>
        <w:rPr>
          <w:i/>
          <w:spacing w:val="7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Paris,</w:t>
      </w:r>
      <w:r>
        <w:rPr>
          <w:i/>
          <w:spacing w:val="6"/>
          <w:w w:val="105"/>
          <w:sz w:val="16"/>
          <w:vertAlign w:val="baseline"/>
        </w:rPr>
        <w:t> </w:t>
      </w:r>
      <w:r>
        <w:rPr>
          <w:i/>
          <w:spacing w:val="-4"/>
          <w:w w:val="105"/>
          <w:sz w:val="16"/>
          <w:vertAlign w:val="baseline"/>
        </w:rPr>
        <w:t>France</w:t>
      </w:r>
    </w:p>
    <w:p>
      <w:pPr>
        <w:pStyle w:val="BodyText"/>
        <w:spacing w:before="43"/>
        <w:rPr>
          <w:i/>
        </w:rPr>
      </w:pPr>
    </w:p>
    <w:p>
      <w:pPr>
        <w:pStyle w:val="BodyText"/>
        <w:spacing w:line="295" w:lineRule="auto"/>
        <w:ind w:left="226" w:right="38" w:firstLine="1"/>
        <w:jc w:val="right"/>
      </w:pPr>
      <w:r>
        <w:rPr>
          <w:w w:val="115"/>
        </w:rPr>
        <w:t>*</w:t>
      </w:r>
      <w:r>
        <w:rPr>
          <w:i/>
          <w:w w:val="115"/>
        </w:rPr>
        <w:t>Corresponding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author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at</w:t>
      </w:r>
      <w:r>
        <w:rPr>
          <w:w w:val="115"/>
        </w:rPr>
        <w:t>:</w:t>
      </w:r>
      <w:r>
        <w:rPr>
          <w:spacing w:val="-4"/>
          <w:w w:val="115"/>
        </w:rPr>
        <w:t> </w:t>
      </w:r>
      <w:r>
        <w:rPr>
          <w:w w:val="115"/>
        </w:rPr>
        <w:t>Service</w:t>
      </w:r>
      <w:r>
        <w:rPr>
          <w:spacing w:val="-4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neurologie,</w:t>
      </w:r>
      <w:r>
        <w:rPr>
          <w:spacing w:val="-4"/>
          <w:w w:val="115"/>
        </w:rPr>
        <w:t> </w:t>
      </w:r>
      <w:r>
        <w:rPr>
          <w:w w:val="115"/>
        </w:rPr>
        <w:t>explorations </w:t>
      </w:r>
      <w:r>
        <w:rPr>
          <w:w w:val="120"/>
        </w:rPr>
        <w:t>neurophysiologiques</w:t>
      </w:r>
      <w:r>
        <w:rPr>
          <w:spacing w:val="-1"/>
          <w:w w:val="120"/>
        </w:rPr>
        <w:t> </w:t>
      </w:r>
      <w:r>
        <w:rPr>
          <w:w w:val="120"/>
        </w:rPr>
        <w:t>cliniques,</w:t>
      </w:r>
      <w:r>
        <w:rPr>
          <w:spacing w:val="-2"/>
          <w:w w:val="120"/>
        </w:rPr>
        <w:t> </w:t>
      </w:r>
      <w:r>
        <w:rPr>
          <w:w w:val="120"/>
        </w:rPr>
        <w:t>CHU</w:t>
      </w:r>
      <w:r>
        <w:rPr>
          <w:spacing w:val="-2"/>
          <w:w w:val="120"/>
        </w:rPr>
        <w:t> </w:t>
      </w:r>
      <w:r>
        <w:rPr>
          <w:w w:val="120"/>
        </w:rPr>
        <w:t>de</w:t>
      </w:r>
      <w:r>
        <w:rPr>
          <w:spacing w:val="-1"/>
          <w:w w:val="120"/>
        </w:rPr>
        <w:t> </w:t>
      </w:r>
      <w:r>
        <w:rPr>
          <w:w w:val="120"/>
        </w:rPr>
        <w:t>Ibn Rochd, quartier des</w:t>
      </w:r>
      <w:r>
        <w:rPr>
          <w:spacing w:val="-12"/>
          <w:w w:val="120"/>
        </w:rPr>
        <w:t> </w:t>
      </w:r>
      <w:r>
        <w:rPr>
          <w:w w:val="120"/>
        </w:rPr>
        <w:t>Hoˆ</w:t>
      </w:r>
      <w:r>
        <w:rPr>
          <w:spacing w:val="-28"/>
          <w:w w:val="120"/>
        </w:rPr>
        <w:t> </w:t>
      </w:r>
      <w:r>
        <w:rPr>
          <w:w w:val="120"/>
        </w:rPr>
        <w:t>pitaux,</w:t>
      </w:r>
      <w:r>
        <w:rPr>
          <w:spacing w:val="-12"/>
          <w:w w:val="120"/>
        </w:rPr>
        <w:t> </w:t>
      </w:r>
      <w:r>
        <w:rPr>
          <w:w w:val="120"/>
        </w:rPr>
        <w:t>1,</w:t>
      </w:r>
      <w:r>
        <w:rPr>
          <w:spacing w:val="-12"/>
          <w:w w:val="120"/>
        </w:rPr>
        <w:t> </w:t>
      </w:r>
      <w:r>
        <w:rPr>
          <w:w w:val="120"/>
        </w:rPr>
        <w:t>rue</w:t>
      </w:r>
      <w:r>
        <w:rPr>
          <w:spacing w:val="-12"/>
          <w:w w:val="120"/>
        </w:rPr>
        <w:t> </w:t>
      </w:r>
      <w:r>
        <w:rPr>
          <w:w w:val="120"/>
        </w:rPr>
        <w:t>des</w:t>
      </w:r>
      <w:r>
        <w:rPr>
          <w:spacing w:val="-12"/>
          <w:w w:val="120"/>
        </w:rPr>
        <w:t> </w:t>
      </w:r>
      <w:r>
        <w:rPr>
          <w:w w:val="120"/>
        </w:rPr>
        <w:t>Hoˆ</w:t>
      </w:r>
      <w:r>
        <w:rPr>
          <w:spacing w:val="-28"/>
          <w:w w:val="120"/>
        </w:rPr>
        <w:t> </w:t>
      </w:r>
      <w:r>
        <w:rPr>
          <w:w w:val="120"/>
        </w:rPr>
        <w:t>pitaux,</w:t>
      </w:r>
      <w:r>
        <w:rPr>
          <w:spacing w:val="-12"/>
          <w:w w:val="120"/>
        </w:rPr>
        <w:t> </w:t>
      </w:r>
      <w:r>
        <w:rPr>
          <w:w w:val="120"/>
        </w:rPr>
        <w:t>BP-40143,</w:t>
      </w:r>
      <w:r>
        <w:rPr>
          <w:spacing w:val="-12"/>
          <w:w w:val="120"/>
        </w:rPr>
        <w:t> </w:t>
      </w:r>
      <w:r>
        <w:rPr>
          <w:w w:val="120"/>
        </w:rPr>
        <w:t>20000</w:t>
      </w:r>
    </w:p>
    <w:p>
      <w:pPr>
        <w:pStyle w:val="BodyText"/>
        <w:spacing w:line="295" w:lineRule="auto" w:before="3"/>
        <w:ind w:left="744" w:right="39" w:firstLine="2621"/>
        <w:jc w:val="right"/>
      </w:pPr>
      <w:r>
        <w:rPr>
          <w:spacing w:val="-2"/>
          <w:w w:val="120"/>
        </w:rPr>
        <w:t>Casablanca,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Maroc. </w:t>
      </w:r>
      <w:r>
        <w:rPr>
          <w:w w:val="115"/>
        </w:rPr>
        <w:t>E-mail</w:t>
      </w:r>
      <w:r>
        <w:rPr>
          <w:spacing w:val="20"/>
          <w:w w:val="115"/>
        </w:rPr>
        <w:t> </w:t>
      </w:r>
      <w:r>
        <w:rPr>
          <w:w w:val="115"/>
        </w:rPr>
        <w:t>address:</w:t>
      </w:r>
      <w:r>
        <w:rPr>
          <w:spacing w:val="21"/>
          <w:w w:val="115"/>
        </w:rPr>
        <w:t> </w:t>
      </w:r>
      <w:hyperlink r:id="rId19">
        <w:r>
          <w:rPr>
            <w:color w:val="00689C"/>
            <w:w w:val="115"/>
          </w:rPr>
          <w:t>neuroblanca@gmail.com</w:t>
        </w:r>
      </w:hyperlink>
      <w:r>
        <w:rPr>
          <w:color w:val="00689C"/>
          <w:spacing w:val="24"/>
          <w:w w:val="115"/>
        </w:rPr>
        <w:t> </w:t>
      </w:r>
      <w:r>
        <w:rPr>
          <w:w w:val="115"/>
        </w:rPr>
        <w:t>(M.A.</w:t>
      </w:r>
      <w:r>
        <w:rPr>
          <w:spacing w:val="22"/>
          <w:w w:val="115"/>
        </w:rPr>
        <w:t> </w:t>
      </w:r>
      <w:r>
        <w:rPr>
          <w:spacing w:val="-2"/>
          <w:w w:val="115"/>
        </w:rPr>
        <w:t>Rafai)</w:t>
      </w:r>
    </w:p>
    <w:p>
      <w:pPr>
        <w:pStyle w:val="BodyText"/>
        <w:spacing w:before="45"/>
      </w:pPr>
    </w:p>
    <w:p>
      <w:pPr>
        <w:pStyle w:val="BodyText"/>
        <w:spacing w:line="295" w:lineRule="auto"/>
        <w:ind w:left="1859" w:right="38" w:firstLine="952"/>
        <w:jc w:val="right"/>
      </w:pPr>
      <w:r>
        <w:rPr>
          <w:w w:val="115"/>
        </w:rPr>
        <w:t>Received</w:t>
      </w:r>
      <w:r>
        <w:rPr>
          <w:spacing w:val="-4"/>
          <w:w w:val="115"/>
        </w:rPr>
        <w:t> </w:t>
      </w:r>
      <w:r>
        <w:rPr>
          <w:w w:val="115"/>
        </w:rPr>
        <w:t>15</w:t>
      </w:r>
      <w:r>
        <w:rPr>
          <w:spacing w:val="-3"/>
          <w:w w:val="115"/>
        </w:rPr>
        <w:t> </w:t>
      </w:r>
      <w:r>
        <w:rPr>
          <w:w w:val="115"/>
        </w:rPr>
        <w:t>February</w:t>
      </w:r>
      <w:r>
        <w:rPr>
          <w:spacing w:val="-3"/>
          <w:w w:val="115"/>
        </w:rPr>
        <w:t> </w:t>
      </w:r>
      <w:r>
        <w:rPr>
          <w:w w:val="115"/>
        </w:rPr>
        <w:t>2020 Received</w:t>
      </w:r>
      <w:r>
        <w:rPr>
          <w:spacing w:val="13"/>
          <w:w w:val="115"/>
        </w:rPr>
        <w:t> </w:t>
      </w:r>
      <w:r>
        <w:rPr>
          <w:w w:val="115"/>
        </w:rPr>
        <w:t>in</w:t>
      </w:r>
      <w:r>
        <w:rPr>
          <w:spacing w:val="14"/>
          <w:w w:val="115"/>
        </w:rPr>
        <w:t> </w:t>
      </w:r>
      <w:r>
        <w:rPr>
          <w:w w:val="115"/>
        </w:rPr>
        <w:t>revised</w:t>
      </w:r>
      <w:r>
        <w:rPr>
          <w:spacing w:val="15"/>
          <w:w w:val="115"/>
        </w:rPr>
        <w:t> </w:t>
      </w:r>
      <w:r>
        <w:rPr>
          <w:w w:val="115"/>
        </w:rPr>
        <w:t>form</w:t>
      </w:r>
      <w:r>
        <w:rPr>
          <w:spacing w:val="13"/>
          <w:w w:val="115"/>
        </w:rPr>
        <w:t> </w:t>
      </w:r>
      <w:r>
        <w:rPr>
          <w:w w:val="115"/>
        </w:rPr>
        <w:t>10</w:t>
      </w:r>
      <w:r>
        <w:rPr>
          <w:spacing w:val="15"/>
          <w:w w:val="115"/>
        </w:rPr>
        <w:t> </w:t>
      </w:r>
      <w:r>
        <w:rPr>
          <w:w w:val="115"/>
        </w:rPr>
        <w:t>April</w:t>
      </w:r>
      <w:r>
        <w:rPr>
          <w:spacing w:val="15"/>
          <w:w w:val="115"/>
        </w:rPr>
        <w:t> </w:t>
      </w:r>
      <w:r>
        <w:rPr>
          <w:spacing w:val="-4"/>
          <w:w w:val="115"/>
        </w:rPr>
        <w:t>2020</w:t>
      </w:r>
    </w:p>
    <w:p>
      <w:pPr>
        <w:pStyle w:val="BodyText"/>
        <w:spacing w:before="1"/>
        <w:ind w:right="38"/>
        <w:jc w:val="right"/>
      </w:pPr>
      <w:r>
        <w:rPr>
          <w:w w:val="115"/>
        </w:rPr>
        <w:t>Accepted</w:t>
      </w:r>
      <w:r>
        <w:rPr>
          <w:spacing w:val="7"/>
          <w:w w:val="115"/>
        </w:rPr>
        <w:t> </w:t>
      </w:r>
      <w:r>
        <w:rPr>
          <w:w w:val="115"/>
        </w:rPr>
        <w:t>15</w:t>
      </w:r>
      <w:r>
        <w:rPr>
          <w:spacing w:val="8"/>
          <w:w w:val="115"/>
        </w:rPr>
        <w:t> </w:t>
      </w:r>
      <w:r>
        <w:rPr>
          <w:w w:val="115"/>
        </w:rPr>
        <w:t>April</w:t>
      </w:r>
      <w:r>
        <w:rPr>
          <w:spacing w:val="8"/>
          <w:w w:val="115"/>
        </w:rPr>
        <w:t> </w:t>
      </w:r>
      <w:r>
        <w:rPr>
          <w:spacing w:val="-4"/>
          <w:w w:val="115"/>
        </w:rPr>
        <w:t>2020</w:t>
      </w:r>
    </w:p>
    <w:p>
      <w:pPr>
        <w:pStyle w:val="BodyText"/>
        <w:spacing w:before="44"/>
        <w:ind w:right="38"/>
        <w:jc w:val="right"/>
      </w:pPr>
      <w:r>
        <w:rPr>
          <w:w w:val="115"/>
        </w:rPr>
        <w:t>Available</w:t>
      </w:r>
      <w:r>
        <w:rPr>
          <w:spacing w:val="9"/>
          <w:w w:val="115"/>
        </w:rPr>
        <w:t> </w:t>
      </w:r>
      <w:r>
        <w:rPr>
          <w:w w:val="115"/>
        </w:rPr>
        <w:t>online</w:t>
      </w:r>
      <w:r>
        <w:rPr>
          <w:spacing w:val="11"/>
          <w:w w:val="115"/>
        </w:rPr>
        <w:t> </w:t>
      </w:r>
      <w:r>
        <w:rPr>
          <w:w w:val="115"/>
        </w:rPr>
        <w:t>7</w:t>
      </w:r>
      <w:r>
        <w:rPr>
          <w:spacing w:val="11"/>
          <w:w w:val="115"/>
        </w:rPr>
        <w:t> </w:t>
      </w:r>
      <w:r>
        <w:rPr>
          <w:w w:val="115"/>
        </w:rPr>
        <w:t>July</w:t>
      </w:r>
      <w:r>
        <w:rPr>
          <w:spacing w:val="13"/>
          <w:w w:val="115"/>
        </w:rPr>
        <w:t> </w:t>
      </w:r>
      <w:r>
        <w:rPr>
          <w:spacing w:val="-4"/>
          <w:w w:val="115"/>
        </w:rPr>
        <w:t>2020</w:t>
      </w:r>
    </w:p>
    <w:p>
      <w:pPr>
        <w:pStyle w:val="BodyText"/>
        <w:spacing w:before="25"/>
      </w:pPr>
    </w:p>
    <w:p>
      <w:pPr>
        <w:pStyle w:val="BodyText"/>
        <w:spacing w:line="297" w:lineRule="auto"/>
        <w:ind w:left="233" w:right="38" w:firstLine="1317"/>
        <w:jc w:val="right"/>
      </w:pPr>
      <w:hyperlink r:id="rId20">
        <w:r>
          <w:rPr>
            <w:color w:val="00689C"/>
            <w:spacing w:val="-2"/>
            <w:w w:val="115"/>
          </w:rPr>
          <w:t>https://doi.org/10.1016/j.neurol.2020.04.018</w:t>
        </w:r>
      </w:hyperlink>
      <w:r>
        <w:rPr>
          <w:color w:val="00689C"/>
          <w:spacing w:val="-2"/>
          <w:w w:val="115"/>
        </w:rPr>
        <w:t> </w:t>
      </w:r>
      <w:r>
        <w:rPr>
          <w:w w:val="115"/>
        </w:rPr>
        <w:t>0035-3787/#</w:t>
      </w:r>
      <w:r>
        <w:rPr>
          <w:spacing w:val="9"/>
          <w:w w:val="115"/>
        </w:rPr>
        <w:t> </w:t>
      </w:r>
      <w:r>
        <w:rPr>
          <w:w w:val="115"/>
        </w:rPr>
        <w:t>2020</w:t>
      </w:r>
      <w:r>
        <w:rPr>
          <w:spacing w:val="9"/>
          <w:w w:val="115"/>
        </w:rPr>
        <w:t> </w:t>
      </w:r>
      <w:r>
        <w:rPr>
          <w:w w:val="115"/>
        </w:rPr>
        <w:t>Elsevier</w:t>
      </w:r>
      <w:r>
        <w:rPr>
          <w:spacing w:val="9"/>
          <w:w w:val="115"/>
        </w:rPr>
        <w:t> </w:t>
      </w:r>
      <w:r>
        <w:rPr>
          <w:w w:val="115"/>
        </w:rPr>
        <w:t>Masson</w:t>
      </w:r>
      <w:r>
        <w:rPr>
          <w:spacing w:val="9"/>
          <w:w w:val="115"/>
        </w:rPr>
        <w:t> </w:t>
      </w:r>
      <w:r>
        <w:rPr>
          <w:w w:val="115"/>
        </w:rPr>
        <w:t>SAS.</w:t>
      </w:r>
      <w:r>
        <w:rPr>
          <w:spacing w:val="9"/>
          <w:w w:val="115"/>
        </w:rPr>
        <w:t> </w:t>
      </w:r>
      <w:r>
        <w:rPr>
          <w:w w:val="115"/>
        </w:rPr>
        <w:t>All</w:t>
      </w:r>
      <w:r>
        <w:rPr>
          <w:spacing w:val="10"/>
          <w:w w:val="115"/>
        </w:rPr>
        <w:t> </w:t>
      </w:r>
      <w:r>
        <w:rPr>
          <w:w w:val="115"/>
        </w:rPr>
        <w:t>rights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reserved.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Heading1"/>
        <w:spacing w:line="271" w:lineRule="auto"/>
        <w:ind w:right="1883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3092399</wp:posOffset>
            </wp:positionH>
            <wp:positionV relativeFrom="paragraph">
              <wp:posOffset>6596</wp:posOffset>
            </wp:positionV>
            <wp:extent cx="359994" cy="35999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</w:rPr>
        <w:t>Acute dysautonomia and erythromelalgia </w:t>
      </w:r>
      <w:r>
        <w:rPr>
          <w:w w:val="125"/>
        </w:rPr>
        <w:t>associated with testicular seminoma:</w:t>
      </w:r>
    </w:p>
    <w:p>
      <w:pPr>
        <w:spacing w:before="1"/>
        <w:ind w:left="95" w:right="0" w:firstLine="0"/>
        <w:jc w:val="left"/>
        <w:rPr>
          <w:sz w:val="19"/>
        </w:rPr>
      </w:pPr>
      <w:r>
        <w:rPr>
          <w:w w:val="120"/>
          <w:sz w:val="19"/>
        </w:rPr>
        <w:t>A</w:t>
      </w:r>
      <w:r>
        <w:rPr>
          <w:spacing w:val="8"/>
          <w:w w:val="120"/>
          <w:sz w:val="19"/>
        </w:rPr>
        <w:t> </w:t>
      </w:r>
      <w:r>
        <w:rPr>
          <w:w w:val="120"/>
          <w:sz w:val="19"/>
        </w:rPr>
        <w:t>case</w:t>
      </w:r>
      <w:r>
        <w:rPr>
          <w:spacing w:val="8"/>
          <w:w w:val="120"/>
          <w:sz w:val="19"/>
        </w:rPr>
        <w:t> </w:t>
      </w:r>
      <w:r>
        <w:rPr>
          <w:spacing w:val="-2"/>
          <w:w w:val="120"/>
          <w:sz w:val="19"/>
        </w:rPr>
        <w:t>report</w:t>
      </w:r>
    </w:p>
    <w:p>
      <w:pPr>
        <w:pStyle w:val="BodyText"/>
        <w:spacing w:before="57"/>
        <w:rPr>
          <w:sz w:val="19"/>
        </w:rPr>
      </w:pPr>
    </w:p>
    <w:p>
      <w:pPr>
        <w:pStyle w:val="BodyText"/>
        <w:spacing w:line="300" w:lineRule="auto"/>
        <w:ind w:left="95" w:right="38" w:firstLine="19"/>
        <w:jc w:val="both"/>
      </w:pPr>
      <w:r>
        <w:rPr>
          <w:w w:val="120"/>
        </w:rPr>
        <w:t>A 30-year-old man presented with acute-onset hand-and-foot dysesthesia</w:t>
      </w:r>
      <w:r>
        <w:rPr>
          <w:w w:val="120"/>
        </w:rPr>
        <w:t> and</w:t>
      </w:r>
      <w:r>
        <w:rPr>
          <w:w w:val="120"/>
        </w:rPr>
        <w:t> accommodative</w:t>
      </w:r>
      <w:r>
        <w:rPr>
          <w:w w:val="120"/>
        </w:rPr>
        <w:t> dysfunction.</w:t>
      </w:r>
      <w:r>
        <w:rPr>
          <w:w w:val="120"/>
        </w:rPr>
        <w:t> He had</w:t>
      </w:r>
      <w:r>
        <w:rPr>
          <w:w w:val="120"/>
        </w:rPr>
        <w:t> a</w:t>
      </w:r>
      <w:r>
        <w:rPr>
          <w:w w:val="120"/>
        </w:rPr>
        <w:t> non- disseminated</w:t>
      </w:r>
      <w:r>
        <w:rPr>
          <w:w w:val="120"/>
        </w:rPr>
        <w:t> testicular</w:t>
      </w:r>
      <w:r>
        <w:rPr>
          <w:w w:val="120"/>
        </w:rPr>
        <w:t> seminoma,</w:t>
      </w:r>
      <w:r>
        <w:rPr>
          <w:w w:val="120"/>
        </w:rPr>
        <w:t> treated</w:t>
      </w:r>
      <w:r>
        <w:rPr>
          <w:w w:val="120"/>
        </w:rPr>
        <w:t> by</w:t>
      </w:r>
      <w:r>
        <w:rPr>
          <w:w w:val="120"/>
        </w:rPr>
        <w:t> orchidectomy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six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months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earlier.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PET-scan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follow-up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disclosed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lymph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node </w:t>
      </w:r>
      <w:r>
        <w:rPr>
          <w:w w:val="120"/>
        </w:rPr>
        <w:t>metastasis two weeks before symptom onset. He had no</w:t>
      </w:r>
      <w:r>
        <w:rPr>
          <w:spacing w:val="-1"/>
          <w:w w:val="120"/>
        </w:rPr>
        <w:t> </w:t>
      </w:r>
      <w:r>
        <w:rPr>
          <w:w w:val="120"/>
        </w:rPr>
        <w:t>other medical</w:t>
      </w:r>
      <w:r>
        <w:rPr>
          <w:w w:val="120"/>
        </w:rPr>
        <w:t> history,</w:t>
      </w:r>
      <w:r>
        <w:rPr>
          <w:w w:val="120"/>
        </w:rPr>
        <w:t> nor</w:t>
      </w:r>
      <w:r>
        <w:rPr>
          <w:w w:val="120"/>
        </w:rPr>
        <w:t> did</w:t>
      </w:r>
      <w:r>
        <w:rPr>
          <w:w w:val="120"/>
        </w:rPr>
        <w:t> his</w:t>
      </w:r>
      <w:r>
        <w:rPr>
          <w:w w:val="120"/>
        </w:rPr>
        <w:t> family,</w:t>
      </w:r>
      <w:r>
        <w:rPr>
          <w:w w:val="120"/>
        </w:rPr>
        <w:t> specially</w:t>
      </w:r>
      <w:r>
        <w:rPr>
          <w:w w:val="120"/>
        </w:rPr>
        <w:t> no</w:t>
      </w:r>
      <w:r>
        <w:rPr>
          <w:w w:val="120"/>
        </w:rPr>
        <w:t> cases</w:t>
      </w:r>
      <w:r>
        <w:rPr>
          <w:w w:val="120"/>
        </w:rPr>
        <w:t> of neoplasia</w:t>
      </w:r>
      <w:r>
        <w:rPr>
          <w:w w:val="120"/>
        </w:rPr>
        <w:t> or</w:t>
      </w:r>
      <w:r>
        <w:rPr>
          <w:w w:val="120"/>
        </w:rPr>
        <w:t> neuropathy.</w:t>
      </w:r>
      <w:r>
        <w:rPr>
          <w:w w:val="120"/>
        </w:rPr>
        <w:t> The</w:t>
      </w:r>
      <w:r>
        <w:rPr>
          <w:w w:val="120"/>
        </w:rPr>
        <w:t> initial</w:t>
      </w:r>
      <w:r>
        <w:rPr>
          <w:w w:val="120"/>
        </w:rPr>
        <w:t> evaluation</w:t>
      </w:r>
      <w:r>
        <w:rPr>
          <w:w w:val="120"/>
        </w:rPr>
        <w:t> highlighted manifestations</w:t>
      </w:r>
      <w:r>
        <w:rPr>
          <w:spacing w:val="37"/>
          <w:w w:val="120"/>
        </w:rPr>
        <w:t> </w:t>
      </w:r>
      <w:r>
        <w:rPr>
          <w:w w:val="120"/>
        </w:rPr>
        <w:t>of</w:t>
      </w:r>
      <w:r>
        <w:rPr>
          <w:spacing w:val="37"/>
          <w:w w:val="120"/>
        </w:rPr>
        <w:t> </w:t>
      </w:r>
      <w:r>
        <w:rPr>
          <w:w w:val="120"/>
        </w:rPr>
        <w:t>peripheral</w:t>
      </w:r>
      <w:r>
        <w:rPr>
          <w:spacing w:val="39"/>
          <w:w w:val="120"/>
        </w:rPr>
        <w:t> </w:t>
      </w:r>
      <w:r>
        <w:rPr>
          <w:w w:val="120"/>
        </w:rPr>
        <w:t>dysautonomia:</w:t>
      </w:r>
      <w:r>
        <w:rPr>
          <w:spacing w:val="37"/>
          <w:w w:val="120"/>
        </w:rPr>
        <w:t> </w:t>
      </w:r>
      <w:r>
        <w:rPr>
          <w:spacing w:val="-2"/>
          <w:w w:val="120"/>
        </w:rPr>
        <w:t>accommodative</w:t>
      </w:r>
    </w:p>
    <w:p>
      <w:pPr>
        <w:pStyle w:val="BodyText"/>
        <w:spacing w:line="300" w:lineRule="auto" w:before="105"/>
        <w:ind w:left="86" w:right="182"/>
        <w:jc w:val="both"/>
      </w:pPr>
      <w:r>
        <w:rPr/>
        <w:br w:type="column"/>
      </w:r>
      <w:r>
        <w:rPr>
          <w:w w:val="120"/>
        </w:rPr>
        <w:t>insufficiency,</w:t>
      </w:r>
      <w:r>
        <w:rPr>
          <w:w w:val="120"/>
        </w:rPr>
        <w:t> bilateral</w:t>
      </w:r>
      <w:r>
        <w:rPr>
          <w:w w:val="120"/>
        </w:rPr>
        <w:t> mydriasis</w:t>
      </w:r>
      <w:r>
        <w:rPr>
          <w:w w:val="120"/>
        </w:rPr>
        <w:t> (</w:t>
      </w:r>
      <w:r>
        <w:rPr>
          <w:color w:val="00689C"/>
          <w:w w:val="120"/>
        </w:rPr>
        <w:t>Fig.</w:t>
      </w:r>
      <w:r>
        <w:rPr>
          <w:color w:val="00689C"/>
          <w:w w:val="120"/>
        </w:rPr>
        <w:t> 1 </w:t>
      </w:r>
      <w:r>
        <w:rPr>
          <w:w w:val="120"/>
        </w:rPr>
        <w:t>Adie</w:t>
      </w:r>
      <w:r>
        <w:rPr>
          <w:w w:val="120"/>
        </w:rPr>
        <w:t> pupil; positive </w:t>
      </w:r>
      <w:r>
        <w:rPr>
          <w:w w:val="115"/>
        </w:rPr>
        <w:t>pilocarpine</w:t>
      </w:r>
      <w:r>
        <w:rPr>
          <w:spacing w:val="-2"/>
          <w:w w:val="115"/>
        </w:rPr>
        <w:t> </w:t>
      </w:r>
      <w:r>
        <w:rPr>
          <w:w w:val="115"/>
        </w:rPr>
        <w:t>test at</w:t>
      </w:r>
      <w:r>
        <w:rPr>
          <w:spacing w:val="-2"/>
          <w:w w:val="115"/>
        </w:rPr>
        <w:t> </w:t>
      </w:r>
      <w:r>
        <w:rPr>
          <w:w w:val="115"/>
        </w:rPr>
        <w:t>1%</w:t>
      </w:r>
      <w:r>
        <w:rPr>
          <w:spacing w:val="-2"/>
          <w:w w:val="115"/>
        </w:rPr>
        <w:t> </w:t>
      </w:r>
      <w:r>
        <w:rPr>
          <w:w w:val="115"/>
        </w:rPr>
        <w:t>and 0.1%</w:t>
      </w:r>
      <w:r>
        <w:rPr>
          <w:spacing w:val="-2"/>
          <w:w w:val="115"/>
        </w:rPr>
        <w:t> </w:t>
      </w:r>
      <w:r>
        <w:rPr>
          <w:w w:val="115"/>
        </w:rPr>
        <w:t>dilutions), gastroparesis causing </w:t>
      </w:r>
      <w:r>
        <w:rPr>
          <w:w w:val="120"/>
        </w:rPr>
        <w:t>10</w:t>
      </w:r>
      <w:r>
        <w:rPr>
          <w:spacing w:val="-10"/>
          <w:w w:val="120"/>
        </w:rPr>
        <w:t> </w:t>
      </w:r>
      <w:r>
        <w:rPr>
          <w:w w:val="120"/>
        </w:rPr>
        <w:t>kg</w:t>
      </w:r>
      <w:r>
        <w:rPr>
          <w:w w:val="120"/>
        </w:rPr>
        <w:t> weight</w:t>
      </w:r>
      <w:r>
        <w:rPr>
          <w:w w:val="120"/>
        </w:rPr>
        <w:t> loss,</w:t>
      </w:r>
      <w:r>
        <w:rPr>
          <w:w w:val="120"/>
        </w:rPr>
        <w:t> sympathicotonic</w:t>
      </w:r>
      <w:r>
        <w:rPr>
          <w:w w:val="120"/>
        </w:rPr>
        <w:t> orthostatic</w:t>
      </w:r>
      <w:r>
        <w:rPr>
          <w:w w:val="120"/>
        </w:rPr>
        <w:t> hypotension, erectile</w:t>
      </w:r>
      <w:r>
        <w:rPr>
          <w:spacing w:val="-1"/>
          <w:w w:val="120"/>
        </w:rPr>
        <w:t> </w:t>
      </w:r>
      <w:r>
        <w:rPr>
          <w:w w:val="120"/>
        </w:rPr>
        <w:t>dysfunction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dysuria.</w:t>
      </w:r>
      <w:r>
        <w:rPr>
          <w:spacing w:val="-2"/>
          <w:w w:val="120"/>
        </w:rPr>
        <w:t> </w:t>
      </w:r>
      <w:r>
        <w:rPr>
          <w:w w:val="120"/>
        </w:rPr>
        <w:t>He</w:t>
      </w:r>
      <w:r>
        <w:rPr>
          <w:spacing w:val="-3"/>
          <w:w w:val="120"/>
        </w:rPr>
        <w:t> </w:t>
      </w:r>
      <w:r>
        <w:rPr>
          <w:w w:val="120"/>
        </w:rPr>
        <w:t>felt</w:t>
      </w:r>
      <w:r>
        <w:rPr>
          <w:spacing w:val="-3"/>
          <w:w w:val="120"/>
        </w:rPr>
        <w:t> </w:t>
      </w:r>
      <w:r>
        <w:rPr>
          <w:w w:val="120"/>
        </w:rPr>
        <w:t>continuous</w:t>
      </w:r>
      <w:r>
        <w:rPr>
          <w:spacing w:val="-2"/>
          <w:w w:val="120"/>
        </w:rPr>
        <w:t> </w:t>
      </w:r>
      <w:r>
        <w:rPr>
          <w:w w:val="120"/>
        </w:rPr>
        <w:t>local</w:t>
      </w:r>
      <w:r>
        <w:rPr>
          <w:spacing w:val="-1"/>
          <w:w w:val="120"/>
        </w:rPr>
        <w:t> </w:t>
      </w:r>
      <w:r>
        <w:rPr>
          <w:w w:val="120"/>
        </w:rPr>
        <w:t>heat with</w:t>
      </w:r>
      <w:r>
        <w:rPr>
          <w:spacing w:val="-12"/>
          <w:w w:val="120"/>
        </w:rPr>
        <w:t> </w:t>
      </w:r>
      <w:r>
        <w:rPr>
          <w:w w:val="120"/>
        </w:rPr>
        <w:t>electric</w:t>
      </w:r>
      <w:r>
        <w:rPr>
          <w:spacing w:val="-11"/>
          <w:w w:val="120"/>
        </w:rPr>
        <w:t> </w:t>
      </w:r>
      <w:r>
        <w:rPr>
          <w:w w:val="120"/>
        </w:rPr>
        <w:t>discharges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burning</w:t>
      </w:r>
      <w:r>
        <w:rPr>
          <w:spacing w:val="-12"/>
          <w:w w:val="120"/>
        </w:rPr>
        <w:t> </w:t>
      </w:r>
      <w:r>
        <w:rPr>
          <w:w w:val="120"/>
        </w:rPr>
        <w:t>sensations</w:t>
      </w:r>
      <w:r>
        <w:rPr>
          <w:spacing w:val="-11"/>
          <w:w w:val="120"/>
        </w:rPr>
        <w:t> </w:t>
      </w:r>
      <w:r>
        <w:rPr>
          <w:w w:val="120"/>
        </w:rPr>
        <w:t>elicited</w:t>
      </w:r>
      <w:r>
        <w:rPr>
          <w:spacing w:val="-12"/>
          <w:w w:val="120"/>
        </w:rPr>
        <w:t> </w:t>
      </w:r>
      <w:r>
        <w:rPr>
          <w:w w:val="120"/>
        </w:rPr>
        <w:t>by</w:t>
      </w:r>
      <w:r>
        <w:rPr>
          <w:spacing w:val="-12"/>
          <w:w w:val="120"/>
        </w:rPr>
        <w:t> </w:t>
      </w:r>
      <w:r>
        <w:rPr>
          <w:w w:val="120"/>
        </w:rPr>
        <w:t>heat sources</w:t>
      </w:r>
      <w:r>
        <w:rPr>
          <w:w w:val="120"/>
        </w:rPr>
        <w:t> (showers)</w:t>
      </w:r>
      <w:r>
        <w:rPr>
          <w:w w:val="120"/>
        </w:rPr>
        <w:t> and</w:t>
      </w:r>
      <w:r>
        <w:rPr>
          <w:w w:val="120"/>
        </w:rPr>
        <w:t> walking.</w:t>
      </w:r>
      <w:r>
        <w:rPr>
          <w:w w:val="120"/>
        </w:rPr>
        <w:t> Deep</w:t>
      </w:r>
      <w:r>
        <w:rPr>
          <w:w w:val="120"/>
        </w:rPr>
        <w:t> tendon</w:t>
      </w:r>
      <w:r>
        <w:rPr>
          <w:w w:val="120"/>
        </w:rPr>
        <w:t> reflexes</w:t>
      </w:r>
      <w:r>
        <w:rPr>
          <w:w w:val="120"/>
        </w:rPr>
        <w:t> dis- appeared</w:t>
      </w:r>
      <w:r>
        <w:rPr>
          <w:w w:val="120"/>
        </w:rPr>
        <w:t> in</w:t>
      </w:r>
      <w:r>
        <w:rPr>
          <w:w w:val="120"/>
        </w:rPr>
        <w:t> two</w:t>
      </w:r>
      <w:r>
        <w:rPr>
          <w:w w:val="120"/>
        </w:rPr>
        <w:t> weeks.</w:t>
      </w:r>
      <w:r>
        <w:rPr>
          <w:w w:val="120"/>
        </w:rPr>
        <w:t> Cerebrospinal</w:t>
      </w:r>
      <w:r>
        <w:rPr>
          <w:w w:val="120"/>
        </w:rPr>
        <w:t> magnetic</w:t>
      </w:r>
      <w:r>
        <w:rPr>
          <w:w w:val="120"/>
        </w:rPr>
        <w:t> resonance imaging,</w:t>
      </w:r>
      <w:r>
        <w:rPr>
          <w:w w:val="120"/>
        </w:rPr>
        <w:t> lumbar</w:t>
      </w:r>
      <w:r>
        <w:rPr>
          <w:w w:val="120"/>
        </w:rPr>
        <w:t> puncture (including oligoclonal bands</w:t>
      </w:r>
      <w:r>
        <w:rPr>
          <w:w w:val="120"/>
        </w:rPr>
        <w:t> and onconeuronal</w:t>
      </w:r>
      <w:r>
        <w:rPr>
          <w:spacing w:val="-6"/>
          <w:w w:val="120"/>
        </w:rPr>
        <w:t> </w:t>
      </w:r>
      <w:r>
        <w:rPr>
          <w:w w:val="120"/>
        </w:rPr>
        <w:t>antibodies),</w:t>
      </w:r>
      <w:r>
        <w:rPr>
          <w:spacing w:val="-5"/>
          <w:w w:val="120"/>
        </w:rPr>
        <w:t> </w:t>
      </w:r>
      <w:r>
        <w:rPr>
          <w:w w:val="120"/>
        </w:rPr>
        <w:t>ENMG</w:t>
      </w:r>
      <w:r>
        <w:rPr>
          <w:spacing w:val="-6"/>
          <w:w w:val="120"/>
        </w:rPr>
        <w:t> </w:t>
      </w:r>
      <w:r>
        <w:rPr>
          <w:w w:val="120"/>
        </w:rPr>
        <w:t>(including</w:t>
      </w:r>
      <w:r>
        <w:rPr>
          <w:spacing w:val="-5"/>
          <w:w w:val="120"/>
        </w:rPr>
        <w:t> </w:t>
      </w:r>
      <w:r>
        <w:rPr>
          <w:w w:val="120"/>
        </w:rPr>
        <w:t>sudomotor</w:t>
      </w:r>
      <w:r>
        <w:rPr>
          <w:spacing w:val="-5"/>
          <w:w w:val="120"/>
        </w:rPr>
        <w:t> </w:t>
      </w:r>
      <w:r>
        <w:rPr>
          <w:w w:val="120"/>
        </w:rPr>
        <w:t>refle- xes)</w:t>
      </w:r>
      <w:r>
        <w:rPr>
          <w:w w:val="120"/>
        </w:rPr>
        <w:t> and</w:t>
      </w:r>
      <w:r>
        <w:rPr>
          <w:w w:val="120"/>
        </w:rPr>
        <w:t> immunological</w:t>
      </w:r>
      <w:r>
        <w:rPr>
          <w:w w:val="120"/>
        </w:rPr>
        <w:t> screening</w:t>
      </w:r>
      <w:r>
        <w:rPr>
          <w:w w:val="120"/>
        </w:rPr>
        <w:t> (including</w:t>
      </w:r>
      <w:r>
        <w:rPr>
          <w:w w:val="120"/>
        </w:rPr>
        <w:t> anti-Ma2,</w:t>
      </w:r>
      <w:r>
        <w:rPr>
          <w:w w:val="120"/>
        </w:rPr>
        <w:t> anti- </w:t>
      </w:r>
      <w:r>
        <w:rPr>
          <w:w w:val="115"/>
        </w:rPr>
        <w:t>FGFR3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anti-a3AChR,</w:t>
      </w:r>
      <w:r>
        <w:rPr>
          <w:spacing w:val="-12"/>
          <w:w w:val="115"/>
        </w:rPr>
        <w:t> </w:t>
      </w:r>
      <w:r>
        <w:rPr>
          <w:w w:val="115"/>
        </w:rPr>
        <w:t>but</w:t>
      </w:r>
      <w:r>
        <w:rPr>
          <w:spacing w:val="-11"/>
          <w:w w:val="115"/>
        </w:rPr>
        <w:t> </w:t>
      </w:r>
      <w:r>
        <w:rPr>
          <w:w w:val="115"/>
        </w:rPr>
        <w:t>not</w:t>
      </w:r>
      <w:r>
        <w:rPr>
          <w:spacing w:val="-12"/>
          <w:w w:val="115"/>
        </w:rPr>
        <w:t> </w:t>
      </w:r>
      <w:r>
        <w:rPr>
          <w:w w:val="115"/>
        </w:rPr>
        <w:t>anti-Kelch-11</w:t>
      </w:r>
      <w:r>
        <w:rPr>
          <w:spacing w:val="-11"/>
          <w:w w:val="115"/>
        </w:rPr>
        <w:t> </w:t>
      </w:r>
      <w:r>
        <w:rPr>
          <w:w w:val="115"/>
        </w:rPr>
        <w:t>antibodies)</w:t>
      </w:r>
      <w:r>
        <w:rPr>
          <w:spacing w:val="-12"/>
          <w:w w:val="115"/>
        </w:rPr>
        <w:t> </w:t>
      </w:r>
      <w:r>
        <w:rPr>
          <w:w w:val="115"/>
        </w:rPr>
        <w:t>were </w:t>
      </w:r>
      <w:r>
        <w:rPr>
          <w:w w:val="120"/>
        </w:rPr>
        <w:t>negative.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patient</w:t>
      </w:r>
      <w:r>
        <w:rPr>
          <w:spacing w:val="-10"/>
          <w:w w:val="120"/>
        </w:rPr>
        <w:t> </w:t>
      </w:r>
      <w:r>
        <w:rPr>
          <w:w w:val="120"/>
        </w:rPr>
        <w:t>underwent</w:t>
      </w:r>
      <w:r>
        <w:rPr>
          <w:spacing w:val="-11"/>
          <w:w w:val="120"/>
        </w:rPr>
        <w:t> </w:t>
      </w:r>
      <w:r>
        <w:rPr>
          <w:w w:val="120"/>
        </w:rPr>
        <w:t>exclusive</w:t>
      </w:r>
      <w:r>
        <w:rPr>
          <w:spacing w:val="-11"/>
          <w:w w:val="120"/>
        </w:rPr>
        <w:t> </w:t>
      </w:r>
      <w:r>
        <w:rPr>
          <w:w w:val="120"/>
        </w:rPr>
        <w:t>radiotherapy</w:t>
      </w:r>
      <w:r>
        <w:rPr>
          <w:spacing w:val="-11"/>
          <w:w w:val="120"/>
        </w:rPr>
        <w:t> </w:t>
      </w:r>
      <w:r>
        <w:rPr>
          <w:w w:val="120"/>
        </w:rPr>
        <w:t>during one month. Meanwhile and during the following two months, the</w:t>
      </w:r>
      <w:r>
        <w:rPr>
          <w:w w:val="120"/>
        </w:rPr>
        <w:t> neuropathic</w:t>
      </w:r>
      <w:r>
        <w:rPr>
          <w:w w:val="120"/>
        </w:rPr>
        <w:t> pain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feet</w:t>
      </w:r>
      <w:r>
        <w:rPr>
          <w:w w:val="120"/>
        </w:rPr>
        <w:t> worsened</w:t>
      </w:r>
      <w:r>
        <w:rPr>
          <w:w w:val="120"/>
        </w:rPr>
        <w:t> despite</w:t>
      </w:r>
      <w:r>
        <w:rPr>
          <w:w w:val="120"/>
        </w:rPr>
        <w:t> early treatment</w:t>
      </w:r>
      <w:r>
        <w:rPr>
          <w:w w:val="120"/>
        </w:rPr>
        <w:t> with</w:t>
      </w:r>
      <w:r>
        <w:rPr>
          <w:w w:val="120"/>
        </w:rPr>
        <w:t> corticosteroids</w:t>
      </w:r>
      <w:r>
        <w:rPr>
          <w:w w:val="120"/>
        </w:rPr>
        <w:t> and</w:t>
      </w:r>
      <w:r>
        <w:rPr>
          <w:w w:val="120"/>
        </w:rPr>
        <w:t> polyvalent</w:t>
      </w:r>
      <w:r>
        <w:rPr>
          <w:w w:val="120"/>
        </w:rPr>
        <w:t> intravenous immunoglobulins.</w:t>
      </w:r>
      <w:r>
        <w:rPr>
          <w:w w:val="120"/>
        </w:rPr>
        <w:t> Tramadol,</w:t>
      </w:r>
      <w:r>
        <w:rPr>
          <w:w w:val="120"/>
        </w:rPr>
        <w:t> gabapentin,</w:t>
      </w:r>
      <w:r>
        <w:rPr>
          <w:w w:val="120"/>
        </w:rPr>
        <w:t> amitriptyline,</w:t>
      </w:r>
      <w:r>
        <w:rPr>
          <w:w w:val="120"/>
        </w:rPr>
        <w:t> cap- saicin</w:t>
      </w:r>
      <w:r>
        <w:rPr>
          <w:spacing w:val="-5"/>
          <w:w w:val="120"/>
        </w:rPr>
        <w:t> </w:t>
      </w:r>
      <w:r>
        <w:rPr>
          <w:w w:val="120"/>
        </w:rPr>
        <w:t>patches,</w:t>
      </w:r>
      <w:r>
        <w:rPr>
          <w:spacing w:val="-5"/>
          <w:w w:val="120"/>
        </w:rPr>
        <w:t> </w:t>
      </w:r>
      <w:r>
        <w:rPr>
          <w:w w:val="120"/>
        </w:rPr>
        <w:t>morphine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ketamine</w:t>
      </w:r>
      <w:r>
        <w:rPr>
          <w:spacing w:val="-6"/>
          <w:w w:val="120"/>
        </w:rPr>
        <w:t> </w:t>
      </w:r>
      <w:r>
        <w:rPr>
          <w:w w:val="120"/>
        </w:rPr>
        <w:t>could</w:t>
      </w:r>
      <w:r>
        <w:rPr>
          <w:spacing w:val="-6"/>
          <w:w w:val="120"/>
        </w:rPr>
        <w:t> </w:t>
      </w:r>
      <w:r>
        <w:rPr>
          <w:w w:val="120"/>
        </w:rPr>
        <w:t>hardly</w:t>
      </w:r>
      <w:r>
        <w:rPr>
          <w:spacing w:val="-4"/>
          <w:w w:val="120"/>
        </w:rPr>
        <w:t> </w:t>
      </w:r>
      <w:r>
        <w:rPr>
          <w:w w:val="120"/>
        </w:rPr>
        <w:t>control</w:t>
      </w:r>
      <w:r>
        <w:rPr>
          <w:spacing w:val="-5"/>
          <w:w w:val="120"/>
        </w:rPr>
        <w:t> </w:t>
      </w:r>
      <w:r>
        <w:rPr>
          <w:w w:val="120"/>
        </w:rPr>
        <w:t>it. Only</w:t>
      </w:r>
      <w:r>
        <w:rPr>
          <w:spacing w:val="-4"/>
          <w:w w:val="120"/>
        </w:rPr>
        <w:t> </w:t>
      </w:r>
      <w:r>
        <w:rPr>
          <w:w w:val="120"/>
        </w:rPr>
        <w:t>cold-water</w:t>
      </w:r>
      <w:r>
        <w:rPr>
          <w:spacing w:val="-5"/>
          <w:w w:val="120"/>
        </w:rPr>
        <w:t> </w:t>
      </w:r>
      <w:r>
        <w:rPr>
          <w:w w:val="120"/>
        </w:rPr>
        <w:t>baths,</w:t>
      </w:r>
      <w:r>
        <w:rPr>
          <w:spacing w:val="-4"/>
          <w:w w:val="120"/>
        </w:rPr>
        <w:t> </w:t>
      </w:r>
      <w:r>
        <w:rPr>
          <w:w w:val="120"/>
        </w:rPr>
        <w:t>soon</w:t>
      </w:r>
      <w:r>
        <w:rPr>
          <w:spacing w:val="-4"/>
          <w:w w:val="120"/>
        </w:rPr>
        <w:t> </w:t>
      </w:r>
      <w:r>
        <w:rPr>
          <w:w w:val="120"/>
        </w:rPr>
        <w:t>permanent,</w:t>
      </w:r>
      <w:r>
        <w:rPr>
          <w:spacing w:val="-4"/>
          <w:w w:val="120"/>
        </w:rPr>
        <w:t> </w:t>
      </w:r>
      <w:r>
        <w:rPr>
          <w:w w:val="120"/>
        </w:rPr>
        <w:t>provided</w:t>
      </w:r>
      <w:r>
        <w:rPr>
          <w:spacing w:val="-5"/>
          <w:w w:val="120"/>
        </w:rPr>
        <w:t> </w:t>
      </w:r>
      <w:r>
        <w:rPr>
          <w:w w:val="120"/>
        </w:rPr>
        <w:t>relief.</w:t>
      </w:r>
      <w:r>
        <w:rPr>
          <w:spacing w:val="-4"/>
          <w:w w:val="120"/>
        </w:rPr>
        <w:t> </w:t>
      </w:r>
      <w:r>
        <w:rPr>
          <w:w w:val="120"/>
        </w:rPr>
        <w:t>A</w:t>
      </w:r>
      <w:r>
        <w:rPr>
          <w:spacing w:val="-3"/>
          <w:w w:val="120"/>
        </w:rPr>
        <w:t> </w:t>
      </w:r>
      <w:r>
        <w:rPr>
          <w:w w:val="120"/>
        </w:rPr>
        <w:t>red swelling of the feet was noted before the patient got used to cold-water baths and before he subsequently developed skin ulcerations</w:t>
      </w:r>
      <w:r>
        <w:rPr>
          <w:w w:val="120"/>
        </w:rPr>
        <w:t> (</w:t>
      </w:r>
      <w:r>
        <w:rPr>
          <w:color w:val="00689C"/>
          <w:w w:val="120"/>
        </w:rPr>
        <w:t>Fig.</w:t>
      </w:r>
      <w:r>
        <w:rPr>
          <w:color w:val="00689C"/>
          <w:w w:val="120"/>
        </w:rPr>
        <w:t> 1</w:t>
      </w:r>
      <w:r>
        <w:rPr>
          <w:color w:val="00689C"/>
          <w:w w:val="120"/>
        </w:rPr>
        <w:t> </w:t>
      </w:r>
      <w:r>
        <w:rPr>
          <w:w w:val="120"/>
        </w:rPr>
        <w:t>trench</w:t>
      </w:r>
      <w:r>
        <w:rPr>
          <w:w w:val="120"/>
        </w:rPr>
        <w:t> foot).</w:t>
      </w:r>
      <w:r>
        <w:rPr>
          <w:w w:val="120"/>
        </w:rPr>
        <w:t> ENMG</w:t>
      </w:r>
      <w:r>
        <w:rPr>
          <w:w w:val="120"/>
        </w:rPr>
        <w:t> follow-up</w:t>
      </w:r>
      <w:r>
        <w:rPr>
          <w:w w:val="120"/>
        </w:rPr>
        <w:t> revealed length-dependent</w:t>
      </w:r>
      <w:r>
        <w:rPr>
          <w:spacing w:val="50"/>
          <w:w w:val="120"/>
        </w:rPr>
        <w:t> </w:t>
      </w:r>
      <w:r>
        <w:rPr>
          <w:w w:val="120"/>
        </w:rPr>
        <w:t>sensorimotor</w:t>
      </w:r>
      <w:r>
        <w:rPr>
          <w:spacing w:val="51"/>
          <w:w w:val="120"/>
        </w:rPr>
        <w:t> </w:t>
      </w:r>
      <w:r>
        <w:rPr>
          <w:w w:val="120"/>
        </w:rPr>
        <w:t>axonal</w:t>
      </w:r>
      <w:r>
        <w:rPr>
          <w:spacing w:val="53"/>
          <w:w w:val="120"/>
        </w:rPr>
        <w:t> </w:t>
      </w:r>
      <w:r>
        <w:rPr>
          <w:w w:val="120"/>
        </w:rPr>
        <w:t>neuropathy:</w:t>
      </w:r>
      <w:r>
        <w:rPr>
          <w:spacing w:val="53"/>
          <w:w w:val="120"/>
        </w:rPr>
        <w:t> </w:t>
      </w:r>
      <w:r>
        <w:rPr>
          <w:w w:val="120"/>
        </w:rPr>
        <w:t>26.1</w:t>
      </w:r>
      <w:r>
        <w:rPr>
          <w:spacing w:val="52"/>
          <w:w w:val="120"/>
        </w:rPr>
        <w:t> </w:t>
      </w:r>
      <w:r>
        <w:rPr>
          <w:spacing w:val="-5"/>
          <w:w w:val="120"/>
        </w:rPr>
        <w:t>to</w:t>
      </w:r>
    </w:p>
    <w:p>
      <w:pPr>
        <w:pStyle w:val="BodyText"/>
        <w:spacing w:line="166" w:lineRule="exact"/>
        <w:ind w:left="86"/>
        <w:jc w:val="both"/>
      </w:pPr>
      <w:r>
        <w:rPr>
          <w:w w:val="115"/>
        </w:rPr>
        <w:t>10.6</w:t>
      </w:r>
      <w:r>
        <w:rPr>
          <w:spacing w:val="-12"/>
          <w:w w:val="115"/>
        </w:rPr>
        <w:t> </w:t>
      </w:r>
      <w:r>
        <w:rPr>
          <w:w w:val="115"/>
        </w:rPr>
        <w:t>mV</w:t>
      </w:r>
      <w:r>
        <w:rPr>
          <w:spacing w:val="-10"/>
          <w:w w:val="115"/>
        </w:rPr>
        <w:t> </w:t>
      </w:r>
      <w:r>
        <w:rPr>
          <w:w w:val="115"/>
        </w:rPr>
        <w:t>sensory</w:t>
      </w:r>
      <w:r>
        <w:rPr>
          <w:spacing w:val="-10"/>
          <w:w w:val="115"/>
        </w:rPr>
        <w:t> </w:t>
      </w:r>
      <w:r>
        <w:rPr>
          <w:w w:val="115"/>
        </w:rPr>
        <w:t>ulnar</w:t>
      </w:r>
      <w:r>
        <w:rPr>
          <w:spacing w:val="-9"/>
          <w:w w:val="115"/>
        </w:rPr>
        <w:t> </w:t>
      </w:r>
      <w:r>
        <w:rPr>
          <w:w w:val="115"/>
        </w:rPr>
        <w:t>nerve</w:t>
      </w:r>
      <w:r>
        <w:rPr>
          <w:spacing w:val="-11"/>
          <w:w w:val="115"/>
        </w:rPr>
        <w:t> </w:t>
      </w:r>
      <w:r>
        <w:rPr>
          <w:w w:val="115"/>
        </w:rPr>
        <w:t>amplitude;</w:t>
      </w:r>
      <w:r>
        <w:rPr>
          <w:spacing w:val="-10"/>
          <w:w w:val="115"/>
        </w:rPr>
        <w:t> </w:t>
      </w:r>
      <w:r>
        <w:rPr>
          <w:w w:val="115"/>
        </w:rPr>
        <w:t>67.9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9"/>
          <w:w w:val="115"/>
        </w:rPr>
        <w:t> </w:t>
      </w:r>
      <w:r>
        <w:rPr>
          <w:w w:val="115"/>
        </w:rPr>
        <w:t>11.6</w:t>
      </w:r>
      <w:r>
        <w:rPr>
          <w:spacing w:val="-12"/>
          <w:w w:val="115"/>
        </w:rPr>
        <w:t> </w:t>
      </w:r>
      <w:r>
        <w:rPr>
          <w:w w:val="115"/>
        </w:rPr>
        <w:t>mV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sensory</w:t>
      </w:r>
    </w:p>
    <w:p>
      <w:pPr>
        <w:pStyle w:val="BodyText"/>
        <w:spacing w:line="300" w:lineRule="auto" w:before="45"/>
        <w:ind w:left="86" w:right="182"/>
        <w:jc w:val="both"/>
      </w:pPr>
      <w:r>
        <w:rPr>
          <w:w w:val="120"/>
        </w:rPr>
        <w:t>sural</w:t>
      </w:r>
      <w:r>
        <w:rPr>
          <w:spacing w:val="-1"/>
          <w:w w:val="120"/>
        </w:rPr>
        <w:t> </w:t>
      </w:r>
      <w:r>
        <w:rPr>
          <w:w w:val="120"/>
        </w:rPr>
        <w:t>nerve</w:t>
      </w:r>
      <w:r>
        <w:rPr>
          <w:spacing w:val="-1"/>
          <w:w w:val="120"/>
        </w:rPr>
        <w:t> </w:t>
      </w:r>
      <w:r>
        <w:rPr>
          <w:w w:val="120"/>
        </w:rPr>
        <w:t>amplitude.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loss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sudomotor</w:t>
      </w:r>
      <w:r>
        <w:rPr>
          <w:spacing w:val="-3"/>
          <w:w w:val="120"/>
        </w:rPr>
        <w:t> </w:t>
      </w:r>
      <w:r>
        <w:rPr>
          <w:w w:val="120"/>
        </w:rPr>
        <w:t>reflexes</w:t>
      </w:r>
      <w:r>
        <w:rPr>
          <w:spacing w:val="-5"/>
          <w:w w:val="120"/>
        </w:rPr>
        <w:t> </w:t>
      </w:r>
      <w:r>
        <w:rPr>
          <w:w w:val="120"/>
        </w:rPr>
        <w:t>showed small-fiber</w:t>
      </w:r>
      <w:r>
        <w:rPr>
          <w:w w:val="120"/>
        </w:rPr>
        <w:t> impairment.</w:t>
      </w:r>
      <w:r>
        <w:rPr>
          <w:w w:val="120"/>
        </w:rPr>
        <w:t> Severe</w:t>
      </w:r>
      <w:r>
        <w:rPr>
          <w:w w:val="120"/>
        </w:rPr>
        <w:t> lymphopenia,</w:t>
      </w:r>
      <w:r>
        <w:rPr>
          <w:w w:val="120"/>
        </w:rPr>
        <w:t> reaching</w:t>
      </w:r>
      <w:r>
        <w:rPr>
          <w:w w:val="120"/>
        </w:rPr>
        <w:t> 100 cells/mm</w:t>
      </w:r>
      <w:r>
        <w:rPr>
          <w:w w:val="120"/>
          <w:vertAlign w:val="superscript"/>
        </w:rPr>
        <w:t>3</w:t>
      </w:r>
      <w:r>
        <w:rPr>
          <w:w w:val="120"/>
          <w:vertAlign w:val="baseline"/>
        </w:rPr>
        <w:t>, persisted after the intravenous corticosteroids. All clinical</w:t>
      </w:r>
      <w:r>
        <w:rPr>
          <w:w w:val="120"/>
          <w:vertAlign w:val="baseline"/>
        </w:rPr>
        <w:t> features</w:t>
      </w:r>
      <w:r>
        <w:rPr>
          <w:w w:val="120"/>
          <w:vertAlign w:val="baseline"/>
        </w:rPr>
        <w:t> progressively</w:t>
      </w:r>
      <w:r>
        <w:rPr>
          <w:w w:val="120"/>
          <w:vertAlign w:val="baseline"/>
        </w:rPr>
        <w:t> improved</w:t>
      </w:r>
      <w:r>
        <w:rPr>
          <w:w w:val="120"/>
          <w:vertAlign w:val="baseline"/>
        </w:rPr>
        <w:t> three</w:t>
      </w:r>
      <w:r>
        <w:rPr>
          <w:w w:val="120"/>
          <w:vertAlign w:val="baseline"/>
        </w:rPr>
        <w:t> months</w:t>
      </w:r>
      <w:r>
        <w:rPr>
          <w:w w:val="120"/>
          <w:vertAlign w:val="baseline"/>
        </w:rPr>
        <w:t> after onset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no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persistent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hypermetabolic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mass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PET-scan.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At ten</w:t>
      </w:r>
      <w:r>
        <w:rPr>
          <w:w w:val="120"/>
          <w:vertAlign w:val="baseline"/>
        </w:rPr>
        <w:t> months,</w:t>
      </w:r>
      <w:r>
        <w:rPr>
          <w:w w:val="120"/>
          <w:vertAlign w:val="baseline"/>
        </w:rPr>
        <w:t> bilateral</w:t>
      </w:r>
      <w:r>
        <w:rPr>
          <w:w w:val="120"/>
          <w:vertAlign w:val="baseline"/>
        </w:rPr>
        <w:t> mydriasis</w:t>
      </w:r>
      <w:r>
        <w:rPr>
          <w:w w:val="120"/>
          <w:vertAlign w:val="baseline"/>
        </w:rPr>
        <w:t> persisted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well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mild </w:t>
      </w:r>
      <w:r>
        <w:rPr>
          <w:spacing w:val="-2"/>
          <w:w w:val="120"/>
          <w:vertAlign w:val="baseline"/>
        </w:rPr>
        <w:t>paresthesia in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feet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and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extension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deficit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of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right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toes.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All </w:t>
      </w:r>
      <w:r>
        <w:rPr>
          <w:w w:val="120"/>
          <w:vertAlign w:val="baseline"/>
        </w:rPr>
        <w:t>deep tendon reflexes reappeared and ENMG amplitudes were stable.</w:t>
      </w:r>
      <w:r>
        <w:rPr>
          <w:w w:val="120"/>
          <w:vertAlign w:val="baseline"/>
        </w:rPr>
        <w:t> After</w:t>
      </w:r>
      <w:r>
        <w:rPr>
          <w:w w:val="120"/>
          <w:vertAlign w:val="baseline"/>
        </w:rPr>
        <w:t> intensive</w:t>
      </w:r>
      <w:r>
        <w:rPr>
          <w:w w:val="120"/>
          <w:vertAlign w:val="baseline"/>
        </w:rPr>
        <w:t> rehabilitation,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patient</w:t>
      </w:r>
      <w:r>
        <w:rPr>
          <w:w w:val="120"/>
          <w:vertAlign w:val="baseline"/>
        </w:rPr>
        <w:t> achieved complete functional autonomy.</w:t>
      </w:r>
    </w:p>
    <w:p>
      <w:pPr>
        <w:pStyle w:val="BodyText"/>
        <w:spacing w:line="300" w:lineRule="auto"/>
        <w:ind w:left="86" w:right="183" w:firstLine="239"/>
        <w:jc w:val="both"/>
      </w:pPr>
      <w:r>
        <w:rPr>
          <w:w w:val="120"/>
        </w:rPr>
        <w:t>This case illustrates an acute and severe </w:t>
      </w:r>
      <w:r>
        <w:rPr>
          <w:w w:val="120"/>
        </w:rPr>
        <w:t>symptomatology associating</w:t>
      </w:r>
      <w:r>
        <w:rPr>
          <w:w w:val="120"/>
        </w:rPr>
        <w:t> small-</w:t>
      </w:r>
      <w:r>
        <w:rPr>
          <w:w w:val="120"/>
        </w:rPr>
        <w:t> and</w:t>
      </w:r>
      <w:r>
        <w:rPr>
          <w:w w:val="120"/>
        </w:rPr>
        <w:t> large-fiber</w:t>
      </w:r>
      <w:r>
        <w:rPr>
          <w:w w:val="120"/>
        </w:rPr>
        <w:t> neuropathy</w:t>
      </w:r>
      <w:r>
        <w:rPr>
          <w:w w:val="120"/>
        </w:rPr>
        <w:t> and</w:t>
      </w:r>
      <w:r>
        <w:rPr>
          <w:w w:val="120"/>
        </w:rPr>
        <w:t> dysauto- nomia.</w:t>
      </w:r>
      <w:r>
        <w:rPr>
          <w:w w:val="120"/>
        </w:rPr>
        <w:t> The</w:t>
      </w:r>
      <w:r>
        <w:rPr>
          <w:w w:val="120"/>
        </w:rPr>
        <w:t> monophasic</w:t>
      </w:r>
      <w:r>
        <w:rPr>
          <w:w w:val="120"/>
        </w:rPr>
        <w:t> course</w:t>
      </w:r>
      <w:r>
        <w:rPr>
          <w:w w:val="120"/>
        </w:rPr>
        <w:t> matching</w:t>
      </w:r>
      <w:r>
        <w:rPr>
          <w:w w:val="120"/>
        </w:rPr>
        <w:t> the</w:t>
      </w:r>
      <w:r>
        <w:rPr>
          <w:w w:val="120"/>
        </w:rPr>
        <w:t> oncological history is highly evocative of a paraneoplastic syndrome. We found</w:t>
      </w:r>
      <w:r>
        <w:rPr>
          <w:w w:val="120"/>
        </w:rPr>
        <w:t> no</w:t>
      </w:r>
      <w:r>
        <w:rPr>
          <w:w w:val="120"/>
        </w:rPr>
        <w:t> known</w:t>
      </w:r>
      <w:r>
        <w:rPr>
          <w:w w:val="120"/>
        </w:rPr>
        <w:t> onconeuronal</w:t>
      </w:r>
      <w:r>
        <w:rPr>
          <w:w w:val="120"/>
        </w:rPr>
        <w:t> antibody.</w:t>
      </w:r>
      <w:r>
        <w:rPr>
          <w:w w:val="120"/>
        </w:rPr>
        <w:t> Testicular</w:t>
      </w:r>
      <w:r>
        <w:rPr>
          <w:w w:val="120"/>
        </w:rPr>
        <w:t> semi- noma is rarely associated with paraneoplastic manifestations: limbic encephalitis, cerebellar ataxia, vertigo. Reported onco- neuronal antibodies are anti-Yo, anti-Ma-2, anti-mGluR1 and anti-Kelch-11.</w:t>
      </w:r>
      <w:r>
        <w:rPr>
          <w:w w:val="120"/>
        </w:rPr>
        <w:t> To</w:t>
      </w:r>
      <w:r>
        <w:rPr>
          <w:w w:val="120"/>
        </w:rPr>
        <w:t> our</w:t>
      </w:r>
      <w:r>
        <w:rPr>
          <w:w w:val="120"/>
        </w:rPr>
        <w:t> knowledge,</w:t>
      </w:r>
      <w:r>
        <w:rPr>
          <w:w w:val="120"/>
        </w:rPr>
        <w:t> there</w:t>
      </w:r>
      <w:r>
        <w:rPr>
          <w:w w:val="120"/>
        </w:rPr>
        <w:t> is</w:t>
      </w:r>
      <w:r>
        <w:rPr>
          <w:w w:val="120"/>
        </w:rPr>
        <w:t> only</w:t>
      </w:r>
      <w:r>
        <w:rPr>
          <w:w w:val="120"/>
        </w:rPr>
        <w:t> one</w:t>
      </w:r>
      <w:r>
        <w:rPr>
          <w:w w:val="120"/>
        </w:rPr>
        <w:t> reported case of neuropathy associated with testicular seminoma </w:t>
      </w:r>
      <w:r>
        <w:rPr>
          <w:color w:val="00689C"/>
          <w:w w:val="120"/>
        </w:rPr>
        <w:t>[1]</w:t>
      </w:r>
      <w:r>
        <w:rPr>
          <w:w w:val="120"/>
        </w:rPr>
        <w:t>. Our case does not match the description of known paraneo- plastic autonomic neuropathies like autoimmune autonomic ganglionopathy</w:t>
      </w:r>
      <w:r>
        <w:rPr>
          <w:w w:val="120"/>
        </w:rPr>
        <w:t> </w:t>
      </w:r>
      <w:r>
        <w:rPr>
          <w:color w:val="00689C"/>
          <w:w w:val="120"/>
        </w:rPr>
        <w:t>[2]</w:t>
      </w:r>
      <w:r>
        <w:rPr>
          <w:w w:val="120"/>
        </w:rPr>
        <w:t>,</w:t>
      </w:r>
      <w:r>
        <w:rPr>
          <w:w w:val="120"/>
        </w:rPr>
        <w:t> in</w:t>
      </w:r>
      <w:r>
        <w:rPr>
          <w:w w:val="120"/>
        </w:rPr>
        <w:t> which</w:t>
      </w:r>
      <w:r>
        <w:rPr>
          <w:w w:val="120"/>
        </w:rPr>
        <w:t> case</w:t>
      </w:r>
      <w:r>
        <w:rPr>
          <w:w w:val="120"/>
        </w:rPr>
        <w:t> a3AChR</w:t>
      </w:r>
      <w:r>
        <w:rPr>
          <w:w w:val="120"/>
        </w:rPr>
        <w:t> antibodies</w:t>
      </w:r>
      <w:r>
        <w:rPr>
          <w:w w:val="120"/>
        </w:rPr>
        <w:t> are found</w:t>
      </w:r>
      <w:r>
        <w:rPr>
          <w:w w:val="120"/>
        </w:rPr>
        <w:t> in</w:t>
      </w:r>
      <w:r>
        <w:rPr>
          <w:w w:val="120"/>
        </w:rPr>
        <w:t> 30%</w:t>
      </w:r>
      <w:r>
        <w:rPr>
          <w:w w:val="120"/>
        </w:rPr>
        <w:t> of</w:t>
      </w:r>
      <w:r>
        <w:rPr>
          <w:w w:val="120"/>
        </w:rPr>
        <w:t> patients</w:t>
      </w:r>
      <w:r>
        <w:rPr>
          <w:w w:val="120"/>
        </w:rPr>
        <w:t> </w:t>
      </w:r>
      <w:r>
        <w:rPr>
          <w:color w:val="00689C"/>
          <w:w w:val="120"/>
        </w:rPr>
        <w:t>[3]</w:t>
      </w:r>
      <w:r>
        <w:rPr>
          <w:w w:val="120"/>
        </w:rPr>
        <w:t>.</w:t>
      </w:r>
      <w:r>
        <w:rPr>
          <w:w w:val="120"/>
        </w:rPr>
        <w:t> Dysautonomia</w:t>
      </w:r>
      <w:r>
        <w:rPr>
          <w:w w:val="120"/>
        </w:rPr>
        <w:t> could</w:t>
      </w:r>
      <w:r>
        <w:rPr>
          <w:w w:val="120"/>
        </w:rPr>
        <w:t> have impaired vasoreactivity, yielding the hand-and-foot manifes- tations, evocative of a vascular acrosyndrome: erythromelal- gia.</w:t>
      </w:r>
      <w:r>
        <w:rPr>
          <w:spacing w:val="-2"/>
          <w:w w:val="120"/>
        </w:rPr>
        <w:t> </w:t>
      </w:r>
      <w:r>
        <w:rPr>
          <w:w w:val="120"/>
        </w:rPr>
        <w:t>Erythromelalgia</w:t>
      </w:r>
      <w:r>
        <w:rPr>
          <w:spacing w:val="-2"/>
          <w:w w:val="120"/>
        </w:rPr>
        <w:t> </w:t>
      </w:r>
      <w:r>
        <w:rPr>
          <w:w w:val="120"/>
        </w:rPr>
        <w:t>spectrum</w:t>
      </w:r>
      <w:r>
        <w:rPr>
          <w:spacing w:val="-3"/>
          <w:w w:val="120"/>
        </w:rPr>
        <w:t> </w:t>
      </w:r>
      <w:r>
        <w:rPr>
          <w:w w:val="120"/>
        </w:rPr>
        <w:t>associates paroxysmal extreme acral</w:t>
      </w:r>
      <w:r>
        <w:rPr>
          <w:spacing w:val="-1"/>
          <w:w w:val="120"/>
        </w:rPr>
        <w:t> </w:t>
      </w:r>
      <w:r>
        <w:rPr>
          <w:w w:val="120"/>
        </w:rPr>
        <w:t>burning</w:t>
      </w:r>
      <w:r>
        <w:rPr>
          <w:spacing w:val="-2"/>
          <w:w w:val="120"/>
        </w:rPr>
        <w:t> </w:t>
      </w:r>
      <w:r>
        <w:rPr>
          <w:w w:val="120"/>
        </w:rPr>
        <w:t>pain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swelling</w:t>
      </w:r>
      <w:r>
        <w:rPr>
          <w:spacing w:val="-3"/>
          <w:w w:val="120"/>
        </w:rPr>
        <w:t> </w:t>
      </w:r>
      <w:r>
        <w:rPr>
          <w:w w:val="120"/>
        </w:rPr>
        <w:t>triggered</w:t>
      </w:r>
      <w:r>
        <w:rPr>
          <w:spacing w:val="-2"/>
          <w:w w:val="120"/>
        </w:rPr>
        <w:t> </w:t>
      </w:r>
      <w:r>
        <w:rPr>
          <w:w w:val="120"/>
        </w:rPr>
        <w:t>by</w:t>
      </w:r>
      <w:r>
        <w:rPr>
          <w:spacing w:val="-1"/>
          <w:w w:val="120"/>
        </w:rPr>
        <w:t> </w:t>
      </w:r>
      <w:r>
        <w:rPr>
          <w:w w:val="120"/>
        </w:rPr>
        <w:t>heat</w:t>
      </w:r>
      <w:r>
        <w:rPr>
          <w:spacing w:val="-2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relieved by</w:t>
      </w:r>
      <w:r>
        <w:rPr>
          <w:w w:val="120"/>
        </w:rPr>
        <w:t> cold,</w:t>
      </w:r>
      <w:r>
        <w:rPr>
          <w:w w:val="120"/>
        </w:rPr>
        <w:t> small-fiber</w:t>
      </w:r>
      <w:r>
        <w:rPr>
          <w:w w:val="120"/>
        </w:rPr>
        <w:t> neuropathy</w:t>
      </w:r>
      <w:r>
        <w:rPr>
          <w:w w:val="120"/>
        </w:rPr>
        <w:t> and,</w:t>
      </w:r>
      <w:r>
        <w:rPr>
          <w:w w:val="120"/>
        </w:rPr>
        <w:t> in</w:t>
      </w:r>
      <w:r>
        <w:rPr>
          <w:w w:val="120"/>
        </w:rPr>
        <w:t> 80%</w:t>
      </w:r>
      <w:r>
        <w:rPr>
          <w:w w:val="120"/>
        </w:rPr>
        <w:t> of</w:t>
      </w:r>
      <w:r>
        <w:rPr>
          <w:w w:val="120"/>
        </w:rPr>
        <w:t> cases, dysautonomia</w:t>
      </w:r>
      <w:r>
        <w:rPr>
          <w:spacing w:val="40"/>
          <w:w w:val="120"/>
        </w:rPr>
        <w:t> </w:t>
      </w:r>
      <w:r>
        <w:rPr>
          <w:color w:val="00689C"/>
          <w:w w:val="120"/>
        </w:rPr>
        <w:t>[4,5]</w:t>
      </w:r>
      <w:r>
        <w:rPr>
          <w:w w:val="120"/>
        </w:rPr>
        <w:t>.</w:t>
      </w:r>
      <w:r>
        <w:rPr>
          <w:spacing w:val="40"/>
          <w:w w:val="120"/>
        </w:rPr>
        <w:t> </w:t>
      </w:r>
      <w:r>
        <w:rPr>
          <w:w w:val="120"/>
        </w:rPr>
        <w:t>This</w:t>
      </w:r>
      <w:r>
        <w:rPr>
          <w:spacing w:val="40"/>
          <w:w w:val="120"/>
        </w:rPr>
        <w:t> </w:t>
      </w:r>
      <w:r>
        <w:rPr>
          <w:w w:val="120"/>
        </w:rPr>
        <w:t>matches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symptomatology</w:t>
      </w:r>
      <w:r>
        <w:rPr>
          <w:spacing w:val="40"/>
          <w:w w:val="120"/>
        </w:rPr>
        <w:t> </w:t>
      </w:r>
      <w:r>
        <w:rPr>
          <w:w w:val="120"/>
        </w:rPr>
        <w:t>of our</w:t>
      </w:r>
      <w:r>
        <w:rPr>
          <w:w w:val="120"/>
        </w:rPr>
        <w:t> case,</w:t>
      </w:r>
      <w:r>
        <w:rPr>
          <w:w w:val="120"/>
        </w:rPr>
        <w:t> except</w:t>
      </w:r>
      <w:r>
        <w:rPr>
          <w:w w:val="120"/>
        </w:rPr>
        <w:t> the</w:t>
      </w:r>
      <w:r>
        <w:rPr>
          <w:w w:val="120"/>
        </w:rPr>
        <w:t> non-paroxysmal</w:t>
      </w:r>
      <w:r>
        <w:rPr>
          <w:w w:val="120"/>
        </w:rPr>
        <w:t> symptomatology.</w:t>
      </w:r>
      <w:r>
        <w:rPr>
          <w:w w:val="120"/>
        </w:rPr>
        <w:t> In summary,</w:t>
      </w:r>
      <w:r>
        <w:rPr>
          <w:w w:val="120"/>
        </w:rPr>
        <w:t> this</w:t>
      </w:r>
      <w:r>
        <w:rPr>
          <w:w w:val="120"/>
        </w:rPr>
        <w:t> case</w:t>
      </w:r>
      <w:r>
        <w:rPr>
          <w:w w:val="120"/>
        </w:rPr>
        <w:t> evokes</w:t>
      </w:r>
      <w:r>
        <w:rPr>
          <w:w w:val="120"/>
        </w:rPr>
        <w:t> an</w:t>
      </w:r>
      <w:r>
        <w:rPr>
          <w:w w:val="120"/>
        </w:rPr>
        <w:t> extreme</w:t>
      </w:r>
      <w:r>
        <w:rPr>
          <w:w w:val="120"/>
        </w:rPr>
        <w:t> dysregulation</w:t>
      </w:r>
      <w:r>
        <w:rPr>
          <w:w w:val="120"/>
        </w:rPr>
        <w:t> of vasoreactivity resulting from an autonomic neuropathy.</w:t>
      </w:r>
    </w:p>
    <w:sectPr>
      <w:type w:val="continuous"/>
      <w:pgSz w:w="11910" w:h="15880"/>
      <w:pgMar w:top="540" w:bottom="280" w:left="850" w:right="850"/>
      <w:cols w:num="2" w:equalWidth="0">
        <w:col w:w="4920" w:space="229"/>
        <w:col w:w="50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39" w:hanging="25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6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0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6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6" w:hanging="2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15"/>
        <w:szCs w:val="15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286" w:hanging="2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89C"/>
        <w:spacing w:val="0"/>
        <w:w w:val="10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62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4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8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90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72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55" w:hanging="20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5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6" w:hanging="25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refhub.elsevier.com/S0035-3787(20)30591-9/sbref0025" TargetMode="External"/><Relationship Id="rId6" Type="http://schemas.openxmlformats.org/officeDocument/2006/relationships/hyperlink" Target="http://refhub.elsevier.com/S0035-3787(20)30591-9/sbref0030" TargetMode="External"/><Relationship Id="rId7" Type="http://schemas.openxmlformats.org/officeDocument/2006/relationships/hyperlink" Target="http://refhub.elsevier.com/S0035-3787(20)30591-9/sbref0035" TargetMode="External"/><Relationship Id="rId8" Type="http://schemas.openxmlformats.org/officeDocument/2006/relationships/hyperlink" Target="http://refhub.elsevier.com/S0035-3787(20)30591-9/sbref0040" TargetMode="External"/><Relationship Id="rId9" Type="http://schemas.openxmlformats.org/officeDocument/2006/relationships/hyperlink" Target="mailto:alexis.demas@ch-havre.fr" TargetMode="External"/><Relationship Id="rId10" Type="http://schemas.openxmlformats.org/officeDocument/2006/relationships/hyperlink" Target="https://doi.org/10.1016/j.neurol.2020.03.019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hyperlink" Target="https://casereports.bmj.com/content/2013/bcr-2013-010343" TargetMode="External"/><Relationship Id="rId14" Type="http://schemas.openxmlformats.org/officeDocument/2006/relationships/hyperlink" Target="http://refhub.elsevier.com/S0035-3787(20)30593-2/sbref0040" TargetMode="External"/><Relationship Id="rId15" Type="http://schemas.openxmlformats.org/officeDocument/2006/relationships/hyperlink" Target="http://refhub.elsevier.com/S0035-3787(20)30593-2/sbref0045" TargetMode="External"/><Relationship Id="rId16" Type="http://schemas.openxmlformats.org/officeDocument/2006/relationships/hyperlink" Target="http://refhub.elsevier.com/S0035-3787(20)30593-2/sbref0050" TargetMode="External"/><Relationship Id="rId17" Type="http://schemas.openxmlformats.org/officeDocument/2006/relationships/hyperlink" Target="http://refhub.elsevier.com/S0035-3787(20)30593-2/sbref0055" TargetMode="External"/><Relationship Id="rId18" Type="http://schemas.openxmlformats.org/officeDocument/2006/relationships/hyperlink" Target="http://dx.doi.org/10.1002/humu.20824" TargetMode="External"/><Relationship Id="rId19" Type="http://schemas.openxmlformats.org/officeDocument/2006/relationships/hyperlink" Target="mailto:neuroblanca@gmail.com" TargetMode="External"/><Relationship Id="rId20" Type="http://schemas.openxmlformats.org/officeDocument/2006/relationships/hyperlink" Target="https://doi.org/10.1016/j.neurol.2020.04.018" TargetMode="External"/><Relationship Id="rId21" Type="http://schemas.openxmlformats.org/officeDocument/2006/relationships/image" Target="media/image3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M.A. Rafai</dc:creator>
  <dc:subject>Revue Neurologique, 177 (2021) 144-146. doi:10.1016/j.neurol.2020.04.018</dc:subject>
  <dc:title>Sensory motor ataxic neuropathy associated dysarthria and ophthalmoplegia “SMANDO” in a consanguineous Moroccan patient with new POLG gene homozygote mutation</dc:title>
  <dcterms:created xsi:type="dcterms:W3CDTF">2025-07-04T18:39:26Z</dcterms:created>
  <dcterms:modified xsi:type="dcterms:W3CDTF">2025-07-04T18:39:26Z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2025-07-04T00:00:00Z</vt:filetime>
  </property>
  <property fmtid="{D5CDD505-2E9C-101B-9397-08002B2CF9AE}" pid="10" name="Producer">
    <vt:lpwstr>Acrobat Distiller 9.0.0 (Windows)</vt:lpwstr>
  </property>
  <property fmtid="{D5CDD505-2E9C-101B-9397-08002B2CF9AE}" pid="11" name="doi">
    <vt:lpwstr>10.1016/j.neurol.2020.04.018</vt:lpwstr>
  </property>
  <property fmtid="{D5CDD505-2E9C-101B-9397-08002B2CF9AE}" pid="12" name="robots">
    <vt:lpwstr>noindex</vt:lpwstr>
  </property>
</Properties>
</file>