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"/>
        <w:ind w:left="28" w:right="0" w:firstLine="0"/>
        <w:jc w:val="left"/>
        <w:rPr>
          <w:rFonts w:ascii="Arial"/>
          <w:sz w:val="17"/>
        </w:rPr>
      </w:pPr>
      <w:r>
        <w:rPr>
          <w:rFonts w:ascii="Arial"/>
          <w:w w:val="85"/>
          <w:sz w:val="17"/>
        </w:rPr>
        <w:t>https://doi.org/10.1007/s12031-021-01831-</w:t>
      </w:r>
      <w:r>
        <w:rPr>
          <w:rFonts w:ascii="Arial"/>
          <w:spacing w:val="-10"/>
          <w:w w:val="85"/>
          <w:sz w:val="17"/>
        </w:rPr>
        <w:t>9</w:t>
      </w:r>
    </w:p>
    <w:p>
      <w:pPr>
        <w:pStyle w:val="BodyText"/>
        <w:spacing w:before="3"/>
        <w:rPr>
          <w:rFonts w:ascii="Arial"/>
          <w:sz w:val="10"/>
        </w:rPr>
      </w:pPr>
      <w:r>
        <w:rPr>
          <w:rFonts w:ascii="Arial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647999</wp:posOffset>
                </wp:positionH>
                <wp:positionV relativeFrom="paragraph">
                  <wp:posOffset>90223</wp:posOffset>
                </wp:positionV>
                <wp:extent cx="6264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6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0">
                              <a:moveTo>
                                <a:pt x="0" y="0"/>
                              </a:moveTo>
                              <a:lnTo>
                                <a:pt x="6263995" y="0"/>
                              </a:lnTo>
                            </a:path>
                          </a:pathLst>
                        </a:custGeom>
                        <a:ln w="125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3602pt;margin-top:7.104212pt;width:493.25pt;height:.1pt;mso-position-horizontal-relative:page;mso-position-vertical-relative:paragraph;z-index:-15728640;mso-wrap-distance-left:0;mso-wrap-distance-right:0" id="docshape6" coordorigin="1020,142" coordsize="9865,0" path="m1020,142l10885,142e" filled="false" stroked="true" strokeweight=".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z w:val="1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6549042</wp:posOffset>
            </wp:positionH>
            <wp:positionV relativeFrom="paragraph">
              <wp:posOffset>169425</wp:posOffset>
            </wp:positionV>
            <wp:extent cx="361734" cy="361950"/>
            <wp:effectExtent l="0" t="0" r="0" b="0"/>
            <wp:wrapTopAndBottom/>
            <wp:docPr id="7" name="Image 7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3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sz w:val="7"/>
        </w:rPr>
      </w:pPr>
    </w:p>
    <w:p>
      <w:pPr>
        <w:pStyle w:val="Title"/>
        <w:spacing w:line="235" w:lineRule="auto"/>
      </w:pPr>
      <w:bookmarkStart w:name="Clinical and Molecular Features of POLG-" w:id="1"/>
      <w:bookmarkEnd w:id="1"/>
      <w:r>
        <w:rPr>
          <w:b w:val="0"/>
        </w:rPr>
      </w:r>
      <w:r>
        <w:rPr>
          <w:w w:val="80"/>
        </w:rPr>
        <w:t>Clinical and Molecular Features of POLG‑Related Sensory Ataxic </w:t>
      </w:r>
      <w:r>
        <w:rPr>
          <w:w w:val="85"/>
        </w:rPr>
        <w:t>Neuropathy with Dysarthria and Ophthalmoparesis</w:t>
      </w:r>
    </w:p>
    <w:p>
      <w:pPr>
        <w:pStyle w:val="Heading3"/>
        <w:spacing w:line="261" w:lineRule="auto" w:before="341"/>
        <w:ind w:right="558"/>
      </w:pPr>
      <w:r>
        <w:rPr>
          <w:spacing w:val="-2"/>
          <w:w w:val="90"/>
        </w:rPr>
        <w:t>Li‑Xi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Li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Li‑Ting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Jiang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14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You‑Gui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Pan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Xiao‑Long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Zhang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Li‑Zhen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Pan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Zhi‑Yu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Nie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</w:t>
      </w:r>
      <w:r>
        <w:rPr>
          <w:spacing w:val="-14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Yu‑Hui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Chen</w:t>
      </w:r>
      <w:r>
        <w:rPr>
          <w:spacing w:val="-2"/>
          <w:w w:val="90"/>
          <w:vertAlign w:val="superscript"/>
        </w:rPr>
        <w:t>1</w:t>
      </w:r>
      <w:r>
        <w:rPr>
          <w:spacing w:val="-5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· </w:t>
      </w:r>
      <w:r>
        <w:rPr>
          <w:w w:val="95"/>
          <w:vertAlign w:val="baseline"/>
        </w:rPr>
        <w:t>Ling‑Jing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Jin</w:t>
      </w:r>
      <w:r>
        <w:rPr>
          <w:w w:val="95"/>
          <w:vertAlign w:val="superscript"/>
        </w:rPr>
        <w:t>1</w:t>
      </w:r>
      <w:r>
        <w:rPr>
          <w:spacing w:val="8"/>
          <w:vertAlign w:val="baseline"/>
        </w:rPr>
        <w:drawing>
          <wp:inline distT="0" distB="0" distL="0" distR="0">
            <wp:extent cx="105854" cy="105841"/>
            <wp:effectExtent l="0" t="0" r="0" b="0"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vertAlign w:val="baseline"/>
        </w:rPr>
      </w:r>
    </w:p>
    <w:p>
      <w:pPr>
        <w:pStyle w:val="BodyText"/>
        <w:spacing w:before="147"/>
        <w:rPr>
          <w:rFonts w:ascii="Arial"/>
          <w:b/>
          <w:sz w:val="17"/>
        </w:rPr>
      </w:pPr>
    </w:p>
    <w:p>
      <w:pPr>
        <w:spacing w:line="204" w:lineRule="exact" w:before="0"/>
        <w:ind w:left="28" w:right="0" w:firstLine="0"/>
        <w:jc w:val="left"/>
        <w:rPr>
          <w:rFonts w:ascii="Arial"/>
          <w:sz w:val="17"/>
        </w:rPr>
      </w:pPr>
      <w:r>
        <w:rPr>
          <w:rFonts w:ascii="Arial"/>
          <w:w w:val="85"/>
          <w:position w:val="1"/>
          <w:sz w:val="17"/>
        </w:rPr>
        <w:t>Received: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25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July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2020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/</w:t>
      </w:r>
      <w:r>
        <w:rPr>
          <w:rFonts w:ascii="Arial"/>
          <w:spacing w:val="-3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Accepted: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15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March</w:t>
      </w:r>
      <w:r>
        <w:rPr>
          <w:rFonts w:ascii="Arial"/>
          <w:spacing w:val="-4"/>
          <w:w w:val="85"/>
          <w:position w:val="1"/>
          <w:sz w:val="17"/>
        </w:rPr>
        <w:t> </w:t>
      </w:r>
      <w:r>
        <w:rPr>
          <w:rFonts w:ascii="Arial"/>
          <w:w w:val="85"/>
          <w:position w:val="1"/>
          <w:sz w:val="17"/>
        </w:rPr>
        <w:t>2021</w:t>
      </w:r>
      <w:r>
        <w:rPr>
          <w:rFonts w:ascii="Arial"/>
          <w:spacing w:val="-4"/>
          <w:position w:val="1"/>
          <w:sz w:val="17"/>
        </w:rPr>
        <w:t> </w:t>
      </w:r>
      <w:r>
        <w:rPr>
          <w:rFonts w:ascii="Arial"/>
          <w:w w:val="85"/>
          <w:sz w:val="17"/>
        </w:rPr>
        <w:t>/</w:t>
      </w:r>
      <w:r>
        <w:rPr>
          <w:rFonts w:ascii="Arial"/>
          <w:spacing w:val="-4"/>
          <w:w w:val="85"/>
          <w:sz w:val="17"/>
        </w:rPr>
        <w:t> </w:t>
      </w:r>
      <w:r>
        <w:rPr>
          <w:rFonts w:ascii="Arial"/>
          <w:w w:val="85"/>
          <w:sz w:val="17"/>
        </w:rPr>
        <w:t>Published</w:t>
      </w:r>
      <w:r>
        <w:rPr>
          <w:rFonts w:ascii="Arial"/>
          <w:spacing w:val="-4"/>
          <w:w w:val="85"/>
          <w:sz w:val="17"/>
        </w:rPr>
        <w:t> </w:t>
      </w:r>
      <w:r>
        <w:rPr>
          <w:rFonts w:ascii="Arial"/>
          <w:w w:val="85"/>
          <w:sz w:val="17"/>
        </w:rPr>
        <w:t>online:</w:t>
      </w:r>
      <w:r>
        <w:rPr>
          <w:rFonts w:ascii="Arial"/>
          <w:spacing w:val="-4"/>
          <w:w w:val="85"/>
          <w:sz w:val="17"/>
        </w:rPr>
        <w:t> </w:t>
      </w:r>
      <w:r>
        <w:rPr>
          <w:rFonts w:ascii="Arial"/>
          <w:w w:val="85"/>
          <w:sz w:val="17"/>
        </w:rPr>
        <w:t>1</w:t>
      </w:r>
      <w:r>
        <w:rPr>
          <w:rFonts w:ascii="Arial"/>
          <w:spacing w:val="-3"/>
          <w:w w:val="85"/>
          <w:sz w:val="17"/>
        </w:rPr>
        <w:t> </w:t>
      </w:r>
      <w:r>
        <w:rPr>
          <w:rFonts w:ascii="Arial"/>
          <w:w w:val="85"/>
          <w:sz w:val="17"/>
        </w:rPr>
        <w:t>April</w:t>
      </w:r>
      <w:r>
        <w:rPr>
          <w:rFonts w:ascii="Arial"/>
          <w:spacing w:val="-4"/>
          <w:w w:val="85"/>
          <w:sz w:val="17"/>
        </w:rPr>
        <w:t> 2021</w:t>
      </w:r>
    </w:p>
    <w:p>
      <w:pPr>
        <w:spacing w:line="194" w:lineRule="exact" w:before="0"/>
        <w:ind w:left="28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pacing w:val="-2"/>
          <w:w w:val="85"/>
          <w:sz w:val="17"/>
        </w:rPr>
        <w:t>©</w:t>
      </w:r>
      <w:r>
        <w:rPr>
          <w:rFonts w:ascii="Arial" w:hAnsi="Arial"/>
          <w:spacing w:val="-5"/>
          <w:w w:val="85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The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Author(s),</w:t>
      </w:r>
      <w:r>
        <w:rPr>
          <w:rFonts w:ascii="Arial" w:hAnsi="Arial"/>
          <w:spacing w:val="-1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under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exclusive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licence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to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Springer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Science+Business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Media,</w:t>
      </w:r>
      <w:r>
        <w:rPr>
          <w:rFonts w:ascii="Arial" w:hAnsi="Arial"/>
          <w:spacing w:val="-1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LLC,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part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of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Springer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Nature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4"/>
          <w:w w:val="85"/>
          <w:sz w:val="17"/>
        </w:rPr>
        <w:t>2021</w:t>
      </w:r>
    </w:p>
    <w:p>
      <w:pPr>
        <w:pStyle w:val="BodyText"/>
        <w:spacing w:before="170"/>
        <w:rPr>
          <w:rFonts w:ascii="Arial"/>
          <w:sz w:val="17"/>
        </w:rPr>
      </w:pPr>
    </w:p>
    <w:p>
      <w:pPr>
        <w:pStyle w:val="Heading3"/>
      </w:pPr>
      <w:bookmarkStart w:name="Abstract" w:id="2"/>
      <w:bookmarkEnd w:id="2"/>
      <w:r>
        <w:rPr>
          <w:b w:val="0"/>
        </w:rPr>
      </w:r>
      <w:r>
        <w:rPr>
          <w:spacing w:val="-2"/>
        </w:rPr>
        <w:t>Abstract</w:t>
      </w:r>
    </w:p>
    <w:p>
      <w:pPr>
        <w:pStyle w:val="BodyText"/>
        <w:spacing w:line="261" w:lineRule="auto" w:before="21"/>
        <w:ind w:left="28" w:right="19"/>
        <w:jc w:val="both"/>
      </w:pPr>
      <w:r>
        <w:rPr/>
        <w:t>Sensory</w:t>
      </w:r>
      <w:r>
        <w:rPr>
          <w:spacing w:val="40"/>
        </w:rPr>
        <w:t> </w:t>
      </w:r>
      <w:r>
        <w:rPr/>
        <w:t>ataxic</w:t>
      </w:r>
      <w:r>
        <w:rPr>
          <w:spacing w:val="40"/>
        </w:rPr>
        <w:t> </w:t>
      </w:r>
      <w:r>
        <w:rPr/>
        <w:t>neuropathy,</w:t>
      </w:r>
      <w:r>
        <w:rPr>
          <w:spacing w:val="40"/>
        </w:rPr>
        <w:t> </w:t>
      </w:r>
      <w:r>
        <w:rPr/>
        <w:t>dysarthria,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ophthalmoparesis</w:t>
      </w:r>
      <w:r>
        <w:rPr>
          <w:spacing w:val="40"/>
        </w:rPr>
        <w:t> </w:t>
      </w:r>
      <w:r>
        <w:rPr/>
        <w:t>(SANDO)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rare</w:t>
      </w:r>
      <w:r>
        <w:rPr>
          <w:spacing w:val="40"/>
        </w:rPr>
        <w:t> </w:t>
      </w:r>
      <w:r>
        <w:rPr/>
        <w:t>mitochondrial</w:t>
      </w:r>
      <w:r>
        <w:rPr>
          <w:spacing w:val="40"/>
        </w:rPr>
        <w:t> </w:t>
      </w:r>
      <w:r>
        <w:rPr/>
        <w:t>disorder</w:t>
      </w:r>
      <w:r>
        <w:rPr>
          <w:spacing w:val="40"/>
        </w:rPr>
        <w:t> </w:t>
      </w:r>
      <w:r>
        <w:rPr/>
        <w:t>associated with mutations in the </w:t>
      </w:r>
      <w:r>
        <w:rPr>
          <w:i/>
        </w:rPr>
        <w:t>POLG </w:t>
      </w:r>
      <w:r>
        <w:rPr/>
        <w:t>gene, which encodes the DNA polymerase gamma catalytic subunit. A few POLG-related SANDO</w:t>
      </w:r>
      <w:r>
        <w:rPr>
          <w:spacing w:val="28"/>
        </w:rPr>
        <w:t> </w:t>
      </w:r>
      <w:r>
        <w:rPr/>
        <w:t>cases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reported,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genotype–phenotype</w:t>
      </w:r>
      <w:r>
        <w:rPr>
          <w:spacing w:val="28"/>
        </w:rPr>
        <w:t> </w:t>
      </w:r>
      <w:r>
        <w:rPr/>
        <w:t>correlation</w:t>
      </w:r>
      <w:r>
        <w:rPr>
          <w:spacing w:val="28"/>
        </w:rPr>
        <w:t> </w:t>
      </w:r>
      <w:r>
        <w:rPr/>
        <w:t>remains</w:t>
      </w:r>
      <w:r>
        <w:rPr>
          <w:spacing w:val="28"/>
        </w:rPr>
        <w:t> </w:t>
      </w:r>
      <w:r>
        <w:rPr/>
        <w:t>unclear.</w:t>
      </w:r>
      <w:r>
        <w:rPr>
          <w:spacing w:val="28"/>
        </w:rPr>
        <w:t> </w:t>
      </w:r>
      <w:r>
        <w:rPr/>
        <w:t>Here,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report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patient with</w:t>
      </w:r>
      <w:r>
        <w:rPr>
          <w:spacing w:val="39"/>
        </w:rPr>
        <w:t> </w:t>
      </w:r>
      <w:r>
        <w:rPr/>
        <w:t>SANDO</w:t>
      </w:r>
      <w:r>
        <w:rPr>
          <w:spacing w:val="39"/>
        </w:rPr>
        <w:t> </w:t>
      </w:r>
      <w:r>
        <w:rPr/>
        <w:t>carrying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novel</w:t>
      </w:r>
      <w:r>
        <w:rPr>
          <w:spacing w:val="39"/>
        </w:rPr>
        <w:t> </w:t>
      </w:r>
      <w:r>
        <w:rPr/>
        <w:t>missense</w:t>
      </w:r>
      <w:r>
        <w:rPr>
          <w:spacing w:val="39"/>
        </w:rPr>
        <w:t> </w:t>
      </w:r>
      <w:r>
        <w:rPr/>
        <w:t>variants</w:t>
      </w:r>
      <w:r>
        <w:rPr>
          <w:spacing w:val="39"/>
        </w:rPr>
        <w:t> </w:t>
      </w:r>
      <w:r>
        <w:rPr/>
        <w:t>(c.2543G&gt;C,</w:t>
      </w:r>
      <w:r>
        <w:rPr>
          <w:spacing w:val="39"/>
        </w:rPr>
        <w:t> </w:t>
      </w:r>
      <w:r>
        <w:rPr/>
        <w:t>p.G848A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c.452</w:t>
      </w:r>
      <w:r>
        <w:rPr>
          <w:spacing w:val="39"/>
        </w:rPr>
        <w:t> </w:t>
      </w:r>
      <w:r>
        <w:rPr/>
        <w:t>T&gt;C,</w:t>
      </w:r>
      <w:r>
        <w:rPr>
          <w:spacing w:val="39"/>
        </w:rPr>
        <w:t> </w:t>
      </w:r>
      <w:r>
        <w:rPr/>
        <w:t>p.L151P)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>
          <w:i/>
        </w:rPr>
        <w:t>POLG.</w:t>
      </w:r>
      <w:r>
        <w:rPr>
          <w:i/>
          <w:spacing w:val="39"/>
        </w:rPr>
        <w:t> </w:t>
      </w:r>
      <w:r>
        <w:rPr/>
        <w:t>We also reviewed previously reported cases to systematically evaluate the clinical and genetic features of POLG-related SANDO. A total of 35 distinct variants in the coding region of </w:t>
      </w:r>
      <w:r>
        <w:rPr>
          <w:i/>
        </w:rPr>
        <w:t>POLG </w:t>
      </w:r>
      <w:r>
        <w:rPr/>
        <w:t>were identified in 63 patients with SANDO. The most</w:t>
      </w:r>
      <w:r>
        <w:rPr>
          <w:spacing w:val="34"/>
        </w:rPr>
        <w:t> </w:t>
      </w:r>
      <w:r>
        <w:rPr/>
        <w:t>frequent</w:t>
      </w:r>
      <w:r>
        <w:rPr>
          <w:spacing w:val="34"/>
        </w:rPr>
        <w:t> </w:t>
      </w:r>
      <w:r>
        <w:rPr/>
        <w:t>variant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p.A467T</w:t>
      </w:r>
      <w:r>
        <w:rPr>
          <w:spacing w:val="34"/>
        </w:rPr>
        <w:t> </w:t>
      </w:r>
      <w:r>
        <w:rPr/>
        <w:t>variant,</w:t>
      </w:r>
      <w:r>
        <w:rPr>
          <w:spacing w:val="34"/>
        </w:rPr>
        <w:t> </w:t>
      </w:r>
      <w:r>
        <w:rPr/>
        <w:t>followed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p.W748S</w:t>
      </w:r>
      <w:r>
        <w:rPr>
          <w:spacing w:val="35"/>
        </w:rPr>
        <w:t> </w:t>
      </w:r>
      <w:r>
        <w:rPr/>
        <w:t>variant.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clinical</w:t>
      </w:r>
      <w:r>
        <w:rPr>
          <w:spacing w:val="34"/>
        </w:rPr>
        <w:t> </w:t>
      </w:r>
      <w:r>
        <w:rPr/>
        <w:t>spectrum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SANDO is heterogeneous. No clear correlation has been observed between the mutation types and clinical phenotypes. Our</w:t>
      </w:r>
      <w:r>
        <w:rPr>
          <w:spacing w:val="80"/>
        </w:rPr>
        <w:t> </w:t>
      </w:r>
      <w:r>
        <w:rPr/>
        <w:t>findings expand the mutational spectrum of </w:t>
      </w:r>
      <w:r>
        <w:rPr>
          <w:i/>
        </w:rPr>
        <w:t>POLG </w:t>
      </w:r>
      <w:r>
        <w:rPr/>
        <w:t>and contribute to clinical management and genetic counseling for POLG-related SANDO.</w:t>
      </w:r>
    </w:p>
    <w:p>
      <w:pPr>
        <w:pStyle w:val="BodyText"/>
        <w:spacing w:before="12"/>
      </w:pPr>
    </w:p>
    <w:p>
      <w:pPr>
        <w:pStyle w:val="BodyText"/>
        <w:spacing w:before="1"/>
        <w:ind w:left="28"/>
        <w:jc w:val="both"/>
      </w:pPr>
      <w:r>
        <w:rPr>
          <w:rFonts w:ascii="Arial" w:hAnsi="Arial"/>
          <w:b/>
          <w:spacing w:val="-2"/>
        </w:rPr>
        <w:t>Keywords</w:t>
      </w:r>
      <w:r>
        <w:rPr>
          <w:rFonts w:ascii="Arial" w:hAnsi="Arial"/>
          <w:b/>
          <w:spacing w:val="28"/>
        </w:rPr>
        <w:t> </w:t>
      </w:r>
      <w:r>
        <w:rPr>
          <w:spacing w:val="-2"/>
        </w:rPr>
        <w:t>Sensory</w:t>
      </w:r>
      <w:r>
        <w:rPr>
          <w:spacing w:val="-7"/>
        </w:rPr>
        <w:t> </w:t>
      </w:r>
      <w:r>
        <w:rPr>
          <w:spacing w:val="-2"/>
        </w:rPr>
        <w:t>ataxic</w:t>
      </w:r>
      <w:r>
        <w:rPr>
          <w:spacing w:val="-8"/>
        </w:rPr>
        <w:t> </w:t>
      </w:r>
      <w:r>
        <w:rPr>
          <w:spacing w:val="-2"/>
        </w:rPr>
        <w:t>neuropathy</w:t>
      </w:r>
      <w:r>
        <w:rPr>
          <w:spacing w:val="-7"/>
        </w:rPr>
        <w:t> </w:t>
      </w:r>
      <w:r>
        <w:rPr>
          <w:spacing w:val="-2"/>
        </w:rPr>
        <w:t>·</w:t>
      </w:r>
      <w:r>
        <w:rPr>
          <w:spacing w:val="-7"/>
        </w:rPr>
        <w:t> </w:t>
      </w:r>
      <w:r>
        <w:rPr>
          <w:spacing w:val="-2"/>
        </w:rPr>
        <w:t>Dysarthria</w:t>
      </w:r>
      <w:r>
        <w:rPr>
          <w:spacing w:val="-8"/>
        </w:rPr>
        <w:t> </w:t>
      </w:r>
      <w:r>
        <w:rPr>
          <w:spacing w:val="-2"/>
        </w:rPr>
        <w:t>·</w:t>
      </w:r>
      <w:r>
        <w:rPr>
          <w:spacing w:val="-7"/>
        </w:rPr>
        <w:t> </w:t>
      </w:r>
      <w:r>
        <w:rPr>
          <w:spacing w:val="-2"/>
        </w:rPr>
        <w:t>Ophthalmoparesis</w:t>
      </w:r>
      <w:r>
        <w:rPr>
          <w:spacing w:val="35"/>
        </w:rPr>
        <w:t> </w:t>
      </w:r>
      <w:r>
        <w:rPr>
          <w:spacing w:val="-2"/>
        </w:rPr>
        <w:t>·</w:t>
      </w:r>
      <w:r>
        <w:rPr>
          <w:spacing w:val="-7"/>
        </w:rPr>
        <w:t> </w:t>
      </w:r>
      <w:r>
        <w:rPr>
          <w:i/>
          <w:spacing w:val="-2"/>
        </w:rPr>
        <w:t>POLG</w:t>
      </w:r>
      <w:r>
        <w:rPr>
          <w:i/>
          <w:spacing w:val="-8"/>
        </w:rPr>
        <w:t> </w:t>
      </w:r>
      <w:r>
        <w:rPr>
          <w:spacing w:val="-2"/>
        </w:rPr>
        <w:t>·</w:t>
      </w:r>
      <w:r>
        <w:rPr>
          <w:spacing w:val="-7"/>
        </w:rPr>
        <w:t> </w:t>
      </w:r>
      <w:r>
        <w:rPr>
          <w:spacing w:val="-2"/>
        </w:rPr>
        <w:t>Mutation</w:t>
      </w:r>
      <w:r>
        <w:rPr>
          <w:spacing w:val="-7"/>
        </w:rPr>
        <w:t> </w:t>
      </w:r>
      <w:r>
        <w:rPr>
          <w:spacing w:val="-2"/>
        </w:rPr>
        <w:t>·</w:t>
      </w:r>
      <w:r>
        <w:rPr>
          <w:spacing w:val="-8"/>
        </w:rPr>
        <w:t> </w:t>
      </w:r>
      <w:r>
        <w:rPr>
          <w:spacing w:val="-2"/>
        </w:rPr>
        <w:t>Phenotype</w:t>
      </w:r>
    </w:p>
    <w:p>
      <w:pPr>
        <w:pStyle w:val="BodyText"/>
        <w:spacing w:before="139"/>
      </w:pPr>
    </w:p>
    <w:p>
      <w:pPr>
        <w:pStyle w:val="BodyText"/>
        <w:spacing w:after="0"/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10" w:h="15820"/>
          <w:pgMar w:header="641" w:footer="939" w:top="840" w:bottom="1120" w:left="992" w:right="992"/>
          <w:pgNumType w:start="2462"/>
        </w:sectPr>
      </w:pPr>
    </w:p>
    <w:p>
      <w:pPr>
        <w:pStyle w:val="Heading1"/>
        <w:spacing w:before="112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1" w:lineRule="auto" w:before="263"/>
        <w:ind w:left="28"/>
        <w:jc w:val="both"/>
      </w:pPr>
      <w:r>
        <w:rPr/>
        <w:t>Sensory ataxic neuropathy, dysarthria, and ophthalmopa- resis (SANDO) is a rare inherited mitochondrial disorder associated with multiple mitochondrial DNA (mtDNA) deletions. It was first described in 1997 (Fadic et al. </w:t>
      </w:r>
      <w:hyperlink w:history="true" w:anchor="_bookmark8">
        <w:r>
          <w:rPr>
            <w:color w:val="0000FF"/>
          </w:rPr>
          <w:t>1997</w:t>
        </w:r>
      </w:hyperlink>
      <w:r>
        <w:rPr/>
        <w:t>). Since then, relatively few cases have been reported. Clas- sically, the disorder presents with the triad of sensory</w:t>
      </w:r>
      <w:r>
        <w:rPr>
          <w:spacing w:val="40"/>
        </w:rPr>
        <w:t> </w:t>
      </w:r>
      <w:r>
        <w:rPr/>
        <w:t>ataxic neuropathy, dysarthria, and ophthalmoparesis. Mutations in the DNA polymerase gamma (</w:t>
      </w:r>
      <w:r>
        <w:rPr>
          <w:i/>
        </w:rPr>
        <w:t>POLG</w:t>
      </w:r>
      <w:r>
        <w:rPr/>
        <w:t>) gene, which encodes the DNA polymerase gamma catalytic subunit,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identified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major</w:t>
      </w:r>
      <w:r>
        <w:rPr>
          <w:spacing w:val="34"/>
        </w:rPr>
        <w:t> </w:t>
      </w:r>
      <w:r>
        <w:rPr/>
        <w:t>genetic</w:t>
      </w:r>
      <w:r>
        <w:rPr>
          <w:spacing w:val="34"/>
        </w:rPr>
        <w:t> </w:t>
      </w:r>
      <w:r>
        <w:rPr/>
        <w:t>cause of SANDO.</w:t>
      </w:r>
    </w:p>
    <w:p>
      <w:pPr>
        <w:pStyle w:val="BodyText"/>
        <w:spacing w:line="261" w:lineRule="auto"/>
        <w:ind w:left="28" w:right="3" w:firstLine="226"/>
        <w:jc w:val="both"/>
      </w:pPr>
      <w:r>
        <w:rPr/>
        <w:t>However, diseases related to </w:t>
      </w:r>
      <w:r>
        <w:rPr>
          <w:i/>
        </w:rPr>
        <w:t>POLG </w:t>
      </w:r>
      <w:r>
        <w:rPr/>
        <w:t>mutations are het- erogeneous, consisting of a wide spectrum of disorders involving</w:t>
      </w:r>
      <w:r>
        <w:rPr>
          <w:spacing w:val="70"/>
        </w:rPr>
        <w:t> </w:t>
      </w:r>
      <w:r>
        <w:rPr/>
        <w:t>multiple</w:t>
      </w:r>
      <w:r>
        <w:rPr>
          <w:spacing w:val="72"/>
        </w:rPr>
        <w:t> </w:t>
      </w:r>
      <w:r>
        <w:rPr/>
        <w:t>organs,</w:t>
      </w:r>
      <w:r>
        <w:rPr>
          <w:spacing w:val="73"/>
        </w:rPr>
        <w:t> </w:t>
      </w:r>
      <w:r>
        <w:rPr/>
        <w:t>with</w:t>
      </w:r>
      <w:r>
        <w:rPr>
          <w:spacing w:val="72"/>
        </w:rPr>
        <w:t> </w:t>
      </w:r>
      <w:r>
        <w:rPr/>
        <w:t>variable</w:t>
      </w:r>
      <w:r>
        <w:rPr>
          <w:spacing w:val="73"/>
        </w:rPr>
        <w:t> </w:t>
      </w:r>
      <w:r>
        <w:rPr/>
        <w:t>age</w:t>
      </w:r>
      <w:r>
        <w:rPr>
          <w:spacing w:val="72"/>
        </w:rPr>
        <w:t> </w:t>
      </w:r>
      <w:r>
        <w:rPr/>
        <w:t>at</w:t>
      </w:r>
      <w:r>
        <w:rPr>
          <w:spacing w:val="73"/>
        </w:rPr>
        <w:t> </w:t>
      </w:r>
      <w:r>
        <w:rPr>
          <w:spacing w:val="-2"/>
        </w:rPr>
        <w:t>onset</w:t>
      </w:r>
    </w:p>
    <w:p>
      <w:pPr>
        <w:pStyle w:val="BodyText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647999</wp:posOffset>
                </wp:positionH>
                <wp:positionV relativeFrom="paragraph">
                  <wp:posOffset>231316</wp:posOffset>
                </wp:positionV>
                <wp:extent cx="30245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02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4505" h="0">
                              <a:moveTo>
                                <a:pt x="0" y="0"/>
                              </a:moveTo>
                              <a:lnTo>
                                <a:pt x="30239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3586pt;margin-top:18.213869pt;width:238.15pt;height:.1pt;mso-position-horizontal-relative:page;mso-position-vertical-relative:paragraph;z-index:-15727616;mso-wrap-distance-left:0;mso-wrap-distance-right:0" id="docshape7" coordorigin="1020,364" coordsize="4763,0" path="m1020,364l5783,364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81"/>
        <w:ind w:left="311" w:right="2046" w:hanging="297"/>
        <w:jc w:val="left"/>
        <w:rPr>
          <w:sz w:val="17"/>
        </w:rPr>
      </w:pPr>
      <w:r>
        <w:rPr>
          <w:rFonts w:ascii="Wingdings" w:hAnsi="Wingdings"/>
          <w:w w:val="80"/>
          <w:sz w:val="17"/>
        </w:rPr>
        <w:t></w:t>
      </w:r>
      <w:r>
        <w:rPr>
          <w:spacing w:val="40"/>
          <w:sz w:val="17"/>
        </w:rPr>
        <w:t> </w:t>
      </w:r>
      <w:r>
        <w:rPr>
          <w:sz w:val="17"/>
        </w:rPr>
        <w:t>Ling-Jing</w:t>
      </w:r>
      <w:r>
        <w:rPr>
          <w:spacing w:val="-6"/>
          <w:sz w:val="17"/>
        </w:rPr>
        <w:t> </w:t>
      </w:r>
      <w:r>
        <w:rPr>
          <w:sz w:val="17"/>
        </w:rPr>
        <w:t>Jin </w:t>
      </w:r>
      <w:hyperlink r:id="rId13">
        <w:r>
          <w:rPr>
            <w:spacing w:val="-2"/>
            <w:sz w:val="17"/>
          </w:rPr>
          <w:t>lingjingjin@163.com</w:t>
        </w:r>
      </w:hyperlink>
    </w:p>
    <w:p>
      <w:pPr>
        <w:pStyle w:val="BodyText"/>
        <w:spacing w:before="7"/>
        <w:rPr>
          <w:sz w:val="17"/>
        </w:rPr>
      </w:pPr>
    </w:p>
    <w:p>
      <w:pPr>
        <w:tabs>
          <w:tab w:pos="311" w:val="left" w:leader="none"/>
        </w:tabs>
        <w:spacing w:line="244" w:lineRule="auto" w:before="0"/>
        <w:ind w:left="311" w:right="348" w:hanging="284"/>
        <w:jc w:val="left"/>
        <w:rPr>
          <w:sz w:val="17"/>
        </w:rPr>
      </w:pPr>
      <w:r>
        <w:rPr>
          <w:spacing w:val="-10"/>
          <w:sz w:val="17"/>
          <w:vertAlign w:val="superscript"/>
        </w:rPr>
        <w:t>1</w:t>
      </w:r>
      <w:r>
        <w:rPr>
          <w:sz w:val="17"/>
          <w:vertAlign w:val="baseline"/>
        </w:rPr>
        <w:tab/>
        <w:t>Neurotoxin Research Center of Key Laboratory of Spine</w:t>
      </w:r>
      <w:r>
        <w:rPr>
          <w:spacing w:val="40"/>
          <w:sz w:val="17"/>
          <w:vertAlign w:val="baseline"/>
        </w:rPr>
        <w:t> </w:t>
      </w:r>
      <w:r>
        <w:rPr>
          <w:sz w:val="17"/>
          <w:vertAlign w:val="baseline"/>
        </w:rPr>
        <w:t>and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Spinal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Cord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Injury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Repair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and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Regeneration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of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Ministry of Education, Neurological Department of Tongji Hospital, Tongji University School of Medicine, Shanghai, China</w:t>
      </w:r>
    </w:p>
    <w:p>
      <w:pPr>
        <w:pStyle w:val="BodyText"/>
        <w:spacing w:line="261" w:lineRule="auto" w:before="151"/>
        <w:ind w:left="15" w:right="14"/>
        <w:jc w:val="both"/>
      </w:pPr>
      <w:r>
        <w:rPr/>
        <w:br w:type="column"/>
      </w:r>
      <w:r>
        <w:rPr/>
        <w:t>and varying degrees of severity. Apart from SANDO, POLG-related disorders include Alpers syndrome; auto- somal dominant and recessive forms of chronic progres- sive</w:t>
      </w:r>
      <w:r>
        <w:rPr>
          <w:spacing w:val="40"/>
        </w:rPr>
        <w:t> </w:t>
      </w:r>
      <w:r>
        <w:rPr/>
        <w:t>external</w:t>
      </w:r>
      <w:r>
        <w:rPr>
          <w:spacing w:val="40"/>
        </w:rPr>
        <w:t> </w:t>
      </w:r>
      <w:r>
        <w:rPr/>
        <w:t>ophthalmoplegia;</w:t>
      </w:r>
      <w:r>
        <w:rPr>
          <w:spacing w:val="40"/>
        </w:rPr>
        <w:t> </w:t>
      </w:r>
      <w:r>
        <w:rPr/>
        <w:t>spinocerebellar</w:t>
      </w:r>
      <w:r>
        <w:rPr>
          <w:spacing w:val="40"/>
        </w:rPr>
        <w:t> </w:t>
      </w:r>
      <w:r>
        <w:rPr/>
        <w:t>ataxia with epilepsy; mitochondrial encephalomyopathy, lactic acidosis, and stroke-like episodes (MELAS); and mito- chondrial neurogastrointestinal encephalomyopathy syn- drome</w:t>
      </w:r>
      <w:r>
        <w:rPr>
          <w:spacing w:val="30"/>
        </w:rPr>
        <w:t> </w:t>
      </w:r>
      <w:r>
        <w:rPr/>
        <w:t>(Da</w:t>
      </w:r>
      <w:r>
        <w:rPr>
          <w:spacing w:val="30"/>
        </w:rPr>
        <w:t> </w:t>
      </w:r>
      <w:r>
        <w:rPr/>
        <w:t>Pozzo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30"/>
        </w:rPr>
        <w:t> </w:t>
      </w:r>
      <w:hyperlink w:history="true" w:anchor="_bookmark6">
        <w:r>
          <w:rPr>
            <w:color w:val="0000FF"/>
          </w:rPr>
          <w:t>2017</w:t>
        </w:r>
      </w:hyperlink>
      <w:r>
        <w:rPr/>
        <w:t>;</w:t>
      </w:r>
      <w:r>
        <w:rPr>
          <w:spacing w:val="30"/>
        </w:rPr>
        <w:t> </w:t>
      </w:r>
      <w:r>
        <w:rPr/>
        <w:t>Rouzier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30"/>
        </w:rPr>
        <w:t> </w:t>
      </w:r>
      <w:hyperlink w:history="true" w:anchor="_bookmark23">
        <w:r>
          <w:rPr>
            <w:color w:val="0000FF"/>
          </w:rPr>
          <w:t>2014</w:t>
        </w:r>
      </w:hyperlink>
      <w:r>
        <w:rPr/>
        <w:t>;</w:t>
      </w:r>
      <w:r>
        <w:rPr>
          <w:spacing w:val="30"/>
        </w:rPr>
        <w:t> </w:t>
      </w:r>
      <w:r>
        <w:rPr/>
        <w:t>Tang et al. </w:t>
      </w:r>
      <w:hyperlink w:history="true" w:anchor="_bookmark24">
        <w:r>
          <w:rPr>
            <w:color w:val="0000FF"/>
          </w:rPr>
          <w:t>2011</w:t>
        </w:r>
      </w:hyperlink>
      <w:r>
        <w:rPr/>
        <w:t>). Although </w:t>
      </w:r>
      <w:r>
        <w:rPr>
          <w:i/>
        </w:rPr>
        <w:t>POLG </w:t>
      </w:r>
      <w:r>
        <w:rPr/>
        <w:t>variants have been found throughout the region from exon 2 to exon 21, no clear correlation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identified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phenotype and genotype.</w:t>
      </w:r>
    </w:p>
    <w:p>
      <w:pPr>
        <w:pStyle w:val="BodyText"/>
        <w:spacing w:line="261" w:lineRule="auto"/>
        <w:ind w:left="15" w:right="12" w:firstLine="226"/>
        <w:jc w:val="both"/>
      </w:pPr>
      <w:r>
        <w:rPr/>
        <w:t>The diagnosis of SANDO is best made with genetic </w:t>
      </w:r>
      <w:r>
        <w:rPr>
          <w:spacing w:val="9"/>
        </w:rPr>
        <w:t>testing</w:t>
      </w:r>
      <w:r>
        <w:rPr>
          <w:spacing w:val="9"/>
        </w:rPr>
        <w:t> coupled</w:t>
      </w:r>
      <w:r>
        <w:rPr>
          <w:spacing w:val="9"/>
        </w:rPr>
        <w:t> </w:t>
      </w:r>
      <w:r>
        <w:rPr/>
        <w:t>with </w:t>
      </w:r>
      <w:r>
        <w:rPr>
          <w:spacing w:val="9"/>
        </w:rPr>
        <w:t>clinical</w:t>
      </w:r>
      <w:r>
        <w:rPr>
          <w:spacing w:val="9"/>
        </w:rPr>
        <w:t> </w:t>
      </w:r>
      <w:r>
        <w:rPr>
          <w:spacing w:val="10"/>
        </w:rPr>
        <w:t>findings.</w:t>
      </w:r>
      <w:r>
        <w:rPr>
          <w:spacing w:val="10"/>
        </w:rPr>
        <w:t> </w:t>
      </w:r>
      <w:r>
        <w:rPr/>
        <w:t>To date, </w:t>
      </w:r>
      <w:r>
        <w:rPr>
          <w:spacing w:val="11"/>
        </w:rPr>
        <w:t>the </w:t>
      </w:r>
      <w:r>
        <w:rPr/>
        <w:t>clinical phenotype and </w:t>
      </w:r>
      <w:r>
        <w:rPr>
          <w:i/>
        </w:rPr>
        <w:t>POLG </w:t>
      </w:r>
      <w:r>
        <w:rPr/>
        <w:t>mutational spectrum of SANDO patients have not yet been systematically evalu- ated. In this study, we report a case of SANDO associ-</w:t>
      </w:r>
      <w:r>
        <w:rPr>
          <w:spacing w:val="80"/>
        </w:rPr>
        <w:t> </w:t>
      </w:r>
      <w:r>
        <w:rPr/>
        <w:t>ated with two novel heterozygous variants (c.2543G&gt;C, p.G848A and c.452 T&gt;C, p.L151P) in </w:t>
      </w:r>
      <w:r>
        <w:rPr>
          <w:i/>
        </w:rPr>
        <w:t>POLG. </w:t>
      </w:r>
      <w:r>
        <w:rPr/>
        <w:t>We also searched the literature on POLG-related SANDO and reviewed previously reported cases to summarize </w:t>
      </w:r>
      <w:r>
        <w:rPr>
          <w:spacing w:val="9"/>
        </w:rPr>
        <w:t>the </w:t>
      </w:r>
      <w:r>
        <w:rPr/>
        <w:t>clinical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disorder.</w:t>
      </w:r>
    </w:p>
    <w:p>
      <w:pPr>
        <w:pStyle w:val="BodyText"/>
        <w:spacing w:after="0" w:line="261" w:lineRule="auto"/>
        <w:jc w:val="both"/>
        <w:sectPr>
          <w:type w:val="continuous"/>
          <w:pgSz w:w="11910" w:h="15820"/>
          <w:pgMar w:header="641" w:footer="939" w:top="840" w:bottom="1120" w:left="992" w:right="992"/>
          <w:cols w:num="2" w:equalWidth="0">
            <w:col w:w="4801" w:space="315"/>
            <w:col w:w="4810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28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64275" cy="12700"/>
                <wp:effectExtent l="9525" t="0" r="3175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64275" cy="12700"/>
                          <a:chExt cx="6264275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299"/>
                            <a:ext cx="626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0">
                                <a:moveTo>
                                  <a:pt x="0" y="0"/>
                                </a:moveTo>
                                <a:lnTo>
                                  <a:pt x="6263995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25pt;height:1pt;mso-position-horizontal-relative:char;mso-position-vertical-relative:line" id="docshapegroup8" coordorigin="0,0" coordsize="9865,20">
                <v:line style="position:absolute" from="0,10" to="9865,10" stroked="true" strokeweight=".99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1910" w:h="15820"/>
          <w:pgMar w:header="629" w:footer="939" w:top="820" w:bottom="1120" w:left="992" w:right="992"/>
        </w:sectPr>
      </w:pPr>
    </w:p>
    <w:p>
      <w:pPr>
        <w:pStyle w:val="Heading1"/>
        <w:spacing w:before="113"/>
      </w:pPr>
      <w:bookmarkStart w:name="Materials and Methods" w:id="4"/>
      <w:bookmarkEnd w:id="4"/>
      <w:r>
        <w:rPr>
          <w:b w:val="0"/>
        </w:rPr>
      </w:r>
      <w:r>
        <w:rPr>
          <w:spacing w:val="-6"/>
        </w:rPr>
        <w:t>Materials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Methods</w:t>
      </w:r>
    </w:p>
    <w:p>
      <w:pPr>
        <w:pStyle w:val="Heading2"/>
        <w:spacing w:before="243"/>
      </w:pPr>
      <w:bookmarkStart w:name="Subjects" w:id="5"/>
      <w:bookmarkEnd w:id="5"/>
      <w:r>
        <w:rPr>
          <w:b w:val="0"/>
        </w:rPr>
      </w:r>
      <w:r>
        <w:rPr>
          <w:spacing w:val="-2"/>
          <w:w w:val="95"/>
        </w:rPr>
        <w:t>Subjects</w:t>
      </w:r>
    </w:p>
    <w:p>
      <w:pPr>
        <w:pStyle w:val="BodyText"/>
        <w:spacing w:before="13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28"/>
        <w:jc w:val="both"/>
      </w:pPr>
      <w:r>
        <w:rPr/>
        <w:t>The</w:t>
      </w:r>
      <w:r>
        <w:rPr>
          <w:spacing w:val="-13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recruited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Neurological</w:t>
      </w:r>
      <w:r>
        <w:rPr>
          <w:spacing w:val="-13"/>
        </w:rPr>
        <w:t> </w:t>
      </w:r>
      <w:r>
        <w:rPr/>
        <w:t>Department of</w:t>
      </w:r>
      <w:r>
        <w:rPr>
          <w:spacing w:val="-13"/>
        </w:rPr>
        <w:t> </w:t>
      </w:r>
      <w:r>
        <w:rPr/>
        <w:t>Tongji</w:t>
      </w:r>
      <w:r>
        <w:rPr>
          <w:spacing w:val="-12"/>
        </w:rPr>
        <w:t> </w:t>
      </w:r>
      <w:r>
        <w:rPr/>
        <w:t>Hospital,</w:t>
      </w:r>
      <w:r>
        <w:rPr>
          <w:spacing w:val="-13"/>
        </w:rPr>
        <w:t> </w:t>
      </w:r>
      <w:r>
        <w:rPr/>
        <w:t>Tongji</w:t>
      </w:r>
      <w:r>
        <w:rPr>
          <w:spacing w:val="-12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School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Medicine</w:t>
      </w:r>
      <w:r>
        <w:rPr>
          <w:spacing w:val="-12"/>
        </w:rPr>
        <w:t> </w:t>
      </w:r>
      <w:r>
        <w:rPr/>
        <w:t>in 2019. The patient and his parents signed written informed consent forms in accordance with the ethical protocol approved by the Ethics Board of Tongji Hospital, Tongji University School of Medicine.</w:t>
      </w:r>
    </w:p>
    <w:p>
      <w:pPr>
        <w:pStyle w:val="BodyText"/>
        <w:spacing w:before="100"/>
      </w:pPr>
    </w:p>
    <w:p>
      <w:pPr>
        <w:pStyle w:val="Heading2"/>
      </w:pPr>
      <w:bookmarkStart w:name="Genetic Analysis" w:id="6"/>
      <w:bookmarkEnd w:id="6"/>
      <w:r>
        <w:rPr>
          <w:b w:val="0"/>
        </w:rPr>
      </w:r>
      <w:r>
        <w:rPr>
          <w:w w:val="85"/>
        </w:rPr>
        <w:t>Genetic</w:t>
      </w:r>
      <w:r>
        <w:rPr>
          <w:spacing w:val="-2"/>
          <w:w w:val="85"/>
        </w:rPr>
        <w:t> </w:t>
      </w:r>
      <w:r>
        <w:rPr>
          <w:spacing w:val="-2"/>
          <w:w w:val="95"/>
        </w:rPr>
        <w:t>Analysis</w:t>
      </w:r>
    </w:p>
    <w:p>
      <w:pPr>
        <w:pStyle w:val="BodyText"/>
        <w:spacing w:before="13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28" w:right="4"/>
        <w:jc w:val="both"/>
      </w:pPr>
      <w:r>
        <w:rPr>
          <w:spacing w:val="-2"/>
        </w:rPr>
        <w:t>Genomic</w:t>
      </w:r>
      <w:r>
        <w:rPr>
          <w:spacing w:val="-11"/>
        </w:rPr>
        <w:t> </w:t>
      </w:r>
      <w:r>
        <w:rPr>
          <w:spacing w:val="-2"/>
        </w:rPr>
        <w:t>DNA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extracted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peripheral</w:t>
      </w:r>
      <w:r>
        <w:rPr>
          <w:spacing w:val="-10"/>
        </w:rPr>
        <w:t> </w:t>
      </w:r>
      <w:r>
        <w:rPr>
          <w:spacing w:val="-2"/>
        </w:rPr>
        <w:t>blood</w:t>
      </w:r>
      <w:r>
        <w:rPr>
          <w:spacing w:val="-11"/>
        </w:rPr>
        <w:t> </w:t>
      </w:r>
      <w:r>
        <w:rPr>
          <w:spacing w:val="-2"/>
        </w:rPr>
        <w:t>samples. </w:t>
      </w:r>
      <w:r>
        <w:rPr/>
        <w:t>Whole-exome</w:t>
      </w:r>
      <w:r>
        <w:rPr>
          <w:spacing w:val="-10"/>
        </w:rPr>
        <w:t> </w:t>
      </w:r>
      <w:r>
        <w:rPr/>
        <w:t>sequencing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proband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on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Illumina</w:t>
      </w:r>
      <w:r>
        <w:rPr>
          <w:spacing w:val="-7"/>
        </w:rPr>
        <w:t> </w:t>
      </w:r>
      <w:r>
        <w:rPr>
          <w:spacing w:val="-2"/>
        </w:rPr>
        <w:t>NovaSeq</w:t>
      </w:r>
      <w:r>
        <w:rPr>
          <w:spacing w:val="-7"/>
        </w:rPr>
        <w:t> </w:t>
      </w:r>
      <w:r>
        <w:rPr>
          <w:spacing w:val="-2"/>
        </w:rPr>
        <w:t>6000</w:t>
      </w:r>
      <w:r>
        <w:rPr>
          <w:spacing w:val="-7"/>
        </w:rPr>
        <w:t> </w:t>
      </w:r>
      <w:r>
        <w:rPr>
          <w:spacing w:val="-2"/>
        </w:rPr>
        <w:t>platform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reported</w:t>
      </w:r>
    </w:p>
    <w:p>
      <w:pPr>
        <w:pStyle w:val="BodyText"/>
        <w:spacing w:line="261" w:lineRule="auto" w:before="121"/>
        <w:ind w:left="28" w:right="25"/>
        <w:jc w:val="both"/>
      </w:pPr>
      <w:r>
        <w:rPr/>
        <w:br w:type="column"/>
      </w:r>
      <w:r>
        <w:rPr/>
        <w:t>previously (Dong et al. </w:t>
      </w:r>
      <w:hyperlink w:history="true" w:anchor="_bookmark7">
        <w:r>
          <w:rPr>
            <w:color w:val="0000FF"/>
          </w:rPr>
          <w:t>2020</w:t>
        </w:r>
      </w:hyperlink>
      <w:r>
        <w:rPr/>
        <w:t>). Sanger sequencing was car- ried out to verify the potential variants and co-segregation of the pedigree.</w:t>
      </w:r>
    </w:p>
    <w:p>
      <w:pPr>
        <w:pStyle w:val="BodyText"/>
        <w:spacing w:before="102"/>
      </w:pPr>
    </w:p>
    <w:p>
      <w:pPr>
        <w:pStyle w:val="Heading2"/>
        <w:jc w:val="both"/>
      </w:pPr>
      <w:bookmarkStart w:name="Literature Review" w:id="7"/>
      <w:bookmarkEnd w:id="7"/>
      <w:r>
        <w:rPr>
          <w:b w:val="0"/>
        </w:rPr>
      </w:r>
      <w:r>
        <w:rPr>
          <w:spacing w:val="2"/>
          <w:w w:val="85"/>
        </w:rPr>
        <w:t>Literature</w:t>
      </w:r>
      <w:r>
        <w:rPr>
          <w:spacing w:val="1"/>
        </w:rPr>
        <w:t> </w:t>
      </w:r>
      <w:r>
        <w:rPr>
          <w:spacing w:val="-2"/>
        </w:rPr>
        <w:t>Review</w:t>
      </w:r>
    </w:p>
    <w:p>
      <w:pPr>
        <w:pStyle w:val="BodyText"/>
        <w:spacing w:before="13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28" w:right="16"/>
        <w:jc w:val="both"/>
      </w:pPr>
      <w:r>
        <w:rPr/>
        <w:t>The PubMed (</w:t>
      </w:r>
      <w:hyperlink r:id="rId14">
        <w:r>
          <w:rPr>
            <w:color w:val="0000FF"/>
          </w:rPr>
          <w:t>https://pubmed.ncbi.nlm.nih.gov/</w:t>
        </w:r>
      </w:hyperlink>
      <w:r>
        <w:rPr/>
        <w:t>)</w:t>
      </w:r>
      <w:r>
        <w:rPr>
          <w:i/>
        </w:rPr>
        <w:t>, </w:t>
      </w:r>
      <w:r>
        <w:rPr/>
        <w:t>CNKI </w:t>
      </w:r>
      <w:r>
        <w:rPr>
          <w:spacing w:val="11"/>
        </w:rPr>
        <w:t>(</w:t>
      </w:r>
      <w:hyperlink r:id="rId15">
        <w:r>
          <w:rPr>
            <w:color w:val="0000FF"/>
            <w:spacing w:val="11"/>
          </w:rPr>
          <w:t>https://www.cnki.net/</w:t>
        </w:r>
      </w:hyperlink>
      <w:r>
        <w:rPr>
          <w:spacing w:val="11"/>
        </w:rPr>
        <w:t>),</w:t>
      </w:r>
      <w:r>
        <w:rPr>
          <w:spacing w:val="11"/>
        </w:rPr>
        <w:t> </w:t>
      </w:r>
      <w:r>
        <w:rPr/>
        <w:t>and Wanfang </w:t>
      </w:r>
      <w:r>
        <w:rPr>
          <w:spacing w:val="10"/>
        </w:rPr>
        <w:t>(</w:t>
      </w:r>
      <w:hyperlink r:id="rId16">
        <w:r>
          <w:rPr>
            <w:color w:val="0000FF"/>
            <w:spacing w:val="10"/>
          </w:rPr>
          <w:t>http://www.</w:t>
        </w:r>
      </w:hyperlink>
      <w:r>
        <w:rPr>
          <w:color w:val="0000FF"/>
          <w:spacing w:val="10"/>
        </w:rPr>
        <w:t> </w:t>
      </w:r>
      <w:hyperlink r:id="rId16">
        <w:r>
          <w:rPr>
            <w:color w:val="0000FF"/>
          </w:rPr>
          <w:t>wanfangdata.com.cn/</w:t>
        </w:r>
      </w:hyperlink>
      <w:r>
        <w:rPr/>
        <w:t>) databases were used to search for previously reported cases associated with POLG-related SANDO. Patients with homozygous or compound het- erozygous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POLG</w:t>
      </w:r>
      <w:r>
        <w:rPr>
          <w:i/>
          <w:spacing w:val="40"/>
        </w:rPr>
        <w:t> </w:t>
      </w:r>
      <w:r>
        <w:rPr/>
        <w:t>gene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in this study. The clinical history, genetic variants, brain magnetic resonance imaging (MRI), and electrophysi- ological and histological findings of these cases were reviewed (Supplementary Table </w:t>
      </w:r>
      <w:r>
        <w:rPr>
          <w:color w:val="0000FF"/>
        </w:rPr>
        <w:t>1</w:t>
      </w:r>
      <w:r>
        <w:rPr/>
        <w:t>).</w:t>
      </w:r>
    </w:p>
    <w:p>
      <w:pPr>
        <w:pStyle w:val="BodyText"/>
        <w:spacing w:after="0" w:line="261" w:lineRule="auto"/>
        <w:jc w:val="both"/>
        <w:sectPr>
          <w:type w:val="continuous"/>
          <w:pgSz w:w="11910" w:h="15820"/>
          <w:pgMar w:header="629" w:footer="939" w:top="840" w:bottom="1120" w:left="992" w:right="992"/>
          <w:cols w:num="2" w:equalWidth="0">
            <w:col w:w="4799" w:space="303"/>
            <w:col w:w="4824"/>
          </w:cols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165"/>
      </w:pPr>
      <w:r>
        <w:rPr/>
        <w:drawing>
          <wp:inline distT="0" distB="0" distL="0" distR="0">
            <wp:extent cx="6088881" cy="454456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881" cy="4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5820"/>
          <w:pgMar w:header="629" w:footer="939" w:top="840" w:bottom="1120" w:left="992" w:right="992"/>
        </w:sectPr>
      </w:pPr>
    </w:p>
    <w:p>
      <w:pPr>
        <w:spacing w:line="244" w:lineRule="auto" w:before="115"/>
        <w:ind w:left="28" w:right="0" w:firstLine="0"/>
        <w:jc w:val="both"/>
        <w:rPr>
          <w:sz w:val="17"/>
        </w:rPr>
      </w:pPr>
      <w:bookmarkStart w:name="_bookmark0" w:id="8"/>
      <w:bookmarkEnd w:id="8"/>
      <w:r>
        <w:rPr/>
      </w:r>
      <w:r>
        <w:rPr>
          <w:rFonts w:ascii="Arial"/>
          <w:b/>
          <w:sz w:val="17"/>
        </w:rPr>
        <w:t>Fig.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z w:val="17"/>
        </w:rPr>
        <w:t>1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A SANDO family carrying biallelic </w:t>
      </w:r>
      <w:r>
        <w:rPr>
          <w:i/>
          <w:sz w:val="17"/>
        </w:rPr>
        <w:t>POLG </w:t>
      </w:r>
      <w:r>
        <w:rPr>
          <w:sz w:val="17"/>
        </w:rPr>
        <w:t>variants. </w:t>
      </w:r>
      <w:r>
        <w:rPr>
          <w:b/>
          <w:sz w:val="17"/>
        </w:rPr>
        <w:t>a </w:t>
      </w:r>
      <w:r>
        <w:rPr>
          <w:sz w:val="17"/>
        </w:rPr>
        <w:t>Chro- matograms of c.2543G&gt;C (p.G848A) and c.452 T&gt;C (p.L151P) </w:t>
      </w:r>
      <w:r>
        <w:rPr>
          <w:sz w:val="17"/>
        </w:rPr>
        <w:t>vari- ants. The upper chromatograms represent normal sequences, and the lower</w:t>
      </w:r>
      <w:r>
        <w:rPr>
          <w:spacing w:val="-2"/>
          <w:sz w:val="17"/>
        </w:rPr>
        <w:t> </w:t>
      </w:r>
      <w:r>
        <w:rPr>
          <w:sz w:val="17"/>
        </w:rPr>
        <w:t>chromatograms</w:t>
      </w:r>
      <w:r>
        <w:rPr>
          <w:spacing w:val="-2"/>
          <w:sz w:val="17"/>
        </w:rPr>
        <w:t> </w:t>
      </w:r>
      <w:r>
        <w:rPr>
          <w:sz w:val="17"/>
        </w:rPr>
        <w:t>represent</w:t>
      </w:r>
      <w:r>
        <w:rPr>
          <w:spacing w:val="-2"/>
          <w:sz w:val="17"/>
        </w:rPr>
        <w:t> </w:t>
      </w:r>
      <w:r>
        <w:rPr>
          <w:sz w:val="17"/>
        </w:rPr>
        <w:t>mutant</w:t>
      </w:r>
      <w:r>
        <w:rPr>
          <w:spacing w:val="-2"/>
          <w:sz w:val="17"/>
        </w:rPr>
        <w:t> </w:t>
      </w:r>
      <w:r>
        <w:rPr>
          <w:sz w:val="17"/>
        </w:rPr>
        <w:t>sequences.</w:t>
      </w:r>
      <w:r>
        <w:rPr>
          <w:spacing w:val="-2"/>
          <w:sz w:val="17"/>
        </w:rPr>
        <w:t> </w:t>
      </w:r>
      <w:r>
        <w:rPr>
          <w:b/>
          <w:sz w:val="17"/>
        </w:rPr>
        <w:t>b</w:t>
      </w:r>
      <w:r>
        <w:rPr>
          <w:b/>
          <w:spacing w:val="-2"/>
          <w:sz w:val="17"/>
        </w:rPr>
        <w:t> </w:t>
      </w:r>
      <w:r>
        <w:rPr>
          <w:sz w:val="17"/>
        </w:rPr>
        <w:t>Brain</w:t>
      </w:r>
      <w:r>
        <w:rPr>
          <w:spacing w:val="-2"/>
          <w:sz w:val="17"/>
        </w:rPr>
        <w:t> </w:t>
      </w:r>
      <w:r>
        <w:rPr>
          <w:sz w:val="17"/>
        </w:rPr>
        <w:t>MRI</w:t>
      </w:r>
      <w:r>
        <w:rPr>
          <w:spacing w:val="-2"/>
          <w:sz w:val="17"/>
        </w:rPr>
        <w:t> </w:t>
      </w:r>
      <w:r>
        <w:rPr>
          <w:sz w:val="17"/>
        </w:rPr>
        <w:t>find- ings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proband.</w:t>
      </w:r>
      <w:r>
        <w:rPr>
          <w:spacing w:val="3"/>
          <w:sz w:val="17"/>
        </w:rPr>
        <w:t> </w:t>
      </w:r>
      <w:r>
        <w:rPr>
          <w:b/>
          <w:sz w:val="17"/>
        </w:rPr>
        <w:t>c</w:t>
      </w:r>
      <w:r>
        <w:rPr>
          <w:b/>
          <w:spacing w:val="2"/>
          <w:sz w:val="17"/>
        </w:rPr>
        <w:t> </w:t>
      </w:r>
      <w:r>
        <w:rPr>
          <w:sz w:val="17"/>
        </w:rPr>
        <w:t>Conservation</w:t>
      </w:r>
      <w:r>
        <w:rPr>
          <w:spacing w:val="3"/>
          <w:sz w:val="17"/>
        </w:rPr>
        <w:t> </w:t>
      </w:r>
      <w:r>
        <w:rPr>
          <w:sz w:val="17"/>
        </w:rPr>
        <w:t>analysis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amino</w:t>
      </w:r>
      <w:r>
        <w:rPr>
          <w:spacing w:val="2"/>
          <w:sz w:val="17"/>
        </w:rPr>
        <w:t> </w:t>
      </w:r>
      <w:r>
        <w:rPr>
          <w:sz w:val="17"/>
        </w:rPr>
        <w:t>acid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sequences</w:t>
      </w:r>
    </w:p>
    <w:p>
      <w:pPr>
        <w:spacing w:line="244" w:lineRule="auto" w:before="115"/>
        <w:ind w:left="28" w:right="25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p.L151P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p.G848S</w:t>
      </w:r>
      <w:r>
        <w:rPr>
          <w:spacing w:val="-1"/>
          <w:sz w:val="17"/>
        </w:rPr>
        <w:t> </w:t>
      </w:r>
      <w:r>
        <w:rPr>
          <w:sz w:val="17"/>
        </w:rPr>
        <w:t>variant</w:t>
      </w:r>
      <w:r>
        <w:rPr>
          <w:spacing w:val="-1"/>
          <w:sz w:val="17"/>
        </w:rPr>
        <w:t> </w:t>
      </w:r>
      <w:r>
        <w:rPr>
          <w:sz w:val="17"/>
        </w:rPr>
        <w:t>sites.</w:t>
      </w:r>
      <w:r>
        <w:rPr>
          <w:spacing w:val="-1"/>
          <w:sz w:val="17"/>
        </w:rPr>
        <w:t> </w:t>
      </w:r>
      <w:r>
        <w:rPr>
          <w:b/>
          <w:sz w:val="17"/>
        </w:rPr>
        <w:t>d</w:t>
      </w:r>
      <w:r>
        <w:rPr>
          <w:b/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pedigree</w:t>
      </w:r>
      <w:r>
        <w:rPr>
          <w:spacing w:val="-1"/>
          <w:sz w:val="17"/>
        </w:rPr>
        <w:t> </w:t>
      </w:r>
      <w:r>
        <w:rPr>
          <w:sz w:val="17"/>
        </w:rPr>
        <w:t>shows</w:t>
      </w:r>
      <w:r>
        <w:rPr>
          <w:spacing w:val="-1"/>
          <w:sz w:val="17"/>
        </w:rPr>
        <w:t> </w:t>
      </w:r>
      <w:r>
        <w:rPr>
          <w:sz w:val="17"/>
        </w:rPr>
        <w:t>seg- regation of variants verified by Sanger sequencing. The arrow indi- cates the proband. </w:t>
      </w:r>
      <w:r>
        <w:rPr>
          <w:b/>
          <w:sz w:val="17"/>
        </w:rPr>
        <w:t>e </w:t>
      </w:r>
      <w:r>
        <w:rPr>
          <w:sz w:val="17"/>
        </w:rPr>
        <w:t>POLG protein structure and the identified vari- ants reported in SANDO patients. The red characters represent the variants reported in this study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29" w:footer="939" w:top="840" w:bottom="1120" w:left="992" w:right="992"/>
          <w:cols w:num="2" w:equalWidth="0">
            <w:col w:w="4792" w:space="311"/>
            <w:col w:w="4823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1910" w:h="15820"/>
          <w:pgMar w:header="659" w:footer="939" w:top="900" w:bottom="1120" w:left="992" w:right="992"/>
          <w:pgNumType w:start="2464"/>
        </w:sectPr>
      </w:pPr>
    </w:p>
    <w:p>
      <w:pPr>
        <w:spacing w:before="91"/>
        <w:ind w:left="28" w:right="0" w:firstLine="0"/>
        <w:jc w:val="both"/>
        <w:rPr>
          <w:sz w:val="17"/>
        </w:rPr>
      </w:pPr>
      <w:bookmarkStart w:name="_bookmark1" w:id="9"/>
      <w:bookmarkEnd w:id="9"/>
      <w:r>
        <w:rPr/>
      </w:r>
      <w:r>
        <w:rPr>
          <w:rFonts w:ascii="Arial"/>
          <w:b/>
          <w:spacing w:val="-2"/>
          <w:sz w:val="17"/>
        </w:rPr>
        <w:t>Table</w:t>
      </w:r>
      <w:r>
        <w:rPr>
          <w:rFonts w:ascii="Arial"/>
          <w:b/>
          <w:spacing w:val="-15"/>
          <w:sz w:val="17"/>
        </w:rPr>
        <w:t> </w:t>
      </w:r>
      <w:r>
        <w:rPr>
          <w:rFonts w:ascii="Arial"/>
          <w:b/>
          <w:spacing w:val="-2"/>
          <w:sz w:val="17"/>
        </w:rPr>
        <w:t>1</w:t>
      </w:r>
      <w:r>
        <w:rPr>
          <w:rFonts w:ascii="Arial"/>
          <w:b/>
          <w:spacing w:val="54"/>
          <w:sz w:val="17"/>
        </w:rPr>
        <w:t> </w:t>
      </w:r>
      <w:r>
        <w:rPr>
          <w:spacing w:val="-2"/>
          <w:sz w:val="17"/>
        </w:rPr>
        <w:t>Clinical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features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patients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POLG-related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SANDO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1"/>
        <w:gridCol w:w="1720"/>
      </w:tblGrid>
      <w:tr>
        <w:trPr>
          <w:trHeight w:val="312" w:hRule="atLeast"/>
        </w:trPr>
        <w:tc>
          <w:tcPr>
            <w:tcW w:w="304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72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left="743"/>
              <w:rPr>
                <w:sz w:val="17"/>
              </w:rPr>
            </w:pPr>
            <w:r>
              <w:rPr>
                <w:sz w:val="17"/>
              </w:rPr>
              <w:t>All </w:t>
            </w:r>
            <w:r>
              <w:rPr>
                <w:spacing w:val="-2"/>
                <w:sz w:val="17"/>
              </w:rPr>
              <w:t>patients</w:t>
            </w:r>
          </w:p>
        </w:tc>
      </w:tr>
      <w:tr>
        <w:trPr>
          <w:trHeight w:val="312" w:hRule="atLeast"/>
        </w:trPr>
        <w:tc>
          <w:tcPr>
            <w:tcW w:w="30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75"/>
              <w:rPr>
                <w:sz w:val="17"/>
              </w:rPr>
            </w:pPr>
            <w:r>
              <w:rPr>
                <w:sz w:val="17"/>
              </w:rPr>
              <w:t>Number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patients</w:t>
            </w:r>
          </w:p>
        </w:tc>
        <w:tc>
          <w:tcPr>
            <w:tcW w:w="17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743"/>
              <w:rPr>
                <w:sz w:val="17"/>
              </w:rPr>
            </w:pPr>
            <w:r>
              <w:rPr>
                <w:spacing w:val="-5"/>
                <w:sz w:val="17"/>
              </w:rPr>
              <w:t>63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4"/>
                <w:sz w:val="17"/>
              </w:rPr>
              <w:t>Male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27/49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(55.1%)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Age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onset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(years)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32.2 </w:t>
            </w:r>
            <w:r>
              <w:rPr>
                <w:spacing w:val="-2"/>
                <w:sz w:val="17"/>
              </w:rPr>
              <w:t>(5–73)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First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disabling</w:t>
            </w:r>
            <w:r>
              <w:rPr>
                <w:spacing w:val="-2"/>
                <w:sz w:val="17"/>
              </w:rPr>
              <w:t> symptom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Ataxia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25/41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(61.0%)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Ptosis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10/41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(24.4%)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Paresthesia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4/41 </w:t>
            </w:r>
            <w:r>
              <w:rPr>
                <w:spacing w:val="-2"/>
                <w:sz w:val="17"/>
              </w:rPr>
              <w:t>(9.8%)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Epileptic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seizure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3/41 </w:t>
            </w:r>
            <w:r>
              <w:rPr>
                <w:spacing w:val="-2"/>
                <w:sz w:val="17"/>
              </w:rPr>
              <w:t>(7.3%)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Limb </w:t>
            </w:r>
            <w:r>
              <w:rPr>
                <w:spacing w:val="-2"/>
                <w:sz w:val="17"/>
              </w:rPr>
              <w:t>weakness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1/41 </w:t>
            </w:r>
            <w:r>
              <w:rPr>
                <w:spacing w:val="-2"/>
                <w:sz w:val="17"/>
              </w:rPr>
              <w:t>(2.4%)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Symptoms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addition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SANDO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Proximal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muscle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weakness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18/63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(28.6%)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Dysphagia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18/63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(28.6%)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Cognitive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deficits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14/63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(22.2%)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Movement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disorders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13/63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(20.6%)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Psychiatric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disorders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12/63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(19.0%)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Hearing/visual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symptoms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9/63 </w:t>
            </w:r>
            <w:r>
              <w:rPr>
                <w:spacing w:val="-2"/>
                <w:sz w:val="17"/>
              </w:rPr>
              <w:t>(14.4%)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Epilepsy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6/63 </w:t>
            </w:r>
            <w:r>
              <w:rPr>
                <w:spacing w:val="-2"/>
                <w:sz w:val="17"/>
              </w:rPr>
              <w:t>(9.5%)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Headache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6/63 </w:t>
            </w:r>
            <w:r>
              <w:rPr>
                <w:spacing w:val="-2"/>
                <w:sz w:val="17"/>
              </w:rPr>
              <w:t>(9.5%)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Gastrointestinal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2"/>
                <w:sz w:val="17"/>
              </w:rPr>
              <w:t>symptoms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5/63 </w:t>
            </w:r>
            <w:r>
              <w:rPr>
                <w:spacing w:val="-2"/>
                <w:sz w:val="17"/>
              </w:rPr>
              <w:t>(7.9%)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Heart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symptoms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4/63 </w:t>
            </w:r>
            <w:r>
              <w:rPr>
                <w:spacing w:val="-2"/>
                <w:sz w:val="17"/>
              </w:rPr>
              <w:t>(6.3%)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Endocrine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symptoms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4/63 </w:t>
            </w:r>
            <w:r>
              <w:rPr>
                <w:spacing w:val="-2"/>
                <w:sz w:val="17"/>
              </w:rPr>
              <w:t>(6.3%)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Autonomic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2"/>
                <w:sz w:val="17"/>
              </w:rPr>
              <w:t>dysfunction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4/63 </w:t>
            </w:r>
            <w:r>
              <w:rPr>
                <w:spacing w:val="-2"/>
                <w:sz w:val="17"/>
              </w:rPr>
              <w:t>(6.3%)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Brain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MRI </w:t>
            </w:r>
            <w:r>
              <w:rPr>
                <w:spacing w:val="-2"/>
                <w:sz w:val="17"/>
              </w:rPr>
              <w:t>findings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12/36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(33.3%)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Cerebellar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atrophy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9/36 </w:t>
            </w:r>
            <w:r>
              <w:rPr>
                <w:spacing w:val="-2"/>
                <w:sz w:val="17"/>
              </w:rPr>
              <w:t>(25.0%)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Cerebellar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lesions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6/36 </w:t>
            </w:r>
            <w:r>
              <w:rPr>
                <w:spacing w:val="-2"/>
                <w:sz w:val="17"/>
              </w:rPr>
              <w:t>(16.7%)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Thalamic </w:t>
            </w:r>
            <w:r>
              <w:rPr>
                <w:spacing w:val="-2"/>
                <w:sz w:val="17"/>
              </w:rPr>
              <w:t>lesions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5/36 </w:t>
            </w:r>
            <w:r>
              <w:rPr>
                <w:spacing w:val="-2"/>
                <w:sz w:val="17"/>
              </w:rPr>
              <w:t>(13.9%)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Cortical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atrophy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4/36 </w:t>
            </w:r>
            <w:r>
              <w:rPr>
                <w:spacing w:val="-2"/>
                <w:sz w:val="17"/>
              </w:rPr>
              <w:t>(11.1%)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White matter </w:t>
            </w:r>
            <w:r>
              <w:rPr>
                <w:spacing w:val="-2"/>
                <w:sz w:val="17"/>
              </w:rPr>
              <w:t>lesions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3/36 </w:t>
            </w:r>
            <w:r>
              <w:rPr>
                <w:spacing w:val="-2"/>
                <w:sz w:val="17"/>
              </w:rPr>
              <w:t>(8.3%)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Olivary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hypertrophy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3/36 </w:t>
            </w:r>
            <w:r>
              <w:rPr>
                <w:spacing w:val="-2"/>
                <w:sz w:val="17"/>
              </w:rPr>
              <w:t>(8.3%)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Electrophysiological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2"/>
                <w:sz w:val="17"/>
              </w:rPr>
              <w:t>findings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Axonal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2"/>
                <w:sz w:val="17"/>
              </w:rPr>
              <w:t>&gt;Demyelinating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47/51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(92.2%)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Axonal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2"/>
                <w:sz w:val="17"/>
              </w:rPr>
              <w:t>=Demyelinating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3/51 </w:t>
            </w:r>
            <w:r>
              <w:rPr>
                <w:spacing w:val="-2"/>
                <w:sz w:val="17"/>
              </w:rPr>
              <w:t>(5.9%)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Axonal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2"/>
                <w:sz w:val="17"/>
              </w:rPr>
              <w:t>&lt;Demyelinating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1/51 </w:t>
            </w:r>
            <w:r>
              <w:rPr>
                <w:spacing w:val="-2"/>
                <w:sz w:val="17"/>
              </w:rPr>
              <w:t>(1.9%)</w:t>
            </w: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Muscle </w:t>
            </w:r>
            <w:r>
              <w:rPr>
                <w:spacing w:val="-2"/>
                <w:sz w:val="17"/>
              </w:rPr>
              <w:t>biopsy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pacing w:val="-2"/>
                <w:sz w:val="17"/>
              </w:rPr>
              <w:t>COX-negative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fibers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23/30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(76.7%)</w:t>
            </w:r>
          </w:p>
        </w:tc>
      </w:tr>
      <w:tr>
        <w:trPr>
          <w:trHeight w:val="250" w:hRule="atLeast"/>
        </w:trPr>
        <w:tc>
          <w:tcPr>
            <w:tcW w:w="3041" w:type="dxa"/>
          </w:tcPr>
          <w:p>
            <w:pPr>
              <w:pStyle w:val="TableParagraph"/>
              <w:spacing w:line="240" w:lineRule="auto" w:before="12"/>
              <w:rPr>
                <w:sz w:val="17"/>
              </w:rPr>
            </w:pPr>
            <w:r>
              <w:rPr>
                <w:sz w:val="17"/>
              </w:rPr>
              <w:t>Ragged-red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fibers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2"/>
              <w:ind w:left="743"/>
              <w:rPr>
                <w:sz w:val="17"/>
              </w:rPr>
            </w:pPr>
            <w:r>
              <w:rPr>
                <w:sz w:val="17"/>
              </w:rPr>
              <w:t>18/25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(72.0%)</w:t>
            </w:r>
          </w:p>
        </w:tc>
      </w:tr>
      <w:tr>
        <w:trPr>
          <w:trHeight w:val="276" w:hRule="atLeast"/>
        </w:trPr>
        <w:tc>
          <w:tcPr>
            <w:tcW w:w="30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3"/>
              <w:rPr>
                <w:sz w:val="17"/>
              </w:rPr>
            </w:pPr>
            <w:r>
              <w:rPr>
                <w:sz w:val="17"/>
              </w:rPr>
              <w:t>Multiple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mtDNA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deletions</w:t>
            </w:r>
          </w:p>
        </w:tc>
        <w:tc>
          <w:tcPr>
            <w:tcW w:w="17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743"/>
              <w:rPr>
                <w:sz w:val="17"/>
              </w:rPr>
            </w:pPr>
            <w:r>
              <w:rPr>
                <w:sz w:val="17"/>
              </w:rPr>
              <w:t>21/22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(95.5%)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spacing w:before="110"/>
        <w:rPr>
          <w:sz w:val="17"/>
        </w:rPr>
      </w:pPr>
    </w:p>
    <w:p>
      <w:pPr>
        <w:pStyle w:val="Heading1"/>
        <w:spacing w:before="1"/>
      </w:pPr>
      <w:bookmarkStart w:name="Results" w:id="10"/>
      <w:bookmarkEnd w:id="10"/>
      <w:r>
        <w:rPr>
          <w:b w:val="0"/>
        </w:rPr>
      </w:r>
      <w:r>
        <w:rPr>
          <w:spacing w:val="-2"/>
        </w:rPr>
        <w:t>Results</w:t>
      </w:r>
    </w:p>
    <w:p>
      <w:pPr>
        <w:pStyle w:val="Heading2"/>
        <w:spacing w:before="242"/>
      </w:pPr>
      <w:bookmarkStart w:name="Clinical Presentation" w:id="11"/>
      <w:bookmarkEnd w:id="11"/>
      <w:r>
        <w:rPr>
          <w:b w:val="0"/>
        </w:rPr>
      </w:r>
      <w:r>
        <w:rPr>
          <w:w w:val="80"/>
        </w:rPr>
        <w:t>Clinical</w:t>
      </w:r>
      <w:r>
        <w:rPr>
          <w:spacing w:val="17"/>
        </w:rPr>
        <w:t> </w:t>
      </w:r>
      <w:r>
        <w:rPr>
          <w:spacing w:val="-2"/>
          <w:w w:val="95"/>
        </w:rPr>
        <w:t>Presentation</w:t>
      </w:r>
    </w:p>
    <w:p>
      <w:pPr>
        <w:pStyle w:val="BodyText"/>
        <w:spacing w:before="14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28"/>
        <w:jc w:val="both"/>
      </w:pPr>
      <w:r>
        <w:rPr/>
        <w:t>The patient was a 37-year-old man. He said he was a poor runner and was unable to keep up with his peers during childhood. He complained of fatigue after exercise. At the 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35,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suffered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bilateral</w:t>
      </w:r>
      <w:r>
        <w:rPr>
          <w:spacing w:val="-10"/>
        </w:rPr>
        <w:t> </w:t>
      </w:r>
      <w:r>
        <w:rPr/>
        <w:t>eyelid</w:t>
      </w:r>
      <w:r>
        <w:rPr>
          <w:spacing w:val="-10"/>
        </w:rPr>
        <w:t> </w:t>
      </w:r>
      <w:r>
        <w:rPr/>
        <w:t>drooping.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age 36, he experienced numbness in both feet that was notice- able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standing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walking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diminished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>
          <w:spacing w:val="-2"/>
        </w:rPr>
        <w:t>lying</w:t>
      </w:r>
    </w:p>
    <w:p>
      <w:pPr>
        <w:pStyle w:val="BodyText"/>
        <w:spacing w:line="261" w:lineRule="auto" w:before="69"/>
        <w:ind w:left="28" w:right="25"/>
        <w:jc w:val="both"/>
      </w:pPr>
      <w:r>
        <w:rPr/>
        <w:br w:type="column"/>
      </w:r>
      <w:r>
        <w:rPr/>
        <w:t>down. At the same time, a hand tremor, particularly in the right</w:t>
      </w:r>
      <w:r>
        <w:rPr>
          <w:spacing w:val="-13"/>
        </w:rPr>
        <w:t> </w:t>
      </w:r>
      <w:r>
        <w:rPr/>
        <w:t>hand,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observed.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tremor</w:t>
      </w:r>
      <w:r>
        <w:rPr>
          <w:spacing w:val="-12"/>
        </w:rPr>
        <w:t> </w:t>
      </w:r>
      <w:r>
        <w:rPr/>
        <w:t>appeared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resting state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disappeared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actively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hand.</w:t>
      </w:r>
      <w:r>
        <w:rPr>
          <w:spacing w:val="-8"/>
        </w:rPr>
        <w:t> </w:t>
      </w:r>
      <w:r>
        <w:rPr/>
        <w:t>Three months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visiting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department,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exhibited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 severe hand tremor and developed slurred speech.</w:t>
      </w:r>
    </w:p>
    <w:p>
      <w:pPr>
        <w:pStyle w:val="BodyText"/>
        <w:spacing w:line="261" w:lineRule="auto"/>
        <w:ind w:left="28" w:right="22" w:firstLine="226"/>
        <w:jc w:val="both"/>
      </w:pPr>
      <w:r>
        <w:rPr/>
        <w:t>On examination, he was 164 cm tall and weighed only 45 kg. Neurological examinations showed normal cogni- tion.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moderate</w:t>
      </w:r>
      <w:r>
        <w:rPr>
          <w:spacing w:val="-8"/>
        </w:rPr>
        <w:t> </w:t>
      </w:r>
      <w:r>
        <w:rPr/>
        <w:t>nasal,</w:t>
      </w:r>
      <w:r>
        <w:rPr>
          <w:spacing w:val="-8"/>
        </w:rPr>
        <w:t> </w:t>
      </w:r>
      <w:r>
        <w:rPr/>
        <w:t>flaccid</w:t>
      </w:r>
      <w:r>
        <w:rPr>
          <w:spacing w:val="-8"/>
        </w:rPr>
        <w:t> </w:t>
      </w:r>
      <w:r>
        <w:rPr/>
        <w:t>dysarthria.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 bilateral ptosis with moderate horizontal ophthalmoparesis </w:t>
      </w:r>
      <w:r>
        <w:rPr>
          <w:spacing w:val="-2"/>
        </w:rPr>
        <w:t>without</w:t>
      </w:r>
      <w:r>
        <w:rPr>
          <w:spacing w:val="-5"/>
        </w:rPr>
        <w:t> </w:t>
      </w:r>
      <w:r>
        <w:rPr>
          <w:spacing w:val="-2"/>
        </w:rPr>
        <w:t>double</w:t>
      </w:r>
      <w:r>
        <w:rPr>
          <w:spacing w:val="-5"/>
        </w:rPr>
        <w:t> </w:t>
      </w:r>
      <w:r>
        <w:rPr>
          <w:spacing w:val="-2"/>
        </w:rPr>
        <w:t>vision.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symptom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severe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right</w:t>
      </w:r>
      <w:r>
        <w:rPr>
          <w:spacing w:val="-1"/>
        </w:rPr>
        <w:t> </w:t>
      </w:r>
      <w:r>
        <w:rPr/>
        <w:t>eye.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muscle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neck</w:t>
      </w:r>
      <w:r>
        <w:rPr>
          <w:spacing w:val="-1"/>
        </w:rPr>
        <w:t> </w:t>
      </w:r>
      <w:r>
        <w:rPr/>
        <w:t>flexors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3/5</w:t>
      </w:r>
      <w:r>
        <w:rPr>
          <w:spacing w:val="-11"/>
        </w:rPr>
        <w:t> </w:t>
      </w:r>
      <w:r>
        <w:rPr>
          <w:spacing w:val="-2"/>
        </w:rPr>
        <w:t>grade</w:t>
      </w:r>
      <w:r>
        <w:rPr>
          <w:spacing w:val="-10"/>
        </w:rPr>
        <w:t> </w:t>
      </w:r>
      <w:r>
        <w:rPr>
          <w:spacing w:val="-2"/>
        </w:rPr>
        <w:t>strength</w:t>
      </w:r>
      <w:r>
        <w:rPr>
          <w:spacing w:val="-11"/>
        </w:rPr>
        <w:t> </w:t>
      </w:r>
      <w:r>
        <w:rPr>
          <w:spacing w:val="-2"/>
        </w:rPr>
        <w:t>(Medical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11"/>
        </w:rPr>
        <w:t> </w:t>
      </w:r>
      <w:r>
        <w:rPr>
          <w:spacing w:val="-2"/>
        </w:rPr>
        <w:t>Council</w:t>
      </w:r>
      <w:r>
        <w:rPr>
          <w:spacing w:val="-10"/>
        </w:rPr>
        <w:t> </w:t>
      </w:r>
      <w:r>
        <w:rPr>
          <w:spacing w:val="-2"/>
        </w:rPr>
        <w:t>Muscle</w:t>
      </w:r>
      <w:r>
        <w:rPr>
          <w:spacing w:val="-11"/>
        </w:rPr>
        <w:t> </w:t>
      </w:r>
      <w:r>
        <w:rPr>
          <w:spacing w:val="-2"/>
        </w:rPr>
        <w:t>Scale). </w:t>
      </w:r>
      <w:r>
        <w:rPr/>
        <w:t>He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bilateral</w:t>
      </w:r>
      <w:r>
        <w:rPr>
          <w:spacing w:val="-12"/>
        </w:rPr>
        <w:t> </w:t>
      </w:r>
      <w:r>
        <w:rPr/>
        <w:t>sternocleidomastoid</w:t>
      </w:r>
      <w:r>
        <w:rPr>
          <w:spacing w:val="-12"/>
        </w:rPr>
        <w:t> </w:t>
      </w:r>
      <w:r>
        <w:rPr/>
        <w:t>muscular</w:t>
      </w:r>
      <w:r>
        <w:rPr>
          <w:spacing w:val="-12"/>
        </w:rPr>
        <w:t> </w:t>
      </w:r>
      <w:r>
        <w:rPr/>
        <w:t>atrophy. Fasciculation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bilateral</w:t>
      </w:r>
      <w:r>
        <w:rPr>
          <w:spacing w:val="-3"/>
        </w:rPr>
        <w:t> </w:t>
      </w:r>
      <w:r>
        <w:rPr/>
        <w:t>pectoralis</w:t>
      </w:r>
      <w:r>
        <w:rPr>
          <w:spacing w:val="-3"/>
        </w:rPr>
        <w:t> </w:t>
      </w:r>
      <w:r>
        <w:rPr/>
        <w:t>major and left bicep. Excessive sweating of the palms and soles was also observed. Deep tendon reflexes were absent in all limbs. Absent vibratory sensations in the lower extremities and</w:t>
      </w:r>
      <w:r>
        <w:rPr>
          <w:spacing w:val="-5"/>
        </w:rPr>
        <w:t> </w:t>
      </w:r>
      <w:r>
        <w:rPr/>
        <w:t>impaired</w:t>
      </w:r>
      <w:r>
        <w:rPr>
          <w:spacing w:val="-5"/>
        </w:rPr>
        <w:t> </w:t>
      </w:r>
      <w:r>
        <w:rPr/>
        <w:t>joint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observed. The</w:t>
      </w:r>
      <w:r>
        <w:rPr>
          <w:spacing w:val="-3"/>
        </w:rPr>
        <w:t> </w:t>
      </w:r>
      <w:r>
        <w:rPr/>
        <w:t>finger-to-nose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normal.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heel-knee-tibia</w:t>
      </w:r>
      <w:r>
        <w:rPr>
          <w:spacing w:val="-3"/>
        </w:rPr>
        <w:t> </w:t>
      </w:r>
      <w:r>
        <w:rPr/>
        <w:t>test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Romberg</w:t>
      </w:r>
      <w:r>
        <w:rPr>
          <w:spacing w:val="-6"/>
        </w:rPr>
        <w:t> </w:t>
      </w:r>
      <w:r>
        <w:rPr>
          <w:spacing w:val="-2"/>
        </w:rPr>
        <w:t>sign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positive.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static</w:t>
      </w:r>
      <w:r>
        <w:rPr>
          <w:spacing w:val="-6"/>
        </w:rPr>
        <w:t> </w:t>
      </w:r>
      <w:r>
        <w:rPr>
          <w:spacing w:val="-2"/>
        </w:rPr>
        <w:t>tremor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evident </w:t>
      </w:r>
      <w:r>
        <w:rPr/>
        <w:t>in his right hand.</w:t>
      </w:r>
    </w:p>
    <w:p>
      <w:pPr>
        <w:pStyle w:val="BodyText"/>
        <w:spacing w:line="261" w:lineRule="auto"/>
        <w:ind w:left="28" w:right="19" w:firstLine="226"/>
        <w:jc w:val="both"/>
      </w:pPr>
      <w:r>
        <w:rPr/>
        <w:t>Chemical</w:t>
      </w:r>
      <w:r>
        <w:rPr>
          <w:spacing w:val="-4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investigations</w:t>
      </w:r>
      <w:r>
        <w:rPr>
          <w:spacing w:val="-4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ele- vated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lactic</w:t>
      </w:r>
      <w:r>
        <w:rPr>
          <w:spacing w:val="-10"/>
        </w:rPr>
        <w:t> </w:t>
      </w:r>
      <w:r>
        <w:rPr/>
        <w:t>acid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3.0</w:t>
      </w:r>
      <w:r>
        <w:rPr>
          <w:spacing w:val="-10"/>
        </w:rPr>
        <w:t> </w:t>
      </w:r>
      <w:r>
        <w:rPr/>
        <w:t>mmol/L</w:t>
      </w:r>
      <w:r>
        <w:rPr>
          <w:spacing w:val="-10"/>
        </w:rPr>
        <w:t> </w:t>
      </w:r>
      <w:r>
        <w:rPr/>
        <w:t>(reference</w:t>
      </w:r>
      <w:r>
        <w:rPr>
          <w:spacing w:val="-10"/>
        </w:rPr>
        <w:t> </w:t>
      </w:r>
      <w:r>
        <w:rPr/>
        <w:t>range 0.7–2.1</w:t>
      </w:r>
      <w:r>
        <w:rPr>
          <w:spacing w:val="-13"/>
        </w:rPr>
        <w:t> </w:t>
      </w:r>
      <w:r>
        <w:rPr/>
        <w:t>mmol/L),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his</w:t>
      </w:r>
      <w:r>
        <w:rPr>
          <w:spacing w:val="-12"/>
        </w:rPr>
        <w:t> </w:t>
      </w:r>
      <w:r>
        <w:rPr/>
        <w:t>creatine</w:t>
      </w:r>
      <w:r>
        <w:rPr>
          <w:spacing w:val="-13"/>
        </w:rPr>
        <w:t> </w:t>
      </w:r>
      <w:r>
        <w:rPr/>
        <w:t>kinase,</w:t>
      </w:r>
      <w:r>
        <w:rPr>
          <w:spacing w:val="-12"/>
        </w:rPr>
        <w:t> </w:t>
      </w:r>
      <w:r>
        <w:rPr/>
        <w:t>glucose,</w:t>
      </w:r>
      <w:r>
        <w:rPr>
          <w:spacing w:val="-13"/>
        </w:rPr>
        <w:t> </w:t>
      </w:r>
      <w:r>
        <w:rPr/>
        <w:t>vitamin </w:t>
      </w:r>
      <w:r>
        <w:rPr>
          <w:spacing w:val="-4"/>
        </w:rPr>
        <w:t>B12, thyroid function, and autoantibody levels were all within normal ranges. His electrocardiogram (ECG) test was normal, </w:t>
      </w:r>
      <w:r>
        <w:rPr/>
        <w:t>showing no arrhythmia. Nerve conduction studies revealed absent right sural and peroneal sensory nerve action poten- tials</w:t>
      </w:r>
      <w:r>
        <w:rPr>
          <w:spacing w:val="-13"/>
        </w:rPr>
        <w:t> </w:t>
      </w:r>
      <w:r>
        <w:rPr/>
        <w:t>(SNAP),</w:t>
      </w:r>
      <w:r>
        <w:rPr>
          <w:spacing w:val="-12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moderately</w:t>
      </w:r>
      <w:r>
        <w:rPr>
          <w:spacing w:val="-13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radial,</w:t>
      </w:r>
      <w:r>
        <w:rPr>
          <w:spacing w:val="-13"/>
        </w:rPr>
        <w:t> </w:t>
      </w:r>
      <w:r>
        <w:rPr/>
        <w:t>median,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ulnar</w:t>
      </w:r>
      <w:r>
        <w:rPr>
          <w:spacing w:val="-4"/>
        </w:rPr>
        <w:t> </w:t>
      </w:r>
      <w:r>
        <w:rPr>
          <w:spacing w:val="-2"/>
        </w:rPr>
        <w:t>SNAP,</w:t>
      </w:r>
      <w:r>
        <w:rPr>
          <w:spacing w:val="-4"/>
        </w:rPr>
        <w:t> </w:t>
      </w:r>
      <w:r>
        <w:rPr>
          <w:spacing w:val="-2"/>
        </w:rPr>
        <w:t>consistent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sensory</w:t>
      </w:r>
      <w:r>
        <w:rPr>
          <w:spacing w:val="-4"/>
        </w:rPr>
        <w:t> </w:t>
      </w:r>
      <w:r>
        <w:rPr>
          <w:spacing w:val="-2"/>
        </w:rPr>
        <w:t>axonopathy.</w:t>
      </w:r>
      <w:r>
        <w:rPr>
          <w:spacing w:val="-4"/>
        </w:rPr>
        <w:t> </w:t>
      </w:r>
      <w:r>
        <w:rPr>
          <w:spacing w:val="-2"/>
        </w:rPr>
        <w:t>Motor </w:t>
      </w:r>
      <w:r>
        <w:rPr/>
        <w:t>studies demonstrated reduced compound muscle action potentials</w:t>
      </w:r>
      <w:r>
        <w:rPr>
          <w:spacing w:val="-9"/>
        </w:rPr>
        <w:t> </w:t>
      </w:r>
      <w:r>
        <w:rPr/>
        <w:t>(CMAP)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limbs.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F-wave</w:t>
      </w:r>
      <w:r>
        <w:rPr>
          <w:spacing w:val="-9"/>
        </w:rPr>
        <w:t> </w:t>
      </w:r>
      <w:r>
        <w:rPr/>
        <w:t>latencies were normal. A needle electromyographic (EMG) study of his right arm and leg showed some high-amplitude, long- duration</w:t>
      </w:r>
      <w:r>
        <w:rPr>
          <w:spacing w:val="-13"/>
        </w:rPr>
        <w:t> </w:t>
      </w:r>
      <w:r>
        <w:rPr/>
        <w:t>motor</w:t>
      </w:r>
      <w:r>
        <w:rPr>
          <w:spacing w:val="-12"/>
        </w:rPr>
        <w:t> </w:t>
      </w:r>
      <w:r>
        <w:rPr/>
        <w:t>unit</w:t>
      </w:r>
      <w:r>
        <w:rPr>
          <w:spacing w:val="-13"/>
        </w:rPr>
        <w:t> </w:t>
      </w:r>
      <w:r>
        <w:rPr/>
        <w:t>action</w:t>
      </w:r>
      <w:r>
        <w:rPr>
          <w:spacing w:val="-12"/>
        </w:rPr>
        <w:t> </w:t>
      </w:r>
      <w:r>
        <w:rPr/>
        <w:t>potentials,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fibrillation</w:t>
      </w:r>
      <w:r>
        <w:rPr>
          <w:spacing w:val="-13"/>
        </w:rPr>
        <w:t> </w:t>
      </w:r>
      <w:r>
        <w:rPr/>
        <w:t>poten- tials and positive sharp waves. Lower limb somatosensory evoked</w:t>
      </w:r>
      <w:r>
        <w:rPr>
          <w:spacing w:val="-4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absent.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noticeable</w:t>
      </w:r>
      <w:r>
        <w:rPr>
          <w:spacing w:val="-4"/>
        </w:rPr>
        <w:t> </w:t>
      </w:r>
      <w:r>
        <w:rPr/>
        <w:t>abnormalities were seen on MRI of the spinal cord. Periventricular white matter</w:t>
      </w:r>
      <w:r>
        <w:rPr>
          <w:spacing w:val="-12"/>
        </w:rPr>
        <w:t> </w:t>
      </w:r>
      <w:r>
        <w:rPr/>
        <w:t>hyperintensities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T2-weighted/fluid </w:t>
      </w:r>
      <w:r>
        <w:rPr>
          <w:spacing w:val="-4"/>
        </w:rPr>
        <w:t>attenuated</w:t>
      </w:r>
      <w:r>
        <w:rPr>
          <w:spacing w:val="-6"/>
        </w:rPr>
        <w:t> </w:t>
      </w:r>
      <w:r>
        <w:rPr>
          <w:spacing w:val="-4"/>
        </w:rPr>
        <w:t>inversion</w:t>
      </w:r>
      <w:r>
        <w:rPr>
          <w:spacing w:val="-5"/>
        </w:rPr>
        <w:t> </w:t>
      </w:r>
      <w:r>
        <w:rPr>
          <w:spacing w:val="-4"/>
        </w:rPr>
        <w:t>recovery</w:t>
      </w:r>
      <w:r>
        <w:rPr>
          <w:spacing w:val="-5"/>
        </w:rPr>
        <w:t> </w:t>
      </w:r>
      <w:r>
        <w:rPr>
          <w:spacing w:val="-4"/>
        </w:rPr>
        <w:t>(T2/FLAIR)</w:t>
      </w:r>
      <w:r>
        <w:rPr>
          <w:spacing w:val="-6"/>
        </w:rPr>
        <w:t> </w:t>
      </w:r>
      <w:r>
        <w:rPr>
          <w:spacing w:val="-4"/>
        </w:rPr>
        <w:t>brain</w:t>
      </w:r>
      <w:r>
        <w:rPr>
          <w:spacing w:val="-5"/>
        </w:rPr>
        <w:t> </w:t>
      </w:r>
      <w:r>
        <w:rPr>
          <w:spacing w:val="-4"/>
        </w:rPr>
        <w:t>MRI</w:t>
      </w:r>
      <w:r>
        <w:rPr>
          <w:spacing w:val="-5"/>
        </w:rPr>
        <w:t> </w:t>
      </w:r>
      <w:r>
        <w:rPr>
          <w:spacing w:val="-4"/>
        </w:rPr>
        <w:t>(Fig.</w:t>
      </w:r>
      <w:r>
        <w:rPr>
          <w:spacing w:val="-8"/>
        </w:rPr>
        <w:t> </w:t>
      </w:r>
      <w:hyperlink w:history="true" w:anchor="_bookmark0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jc w:val="both"/>
      </w:pPr>
      <w:bookmarkStart w:name="Genetic Findings" w:id="12"/>
      <w:bookmarkEnd w:id="12"/>
      <w:r>
        <w:rPr>
          <w:b w:val="0"/>
        </w:rPr>
      </w:r>
      <w:r>
        <w:rPr>
          <w:w w:val="85"/>
        </w:rPr>
        <w:t>Genetic</w:t>
      </w:r>
      <w:r>
        <w:rPr>
          <w:spacing w:val="-2"/>
          <w:w w:val="85"/>
        </w:rPr>
        <w:t> </w:t>
      </w:r>
      <w:r>
        <w:rPr>
          <w:spacing w:val="-2"/>
          <w:w w:val="95"/>
        </w:rPr>
        <w:t>Findings</w:t>
      </w:r>
    </w:p>
    <w:p>
      <w:pPr>
        <w:pStyle w:val="BodyText"/>
        <w:spacing w:before="14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28" w:right="25"/>
        <w:jc w:val="both"/>
      </w:pPr>
      <w:r>
        <w:rPr>
          <w:spacing w:val="-6"/>
        </w:rPr>
        <w:t>Whole-exome sequencing was</w:t>
      </w:r>
      <w:r>
        <w:rPr>
          <w:spacing w:val="-7"/>
        </w:rPr>
        <w:t> </w:t>
      </w:r>
      <w:r>
        <w:rPr>
          <w:spacing w:val="-6"/>
        </w:rPr>
        <w:t>performed</w:t>
      </w:r>
      <w:r>
        <w:rPr>
          <w:spacing w:val="-5"/>
        </w:rPr>
        <w:t> </w:t>
      </w:r>
      <w:r>
        <w:rPr>
          <w:spacing w:val="-6"/>
        </w:rPr>
        <w:t>to screen for possible </w:t>
      </w:r>
      <w:r>
        <w:rPr>
          <w:spacing w:val="-4"/>
        </w:rPr>
        <w:t>causative genes for these symptoms. Two novel heterozygous </w:t>
      </w:r>
      <w:r>
        <w:rPr/>
        <w:t>missense</w:t>
      </w:r>
      <w:r>
        <w:rPr>
          <w:spacing w:val="-7"/>
        </w:rPr>
        <w:t> </w:t>
      </w:r>
      <w:r>
        <w:rPr/>
        <w:t>variants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compound</w:t>
      </w:r>
      <w:r>
        <w:rPr>
          <w:spacing w:val="-7"/>
        </w:rPr>
        <w:t> </w:t>
      </w:r>
      <w:r>
        <w:rPr/>
        <w:t>heterozygosity,</w:t>
      </w:r>
      <w:r>
        <w:rPr>
          <w:spacing w:val="-7"/>
        </w:rPr>
        <w:t> </w:t>
      </w:r>
      <w:r>
        <w:rPr/>
        <w:t>c.2543G&gt;C </w:t>
      </w:r>
      <w:r>
        <w:rPr>
          <w:spacing w:val="-6"/>
        </w:rPr>
        <w:t>(p.G848A)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c.452</w:t>
      </w:r>
      <w:r>
        <w:rPr>
          <w:spacing w:val="-13"/>
        </w:rPr>
        <w:t> </w:t>
      </w:r>
      <w:r>
        <w:rPr>
          <w:spacing w:val="-6"/>
        </w:rPr>
        <w:t>T&gt;C</w:t>
      </w:r>
      <w:r>
        <w:rPr>
          <w:spacing w:val="-13"/>
        </w:rPr>
        <w:t> </w:t>
      </w:r>
      <w:r>
        <w:rPr>
          <w:spacing w:val="-6"/>
        </w:rPr>
        <w:t>(p.L151P)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i/>
          <w:spacing w:val="-6"/>
        </w:rPr>
        <w:t>POLG</w:t>
      </w:r>
      <w:r>
        <w:rPr>
          <w:i/>
          <w:spacing w:val="-13"/>
        </w:rPr>
        <w:t> </w:t>
      </w:r>
      <w:r>
        <w:rPr>
          <w:spacing w:val="-6"/>
        </w:rPr>
        <w:t>(NM_002693.2)</w:t>
      </w:r>
    </w:p>
    <w:p>
      <w:pPr>
        <w:pStyle w:val="BodyText"/>
        <w:spacing w:line="261" w:lineRule="auto"/>
        <w:ind w:left="28" w:right="25"/>
        <w:jc w:val="both"/>
      </w:pPr>
      <w:r>
        <w:rPr>
          <w:spacing w:val="-6"/>
        </w:rPr>
        <w:t>were identified as candidate disease-causing variants after </w:t>
      </w:r>
      <w:r>
        <w:rPr>
          <w:spacing w:val="-6"/>
        </w:rPr>
        <w:t>veri- </w:t>
      </w:r>
      <w:r>
        <w:rPr>
          <w:spacing w:val="-4"/>
        </w:rPr>
        <w:t>fication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Sanger</w:t>
      </w:r>
      <w:r>
        <w:rPr>
          <w:spacing w:val="-9"/>
        </w:rPr>
        <w:t> </w:t>
      </w:r>
      <w:r>
        <w:rPr>
          <w:spacing w:val="-4"/>
        </w:rPr>
        <w:t>sequencing.</w:t>
      </w:r>
      <w:r>
        <w:rPr>
          <w:spacing w:val="-8"/>
        </w:rPr>
        <w:t> </w:t>
      </w:r>
      <w:r>
        <w:rPr>
          <w:spacing w:val="-4"/>
        </w:rPr>
        <w:t>Family</w:t>
      </w:r>
      <w:r>
        <w:rPr>
          <w:spacing w:val="-9"/>
        </w:rPr>
        <w:t> </w:t>
      </w:r>
      <w:r>
        <w:rPr>
          <w:spacing w:val="-4"/>
        </w:rPr>
        <w:t>co-segregation</w:t>
      </w:r>
      <w:r>
        <w:rPr>
          <w:spacing w:val="-8"/>
        </w:rPr>
        <w:t> </w:t>
      </w:r>
      <w:r>
        <w:rPr>
          <w:spacing w:val="-4"/>
        </w:rPr>
        <w:t>analysis </w:t>
      </w:r>
      <w:r>
        <w:rPr>
          <w:spacing w:val="-6"/>
        </w:rPr>
        <w:t>demonstrated</w:t>
      </w:r>
      <w:r>
        <w:rPr>
          <w:spacing w:val="-9"/>
        </w:rPr>
        <w:t> </w:t>
      </w:r>
      <w:r>
        <w:rPr>
          <w:spacing w:val="-6"/>
        </w:rPr>
        <w:t>that these</w:t>
      </w:r>
      <w:r>
        <w:rPr>
          <w:spacing w:val="-7"/>
        </w:rPr>
        <w:t> </w:t>
      </w:r>
      <w:r>
        <w:rPr>
          <w:spacing w:val="-6"/>
        </w:rPr>
        <w:t>variants were</w:t>
      </w:r>
      <w:r>
        <w:rPr>
          <w:spacing w:val="-7"/>
        </w:rPr>
        <w:t> </w:t>
      </w:r>
      <w:r>
        <w:rPr>
          <w:spacing w:val="-6"/>
        </w:rPr>
        <w:t>inherited from</w:t>
      </w:r>
      <w:r>
        <w:rPr>
          <w:spacing w:val="-7"/>
        </w:rPr>
        <w:t> </w:t>
      </w:r>
      <w:r>
        <w:rPr>
          <w:spacing w:val="-6"/>
        </w:rPr>
        <w:t>his asymp- tomatic</w:t>
      </w:r>
      <w:r>
        <w:rPr>
          <w:spacing w:val="-4"/>
        </w:rPr>
        <w:t> </w:t>
      </w:r>
      <w:r>
        <w:rPr>
          <w:spacing w:val="-6"/>
        </w:rPr>
        <w:t>mother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father</w:t>
      </w:r>
      <w:r>
        <w:rPr>
          <w:spacing w:val="-4"/>
        </w:rPr>
        <w:t> </w:t>
      </w:r>
      <w:r>
        <w:rPr>
          <w:spacing w:val="-6"/>
        </w:rPr>
        <w:t>(Fig.</w:t>
      </w:r>
      <w:r>
        <w:rPr>
          <w:spacing w:val="-4"/>
        </w:rPr>
        <w:t> </w:t>
      </w:r>
      <w:hyperlink w:history="true" w:anchor="_bookmark0">
        <w:r>
          <w:rPr>
            <w:color w:val="0000FF"/>
            <w:spacing w:val="-6"/>
          </w:rPr>
          <w:t>1</w:t>
        </w:r>
      </w:hyperlink>
      <w:r>
        <w:rPr>
          <w:spacing w:val="-6"/>
        </w:rPr>
        <w:t>).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variant</w:t>
      </w:r>
      <w:r>
        <w:rPr>
          <w:spacing w:val="-4"/>
        </w:rPr>
        <w:t> </w:t>
      </w:r>
      <w:r>
        <w:rPr>
          <w:spacing w:val="-6"/>
        </w:rPr>
        <w:t>p.G848A</w:t>
      </w:r>
      <w:r>
        <w:rPr>
          <w:spacing w:val="-4"/>
        </w:rPr>
        <w:t> </w:t>
      </w:r>
      <w:r>
        <w:rPr>
          <w:spacing w:val="-6"/>
        </w:rPr>
        <w:t>affects</w:t>
      </w:r>
    </w:p>
    <w:p>
      <w:pPr>
        <w:pStyle w:val="BodyText"/>
        <w:spacing w:after="0" w:line="261" w:lineRule="auto"/>
        <w:jc w:val="both"/>
        <w:sectPr>
          <w:type w:val="continuous"/>
          <w:pgSz w:w="11910" w:h="15820"/>
          <w:pgMar w:header="659" w:footer="939" w:top="840" w:bottom="1120" w:left="992" w:right="992"/>
          <w:cols w:num="2" w:equalWidth="0">
            <w:col w:w="4795" w:space="307"/>
            <w:col w:w="4824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28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64275" cy="12700"/>
                <wp:effectExtent l="9525" t="0" r="3175" b="635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64275" cy="12700"/>
                          <a:chExt cx="6264275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299"/>
                            <a:ext cx="626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0">
                                <a:moveTo>
                                  <a:pt x="0" y="0"/>
                                </a:moveTo>
                                <a:lnTo>
                                  <a:pt x="6263995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25pt;height:1pt;mso-position-horizontal-relative:char;mso-position-vertical-relative:line" id="docshapegroup15" coordorigin="0,0" coordsize="9865,20">
                <v:line style="position:absolute" from="0,10" to="9865,10" stroked="true" strokeweight=".99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1910" w:h="15820"/>
          <w:pgMar w:header="629" w:footer="939" w:top="820" w:bottom="1120" w:left="992" w:right="992"/>
        </w:sectPr>
      </w:pPr>
    </w:p>
    <w:p>
      <w:pPr>
        <w:spacing w:line="244" w:lineRule="auto" w:before="114"/>
        <w:ind w:left="28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2267998</wp:posOffset>
                </wp:positionH>
                <wp:positionV relativeFrom="paragraph">
                  <wp:posOffset>93171</wp:posOffset>
                </wp:positionV>
                <wp:extent cx="4644390" cy="76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644390" cy="7620"/>
                          <a:chExt cx="4644390" cy="76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600"/>
                            <a:ext cx="95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0">
                                <a:moveTo>
                                  <a:pt x="0" y="0"/>
                                </a:moveTo>
                                <a:lnTo>
                                  <a:pt x="952157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2155" y="3600"/>
                            <a:ext cx="1095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0">
                                <a:moveTo>
                                  <a:pt x="0" y="0"/>
                                </a:moveTo>
                                <a:lnTo>
                                  <a:pt x="1095298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47449" y="3600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0" y="0"/>
                                </a:moveTo>
                                <a:lnTo>
                                  <a:pt x="378841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26292" y="3600"/>
                            <a:ext cx="676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0">
                                <a:moveTo>
                                  <a:pt x="0" y="0"/>
                                </a:moveTo>
                                <a:lnTo>
                                  <a:pt x="676236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2527" y="3600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716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32240" y="3600"/>
                            <a:ext cx="532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0">
                                <a:moveTo>
                                  <a:pt x="0" y="0"/>
                                </a:moveTo>
                                <a:lnTo>
                                  <a:pt x="531914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64151" y="3600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844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2596pt;margin-top:7.336316pt;width:365.7pt;height:.6pt;mso-position-horizontal-relative:page;mso-position-vertical-relative:paragraph;z-index:15731200" id="docshapegroup16" coordorigin="3572,147" coordsize="7314,12">
                <v:line style="position:absolute" from="3572,152" to="5071,152" stroked="true" strokeweight=".567pt" strokecolor="#000000">
                  <v:stroke dashstyle="solid"/>
                </v:line>
                <v:line style="position:absolute" from="5071,152" to="6796,152" stroked="true" strokeweight=".567pt" strokecolor="#000000">
                  <v:stroke dashstyle="solid"/>
                </v:line>
                <v:line style="position:absolute" from="6796,152" to="7393,152" stroked="true" strokeweight=".567pt" strokecolor="#000000">
                  <v:stroke dashstyle="solid"/>
                </v:line>
                <v:line style="position:absolute" from="7393,152" to="8458,152" stroked="true" strokeweight=".567pt" strokecolor="#000000">
                  <v:stroke dashstyle="solid"/>
                </v:line>
                <v:line style="position:absolute" from="8458,152" to="9449,152" stroked="true" strokeweight=".567pt" strokecolor="#000000">
                  <v:stroke dashstyle="solid"/>
                </v:line>
                <v:line style="position:absolute" from="9449,152" to="10287,152" stroked="true" strokeweight=".567pt" strokecolor="#000000">
                  <v:stroke dashstyle="solid"/>
                </v:line>
                <v:line style="position:absolute" from="10287,152" to="10885,152" stroked="true" strokeweight=".567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2" w:id="13"/>
      <w:bookmarkEnd w:id="13"/>
      <w:r>
        <w:rPr/>
      </w:r>
      <w:r>
        <w:rPr>
          <w:rFonts w:ascii="Arial"/>
          <w:b/>
          <w:sz w:val="17"/>
        </w:rPr>
        <w:t>Table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2</w:t>
      </w:r>
      <w:r>
        <w:rPr>
          <w:rFonts w:ascii="Arial"/>
          <w:b/>
          <w:spacing w:val="40"/>
          <w:sz w:val="17"/>
        </w:rPr>
        <w:t> </w:t>
      </w:r>
      <w:r>
        <w:rPr>
          <w:i/>
          <w:sz w:val="17"/>
        </w:rPr>
        <w:t>POLG </w:t>
      </w:r>
      <w:r>
        <w:rPr>
          <w:sz w:val="17"/>
        </w:rPr>
        <w:t>variants identified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SANDO</w:t>
      </w:r>
      <w:r>
        <w:rPr>
          <w:spacing w:val="-10"/>
          <w:sz w:val="17"/>
        </w:rPr>
        <w:t> </w:t>
      </w:r>
      <w:r>
        <w:rPr>
          <w:sz w:val="17"/>
        </w:rPr>
        <w:t>patients</w:t>
      </w:r>
    </w:p>
    <w:p>
      <w:pPr>
        <w:tabs>
          <w:tab w:pos="1527" w:val="left" w:leader="none"/>
          <w:tab w:pos="3252" w:val="left" w:leader="none"/>
          <w:tab w:pos="3849" w:val="left" w:leader="none"/>
          <w:tab w:pos="4914" w:val="left" w:leader="none"/>
        </w:tabs>
        <w:spacing w:before="193"/>
        <w:ind w:left="2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Nucleotide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variant</w:t>
      </w:r>
      <w:r>
        <w:rPr>
          <w:sz w:val="17"/>
        </w:rPr>
        <w:tab/>
        <w:t>Amino acid </w:t>
      </w:r>
      <w:r>
        <w:rPr>
          <w:spacing w:val="-2"/>
          <w:sz w:val="17"/>
        </w:rPr>
        <w:t>alteration</w:t>
      </w:r>
      <w:r>
        <w:rPr>
          <w:sz w:val="17"/>
        </w:rPr>
        <w:tab/>
      </w:r>
      <w:r>
        <w:rPr>
          <w:spacing w:val="-4"/>
          <w:sz w:val="17"/>
        </w:rPr>
        <w:t>Exon</w:t>
      </w:r>
      <w:r>
        <w:rPr>
          <w:sz w:val="17"/>
        </w:rPr>
        <w:tab/>
      </w:r>
      <w:r>
        <w:rPr>
          <w:spacing w:val="-2"/>
          <w:sz w:val="17"/>
        </w:rPr>
        <w:t>Domain</w:t>
      </w:r>
      <w:r>
        <w:rPr>
          <w:sz w:val="17"/>
        </w:rPr>
        <w:tab/>
      </w:r>
      <w:r>
        <w:rPr>
          <w:spacing w:val="-2"/>
          <w:sz w:val="17"/>
        </w:rPr>
        <w:t>Frequency</w:t>
      </w:r>
    </w:p>
    <w:p>
      <w:pPr>
        <w:spacing w:before="193"/>
        <w:ind w:left="2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No.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patients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29" w:footer="939" w:top="840" w:bottom="1120" w:left="992" w:right="992"/>
          <w:cols w:num="3" w:equalWidth="0">
            <w:col w:w="2041" w:space="511"/>
            <w:col w:w="5629" w:space="247"/>
            <w:col w:w="1498"/>
          </w:cols>
        </w:sectPr>
      </w:pPr>
    </w:p>
    <w:tbl>
      <w:tblPr>
        <w:tblW w:w="0" w:type="auto"/>
        <w:jc w:val="left"/>
        <w:tblInd w:w="2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521"/>
        <w:gridCol w:w="896"/>
        <w:gridCol w:w="1160"/>
        <w:gridCol w:w="1108"/>
        <w:gridCol w:w="719"/>
        <w:gridCol w:w="722"/>
      </w:tblGrid>
      <w:tr>
        <w:trPr>
          <w:trHeight w:val="307" w:hRule="atLeast"/>
        </w:trPr>
        <w:tc>
          <w:tcPr>
            <w:tcW w:w="4770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68" w:lineRule="exact"/>
              <w:ind w:left="121"/>
              <w:rPr>
                <w:sz w:val="17"/>
              </w:rPr>
            </w:pP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MU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5"/>
                <w:sz w:val="17"/>
              </w:rPr>
              <w:t>(%)</w:t>
            </w:r>
          </w:p>
        </w:tc>
        <w:tc>
          <w:tcPr>
            <w:tcW w:w="71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93" w:lineRule="exact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MU/MU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93" w:lineRule="exact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WT/MU</w:t>
            </w:r>
          </w:p>
        </w:tc>
      </w:tr>
      <w:tr>
        <w:trPr>
          <w:trHeight w:val="312" w:hRule="atLeast"/>
        </w:trPr>
        <w:tc>
          <w:tcPr>
            <w:tcW w:w="11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c.8G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5"/>
                <w:sz w:val="17"/>
              </w:rPr>
              <w:t>&gt;C</w:t>
            </w:r>
          </w:p>
        </w:tc>
        <w:tc>
          <w:tcPr>
            <w:tcW w:w="15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312"/>
              <w:rPr>
                <w:sz w:val="17"/>
              </w:rPr>
            </w:pPr>
            <w:r>
              <w:rPr>
                <w:spacing w:val="-2"/>
                <w:sz w:val="17"/>
              </w:rPr>
              <w:t>p.R3P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216"/>
              <w:rPr>
                <w:sz w:val="17"/>
              </w:rPr>
            </w:pPr>
            <w:r>
              <w:rPr>
                <w:spacing w:val="-2"/>
                <w:sz w:val="17"/>
              </w:rPr>
              <w:t>N-terminus</w:t>
            </w:r>
          </w:p>
        </w:tc>
        <w:tc>
          <w:tcPr>
            <w:tcW w:w="11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208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5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5"/>
              <w:ind w:left="123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c.32G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12"/>
              <w:rPr>
                <w:sz w:val="17"/>
              </w:rPr>
            </w:pPr>
            <w:r>
              <w:rPr>
                <w:spacing w:val="-2"/>
                <w:sz w:val="17"/>
              </w:rPr>
              <w:t>p.G11D</w:t>
            </w:r>
          </w:p>
        </w:tc>
        <w:tc>
          <w:tcPr>
            <w:tcW w:w="896" w:type="dxa"/>
          </w:tcPr>
          <w:p>
            <w:pPr>
              <w:pStyle w:val="TableParagraph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pacing w:val="-2"/>
                <w:sz w:val="17"/>
              </w:rPr>
              <w:t>N-terminus</w:t>
            </w:r>
          </w:p>
        </w:tc>
        <w:tc>
          <w:tcPr>
            <w:tcW w:w="1108" w:type="dxa"/>
          </w:tcPr>
          <w:p>
            <w:pPr>
              <w:pStyle w:val="TableParagraph"/>
              <w:ind w:left="208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z w:val="17"/>
              </w:rPr>
              <w:t>c.452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3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p.L151P</w:t>
            </w:r>
          </w:p>
        </w:tc>
        <w:tc>
          <w:tcPr>
            <w:tcW w:w="896" w:type="dxa"/>
          </w:tcPr>
          <w:p>
            <w:pPr>
              <w:pStyle w:val="TableParagraph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pacing w:val="-2"/>
                <w:sz w:val="17"/>
              </w:rPr>
              <w:t>N-terminus</w:t>
            </w:r>
          </w:p>
        </w:tc>
        <w:tc>
          <w:tcPr>
            <w:tcW w:w="1108" w:type="dxa"/>
          </w:tcPr>
          <w:p>
            <w:pPr>
              <w:pStyle w:val="TableParagraph"/>
              <w:ind w:left="208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c.695G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p.R232H</w:t>
            </w:r>
          </w:p>
        </w:tc>
        <w:tc>
          <w:tcPr>
            <w:tcW w:w="896" w:type="dxa"/>
          </w:tcPr>
          <w:p>
            <w:pPr>
              <w:pStyle w:val="TableParagraph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pacing w:val="-2"/>
                <w:sz w:val="17"/>
              </w:rPr>
              <w:t>exonuclease</w:t>
            </w:r>
          </w:p>
        </w:tc>
        <w:tc>
          <w:tcPr>
            <w:tcW w:w="110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z w:val="17"/>
              </w:rPr>
              <w:t>c.752C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p.T251I</w:t>
            </w:r>
          </w:p>
        </w:tc>
        <w:tc>
          <w:tcPr>
            <w:tcW w:w="896" w:type="dxa"/>
          </w:tcPr>
          <w:p>
            <w:pPr>
              <w:pStyle w:val="TableParagraph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exonuclease</w:t>
            </w:r>
          </w:p>
        </w:tc>
        <w:tc>
          <w:tcPr>
            <w:tcW w:w="110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pacing w:val="-4"/>
                <w:sz w:val="17"/>
              </w:rPr>
              <w:t>4.32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c.830A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p.H277L</w:t>
            </w:r>
          </w:p>
        </w:tc>
        <w:tc>
          <w:tcPr>
            <w:tcW w:w="896" w:type="dxa"/>
          </w:tcPr>
          <w:p>
            <w:pPr>
              <w:pStyle w:val="TableParagraph"/>
              <w:ind w:left="515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exonuclease</w:t>
            </w:r>
          </w:p>
        </w:tc>
        <w:tc>
          <w:tcPr>
            <w:tcW w:w="110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z w:val="17"/>
              </w:rPr>
              <w:t>c.911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3"/>
                <w:sz w:val="17"/>
              </w:rPr>
              <w:t>&gt;G</w:t>
            </w:r>
          </w:p>
        </w:tc>
        <w:tc>
          <w:tcPr>
            <w:tcW w:w="1521" w:type="dxa"/>
          </w:tcPr>
          <w:p>
            <w:pPr>
              <w:pStyle w:val="TableParagraph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p.L304R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1160" w:type="dxa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exonuclease</w:t>
            </w:r>
          </w:p>
        </w:tc>
        <w:tc>
          <w:tcPr>
            <w:tcW w:w="110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pacing w:val="-4"/>
                <w:sz w:val="17"/>
              </w:rPr>
              <w:t>2.16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c.1399G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p.A467T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1160" w:type="dxa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thumb</w:t>
            </w:r>
          </w:p>
        </w:tc>
        <w:tc>
          <w:tcPr>
            <w:tcW w:w="1108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30.94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sz w:val="17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c.1491G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p.Q497H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1160" w:type="dxa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z w:val="17"/>
              </w:rPr>
              <w:t>c.1676 T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5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p.L559P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z w:val="17"/>
              </w:rPr>
              <w:t>c.1760C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p.P587L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3.60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z w:val="17"/>
              </w:rPr>
              <w:t>c.1774C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p.L592F</w:t>
            </w:r>
          </w:p>
        </w:tc>
        <w:tc>
          <w:tcPr>
            <w:tcW w:w="896" w:type="dxa"/>
          </w:tcPr>
          <w:p>
            <w:pPr>
              <w:pStyle w:val="TableParagraph"/>
              <w:ind w:left="514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z w:val="17"/>
              </w:rPr>
              <w:t>c.1789C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10"/>
              <w:rPr>
                <w:sz w:val="17"/>
              </w:rPr>
            </w:pPr>
            <w:r>
              <w:rPr>
                <w:spacing w:val="-2"/>
                <w:sz w:val="17"/>
              </w:rPr>
              <w:t>p.R597W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2"/>
                <w:sz w:val="17"/>
              </w:rPr>
              <w:t>c.1790G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p.R597Q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2"/>
                <w:sz w:val="17"/>
              </w:rPr>
              <w:t>c.1795A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p.T599P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z w:val="17"/>
              </w:rPr>
              <w:t>c.1879C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p.R627W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pacing w:val="-2"/>
                <w:sz w:val="17"/>
              </w:rPr>
              <w:t>c.1880G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p.R627Q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3.60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z w:val="17"/>
              </w:rPr>
              <w:t>c.1943C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&gt;G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p.P648R</w:t>
            </w:r>
          </w:p>
        </w:tc>
        <w:tc>
          <w:tcPr>
            <w:tcW w:w="896" w:type="dxa"/>
          </w:tcPr>
          <w:p>
            <w:pPr>
              <w:pStyle w:val="TableParagraph"/>
              <w:ind w:left="51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2.16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2"/>
                <w:sz w:val="17"/>
              </w:rPr>
              <w:t>c.2209G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p.G737R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2"/>
                <w:sz w:val="17"/>
              </w:rPr>
              <w:t>c.2243G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p.W748S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20.86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z w:val="17"/>
              </w:rPr>
              <w:t>c.2293C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p.P765T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1160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linker</w:t>
            </w:r>
          </w:p>
        </w:tc>
        <w:tc>
          <w:tcPr>
            <w:tcW w:w="1108" w:type="dxa"/>
          </w:tcPr>
          <w:p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z w:val="17"/>
              </w:rPr>
              <w:t>c.2419C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p.R807C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thumb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pacing w:val="-2"/>
                <w:sz w:val="17"/>
              </w:rPr>
              <w:t>c.2542G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p.G848S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2.16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c.2543G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p.G848A</w:t>
            </w:r>
          </w:p>
        </w:tc>
        <w:tc>
          <w:tcPr>
            <w:tcW w:w="896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c.2554C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p.R852C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c.2591A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&gt;G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p.N864S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c.2606G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p.R869Q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1160" w:type="dxa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c.2665G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&gt;A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p.A889T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c.2756 T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5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p.M919T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c.2794C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p.H932T</w:t>
            </w:r>
          </w:p>
        </w:tc>
        <w:tc>
          <w:tcPr>
            <w:tcW w:w="896" w:type="dxa"/>
          </w:tcPr>
          <w:p>
            <w:pPr>
              <w:pStyle w:val="TableParagraph"/>
              <w:ind w:left="511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c.2956 T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5"/>
                <w:sz w:val="17"/>
              </w:rPr>
              <w:t>&gt;G</w:t>
            </w:r>
          </w:p>
        </w:tc>
        <w:tc>
          <w:tcPr>
            <w:tcW w:w="1521" w:type="dxa"/>
          </w:tcPr>
          <w:p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p.Y986D</w:t>
            </w:r>
          </w:p>
        </w:tc>
        <w:tc>
          <w:tcPr>
            <w:tcW w:w="896" w:type="dxa"/>
          </w:tcPr>
          <w:p>
            <w:pPr>
              <w:pStyle w:val="TableParagraph"/>
              <w:ind w:left="510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c.3151G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&gt;C</w:t>
            </w:r>
          </w:p>
        </w:tc>
        <w:tc>
          <w:tcPr>
            <w:tcW w:w="1521" w:type="dxa"/>
          </w:tcPr>
          <w:p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p.G1051R</w:t>
            </w:r>
          </w:p>
        </w:tc>
        <w:tc>
          <w:tcPr>
            <w:tcW w:w="896" w:type="dxa"/>
          </w:tcPr>
          <w:p>
            <w:pPr>
              <w:pStyle w:val="TableParagraph"/>
              <w:ind w:left="510"/>
              <w:rPr>
                <w:sz w:val="17"/>
              </w:rPr>
            </w:pPr>
            <w:r>
              <w:rPr>
                <w:spacing w:val="-5"/>
                <w:sz w:val="17"/>
              </w:rPr>
              <w:t>20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9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c.3286C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p.R1096C</w:t>
            </w:r>
          </w:p>
        </w:tc>
        <w:tc>
          <w:tcPr>
            <w:tcW w:w="896" w:type="dxa"/>
          </w:tcPr>
          <w:p>
            <w:pPr>
              <w:pStyle w:val="TableParagraph"/>
              <w:ind w:left="510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1160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0.72</w:t>
            </w:r>
          </w:p>
        </w:tc>
        <w:tc>
          <w:tcPr>
            <w:tcW w:w="719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19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c.3412C</w:t>
            </w:r>
            <w:r>
              <w:rPr>
                <w:spacing w:val="-22"/>
                <w:sz w:val="17"/>
              </w:rPr>
              <w:t> </w:t>
            </w:r>
            <w:r>
              <w:rPr>
                <w:spacing w:val="-7"/>
                <w:sz w:val="17"/>
              </w:rPr>
              <w:t>&gt;T</w:t>
            </w:r>
          </w:p>
        </w:tc>
        <w:tc>
          <w:tcPr>
            <w:tcW w:w="1521" w:type="dxa"/>
          </w:tcPr>
          <w:p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p.R1138C</w:t>
            </w:r>
          </w:p>
        </w:tc>
        <w:tc>
          <w:tcPr>
            <w:tcW w:w="896" w:type="dxa"/>
          </w:tcPr>
          <w:p>
            <w:pPr>
              <w:pStyle w:val="TableParagraph"/>
              <w:ind w:left="510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1160" w:type="dxa"/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pacing w:val="-4"/>
                <w:sz w:val="17"/>
              </w:rPr>
              <w:t>1.44</w:t>
            </w:r>
          </w:p>
        </w:tc>
        <w:tc>
          <w:tcPr>
            <w:tcW w:w="719" w:type="dxa"/>
          </w:tcPr>
          <w:p>
            <w:pPr>
              <w:pStyle w:val="TableParagraph"/>
              <w:ind w:left="-1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11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c.3428A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7"/>
                <w:sz w:val="17"/>
              </w:rPr>
              <w:t>&gt;G</w:t>
            </w:r>
          </w:p>
        </w:tc>
        <w:tc>
          <w:tcPr>
            <w:tcW w:w="15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p.E1143G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510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10"/>
              <w:rPr>
                <w:sz w:val="17"/>
              </w:rPr>
            </w:pPr>
            <w:r>
              <w:rPr>
                <w:spacing w:val="-2"/>
                <w:sz w:val="17"/>
              </w:rPr>
              <w:t>polymerase</w:t>
            </w:r>
          </w:p>
        </w:tc>
        <w:tc>
          <w:tcPr>
            <w:tcW w:w="1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02"/>
              <w:rPr>
                <w:sz w:val="17"/>
              </w:rPr>
            </w:pPr>
            <w:r>
              <w:rPr>
                <w:spacing w:val="-4"/>
                <w:sz w:val="17"/>
              </w:rPr>
              <w:t>5.04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-1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117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</w:tr>
    </w:tbl>
    <w:p>
      <w:pPr>
        <w:spacing w:before="75"/>
        <w:ind w:left="2579" w:right="0" w:firstLine="0"/>
        <w:jc w:val="left"/>
        <w:rPr>
          <w:sz w:val="17"/>
        </w:rPr>
      </w:pPr>
      <w:r>
        <w:rPr>
          <w:i/>
          <w:sz w:val="17"/>
        </w:rPr>
        <w:t>MU</w:t>
      </w:r>
      <w:r>
        <w:rPr>
          <w:i/>
          <w:spacing w:val="-2"/>
          <w:sz w:val="17"/>
        </w:rPr>
        <w:t> </w:t>
      </w:r>
      <w:r>
        <w:rPr>
          <w:sz w:val="17"/>
        </w:rPr>
        <w:t>mutant, </w:t>
      </w:r>
      <w:r>
        <w:rPr>
          <w:i/>
          <w:sz w:val="17"/>
        </w:rPr>
        <w:t>WT </w:t>
      </w:r>
      <w:r>
        <w:rPr>
          <w:sz w:val="17"/>
        </w:rPr>
        <w:t>wild </w:t>
      </w:r>
      <w:r>
        <w:rPr>
          <w:spacing w:val="-4"/>
          <w:sz w:val="17"/>
        </w:rPr>
        <w:t>type</w:t>
      </w:r>
    </w:p>
    <w:p>
      <w:pPr>
        <w:pStyle w:val="BodyText"/>
        <w:spacing w:before="95"/>
      </w:pPr>
    </w:p>
    <w:p>
      <w:pPr>
        <w:pStyle w:val="BodyText"/>
        <w:spacing w:after="0"/>
        <w:sectPr>
          <w:type w:val="continuous"/>
          <w:pgSz w:w="11910" w:h="15820"/>
          <w:pgMar w:header="629" w:footer="939" w:top="840" w:bottom="1120" w:left="992" w:right="992"/>
        </w:sectPr>
      </w:pPr>
    </w:p>
    <w:p>
      <w:pPr>
        <w:pStyle w:val="BodyText"/>
        <w:spacing w:line="261" w:lineRule="auto" w:before="68"/>
        <w:ind w:left="28"/>
        <w:jc w:val="both"/>
      </w:pPr>
      <w:r>
        <w:rPr>
          <w:spacing w:val="-10"/>
        </w:rPr>
        <w:t>the</w:t>
      </w:r>
      <w:r>
        <w:rPr/>
        <w:t> </w:t>
      </w:r>
      <w:r>
        <w:rPr>
          <w:spacing w:val="-10"/>
        </w:rPr>
        <w:t>same</w:t>
      </w:r>
      <w:r>
        <w:rPr/>
        <w:t> </w:t>
      </w:r>
      <w:r>
        <w:rPr>
          <w:spacing w:val="-10"/>
        </w:rPr>
        <w:t>amino</w:t>
      </w:r>
      <w:r>
        <w:rPr/>
        <w:t> </w:t>
      </w:r>
      <w:r>
        <w:rPr>
          <w:spacing w:val="-10"/>
        </w:rPr>
        <w:t>acid</w:t>
      </w:r>
      <w:r>
        <w:rPr/>
        <w:t> </w:t>
      </w:r>
      <w:r>
        <w:rPr>
          <w:spacing w:val="-10"/>
        </w:rPr>
        <w:t>as</w:t>
      </w:r>
      <w:r>
        <w:rPr/>
        <w:t> </w:t>
      </w:r>
      <w:r>
        <w:rPr>
          <w:spacing w:val="-10"/>
        </w:rPr>
        <w:t>a</w:t>
      </w:r>
      <w:r>
        <w:rPr/>
        <w:t> </w:t>
      </w:r>
      <w:r>
        <w:rPr>
          <w:spacing w:val="-10"/>
        </w:rPr>
        <w:t>previously</w:t>
      </w:r>
      <w:r>
        <w:rPr/>
        <w:t> </w:t>
      </w:r>
      <w:r>
        <w:rPr>
          <w:spacing w:val="-10"/>
        </w:rPr>
        <w:t>reported</w:t>
      </w:r>
      <w:r>
        <w:rPr/>
        <w:t> </w:t>
      </w:r>
      <w:r>
        <w:rPr>
          <w:spacing w:val="-10"/>
        </w:rPr>
        <w:t>mutation</w:t>
      </w:r>
      <w:r>
        <w:rPr/>
        <w:t> </w:t>
      </w:r>
      <w:r>
        <w:rPr>
          <w:spacing w:val="-10"/>
        </w:rPr>
        <w:t>(p.G848S)</w:t>
      </w:r>
      <w:r>
        <w:rPr/>
        <w:t> </w:t>
      </w:r>
      <w:r>
        <w:rPr>
          <w:spacing w:val="-10"/>
        </w:rPr>
        <w:t>(Weiss</w:t>
      </w:r>
      <w:r>
        <w:rPr>
          <w:spacing w:val="-1"/>
        </w:rPr>
        <w:t> </w:t>
      </w:r>
      <w:r>
        <w:rPr>
          <w:spacing w:val="-10"/>
        </w:rPr>
        <w:t>and</w:t>
      </w:r>
      <w:r>
        <w:rPr>
          <w:spacing w:val="-1"/>
        </w:rPr>
        <w:t> </w:t>
      </w:r>
      <w:r>
        <w:rPr>
          <w:spacing w:val="-10"/>
        </w:rPr>
        <w:t>Saneto</w:t>
      </w:r>
      <w:r>
        <w:rPr>
          <w:spacing w:val="-1"/>
        </w:rPr>
        <w:t> </w:t>
      </w:r>
      <w:hyperlink w:history="true" w:anchor="_bookmark27">
        <w:r>
          <w:rPr>
            <w:color w:val="0000FF"/>
            <w:spacing w:val="-10"/>
          </w:rPr>
          <w:t>2010</w:t>
        </w:r>
      </w:hyperlink>
      <w:r>
        <w:rPr>
          <w:spacing w:val="-10"/>
        </w:rPr>
        <w:t>).</w:t>
      </w:r>
      <w:r>
        <w:rPr>
          <w:spacing w:val="-1"/>
        </w:rPr>
        <w:t> </w:t>
      </w:r>
      <w:r>
        <w:rPr>
          <w:spacing w:val="-10"/>
        </w:rPr>
        <w:t>These</w:t>
      </w:r>
      <w:r>
        <w:rPr>
          <w:spacing w:val="-1"/>
        </w:rPr>
        <w:t> </w:t>
      </w:r>
      <w:r>
        <w:rPr>
          <w:spacing w:val="-10"/>
        </w:rPr>
        <w:t>two</w:t>
      </w:r>
      <w:r>
        <w:rPr>
          <w:spacing w:val="-1"/>
        </w:rPr>
        <w:t> </w:t>
      </w:r>
      <w:r>
        <w:rPr>
          <w:spacing w:val="-10"/>
        </w:rPr>
        <w:t>novel</w:t>
      </w:r>
      <w:r>
        <w:rPr>
          <w:spacing w:val="-1"/>
        </w:rPr>
        <w:t> </w:t>
      </w:r>
      <w:r>
        <w:rPr>
          <w:spacing w:val="-10"/>
        </w:rPr>
        <w:t>variants</w:t>
      </w:r>
      <w:r>
        <w:rPr>
          <w:spacing w:val="-1"/>
        </w:rPr>
        <w:t> </w:t>
      </w:r>
      <w:r>
        <w:rPr>
          <w:spacing w:val="-10"/>
        </w:rPr>
        <w:t>were</w:t>
      </w:r>
      <w:r>
        <w:rPr>
          <w:spacing w:val="-1"/>
        </w:rPr>
        <w:t> </w:t>
      </w:r>
      <w:r>
        <w:rPr>
          <w:spacing w:val="-10"/>
        </w:rPr>
        <w:t>found</w:t>
      </w:r>
      <w:r>
        <w:rPr>
          <w:spacing w:val="-1"/>
        </w:rPr>
        <w:t> </w:t>
      </w:r>
      <w:r>
        <w:rPr>
          <w:spacing w:val="-10"/>
        </w:rPr>
        <w:t>at</w:t>
      </w:r>
      <w:r>
        <w:rPr>
          <w:spacing w:val="-6"/>
        </w:rPr>
        <w:t> a low frequency in the public database and were predicted to be damaging by PolyPhen-2 [Polymorphism Phenotyping v2] and CADD [Combined Annotation Dependent Depletion] </w:t>
      </w:r>
      <w:r>
        <w:rPr>
          <w:spacing w:val="-6"/>
        </w:rPr>
        <w:t>software </w:t>
      </w:r>
      <w:r>
        <w:rPr>
          <w:spacing w:val="-8"/>
        </w:rPr>
        <w:t>programs.</w:t>
      </w:r>
      <w:r>
        <w:rPr>
          <w:spacing w:val="-4"/>
        </w:rPr>
        <w:t> </w:t>
      </w:r>
      <w:r>
        <w:rPr>
          <w:spacing w:val="-8"/>
        </w:rPr>
        <w:t>Moreover,</w:t>
      </w:r>
      <w:r>
        <w:rPr>
          <w:spacing w:val="-3"/>
        </w:rPr>
        <w:t> </w:t>
      </w:r>
      <w:r>
        <w:rPr>
          <w:spacing w:val="-8"/>
        </w:rPr>
        <w:t>both</w:t>
      </w:r>
      <w:r>
        <w:rPr>
          <w:spacing w:val="-3"/>
        </w:rPr>
        <w:t> </w:t>
      </w:r>
      <w:r>
        <w:rPr>
          <w:spacing w:val="-8"/>
        </w:rPr>
        <w:t>variant</w:t>
      </w:r>
      <w:r>
        <w:rPr>
          <w:spacing w:val="-3"/>
        </w:rPr>
        <w:t> </w:t>
      </w:r>
      <w:r>
        <w:rPr>
          <w:spacing w:val="-8"/>
        </w:rPr>
        <w:t>sites</w:t>
      </w:r>
      <w:r>
        <w:rPr>
          <w:spacing w:val="-3"/>
        </w:rPr>
        <w:t> </w:t>
      </w:r>
      <w:r>
        <w:rPr>
          <w:spacing w:val="-8"/>
        </w:rPr>
        <w:t>are</w:t>
      </w:r>
      <w:r>
        <w:rPr>
          <w:spacing w:val="-3"/>
        </w:rPr>
        <w:t> </w:t>
      </w:r>
      <w:r>
        <w:rPr>
          <w:spacing w:val="-8"/>
        </w:rPr>
        <w:t>conserved</w:t>
      </w:r>
      <w:r>
        <w:rPr>
          <w:spacing w:val="-3"/>
        </w:rPr>
        <w:t> </w:t>
      </w:r>
      <w:r>
        <w:rPr>
          <w:spacing w:val="-8"/>
        </w:rPr>
        <w:t>throughout </w:t>
      </w:r>
      <w:r>
        <w:rPr/>
        <w:t>vertebrate</w:t>
      </w:r>
      <w:r>
        <w:rPr>
          <w:spacing w:val="-13"/>
        </w:rPr>
        <w:t> </w:t>
      </w:r>
      <w:r>
        <w:rPr/>
        <w:t>species</w:t>
      </w:r>
      <w:r>
        <w:rPr>
          <w:spacing w:val="-13"/>
        </w:rPr>
        <w:t> </w:t>
      </w:r>
      <w:r>
        <w:rPr/>
        <w:t>(Supplementary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>
          <w:color w:val="0000FF"/>
        </w:rPr>
        <w:t>2</w:t>
      </w:r>
      <w:r>
        <w:rPr/>
        <w:t>).</w:t>
      </w:r>
    </w:p>
    <w:p>
      <w:pPr>
        <w:pStyle w:val="Heading2"/>
        <w:spacing w:before="226"/>
        <w:jc w:val="both"/>
      </w:pPr>
      <w:bookmarkStart w:name="Literature Review" w:id="14"/>
      <w:bookmarkEnd w:id="14"/>
      <w:r>
        <w:rPr>
          <w:b w:val="0"/>
        </w:rPr>
      </w:r>
      <w:r>
        <w:rPr>
          <w:spacing w:val="2"/>
          <w:w w:val="85"/>
        </w:rPr>
        <w:t>Literature</w:t>
      </w:r>
      <w:r>
        <w:rPr>
          <w:spacing w:val="1"/>
        </w:rPr>
        <w:t> </w:t>
      </w:r>
      <w:r>
        <w:rPr>
          <w:spacing w:val="-2"/>
        </w:rPr>
        <w:t>Review</w:t>
      </w:r>
    </w:p>
    <w:p>
      <w:pPr>
        <w:pStyle w:val="BodyText"/>
        <w:spacing w:before="13"/>
        <w:rPr>
          <w:rFonts w:ascii="Arial"/>
          <w:b/>
          <w:sz w:val="22"/>
        </w:rPr>
      </w:pPr>
    </w:p>
    <w:p>
      <w:pPr>
        <w:pStyle w:val="BodyText"/>
        <w:spacing w:line="261" w:lineRule="auto" w:before="1"/>
        <w:ind w:left="28"/>
        <w:jc w:val="both"/>
      </w:pPr>
      <w:r>
        <w:rPr/>
        <w:t>Overall,</w:t>
      </w:r>
      <w:r>
        <w:rPr>
          <w:spacing w:val="-8"/>
        </w:rPr>
        <w:t> </w:t>
      </w:r>
      <w:r>
        <w:rPr/>
        <w:t>63</w:t>
      </w:r>
      <w:r>
        <w:rPr>
          <w:spacing w:val="-8"/>
        </w:rPr>
        <w:t> </w:t>
      </w:r>
      <w:r>
        <w:rPr/>
        <w:t>SANDO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carrying</w:t>
      </w:r>
      <w:r>
        <w:rPr>
          <w:spacing w:val="-8"/>
        </w:rPr>
        <w:t> </w:t>
      </w:r>
      <w:r>
        <w:rPr/>
        <w:t>homozygous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com- pound</w:t>
      </w:r>
      <w:r>
        <w:rPr>
          <w:spacing w:val="-8"/>
        </w:rPr>
        <w:t> </w:t>
      </w:r>
      <w:r>
        <w:rPr/>
        <w:t>heterozygous</w:t>
      </w:r>
      <w:r>
        <w:rPr>
          <w:spacing w:val="-7"/>
        </w:rPr>
        <w:t> </w:t>
      </w:r>
      <w:r>
        <w:rPr/>
        <w:t>variants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i/>
        </w:rPr>
        <w:t>POLG</w:t>
      </w:r>
      <w:r>
        <w:rPr>
          <w:i/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this</w:t>
      </w:r>
    </w:p>
    <w:p>
      <w:pPr>
        <w:pStyle w:val="BodyText"/>
        <w:spacing w:line="261" w:lineRule="auto" w:before="68"/>
        <w:ind w:right="24"/>
        <w:jc w:val="right"/>
      </w:pPr>
      <w:r>
        <w:rPr/>
        <w:br w:type="column"/>
      </w:r>
      <w:r>
        <w:rPr/>
        <w:t>study. Their clinical and molecular data are summarized in Supplementary Table </w:t>
      </w:r>
      <w:r>
        <w:rPr>
          <w:color w:val="0000FF"/>
        </w:rPr>
        <w:t>1</w:t>
      </w:r>
      <w:r>
        <w:rPr/>
        <w:t>. The mean age at onset of POLG- related SANDO was 32.2 years (range, 5–73 years), with </w:t>
      </w:r>
      <w:r>
        <w:rPr>
          <w:spacing w:val="-2"/>
        </w:rPr>
        <w:t>96.7%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patients</w:t>
      </w:r>
      <w:r>
        <w:rPr>
          <w:spacing w:val="-10"/>
        </w:rPr>
        <w:t> </w:t>
      </w:r>
      <w:r>
        <w:rPr>
          <w:spacing w:val="-2"/>
        </w:rPr>
        <w:t>developing</w:t>
      </w:r>
      <w:r>
        <w:rPr>
          <w:spacing w:val="-10"/>
        </w:rPr>
        <w:t> </w:t>
      </w:r>
      <w:r>
        <w:rPr>
          <w:spacing w:val="-2"/>
        </w:rPr>
        <w:t>symptoms</w:t>
      </w:r>
      <w:r>
        <w:rPr>
          <w:spacing w:val="-10"/>
        </w:rPr>
        <w:t> </w:t>
      </w:r>
      <w:r>
        <w:rPr>
          <w:spacing w:val="-2"/>
        </w:rPr>
        <w:t>before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50. Most</w:t>
      </w:r>
      <w:r>
        <w:rPr>
          <w:spacing w:val="-7"/>
        </w:rPr>
        <w:t> </w:t>
      </w:r>
      <w:r>
        <w:rPr>
          <w:spacing w:val="-2"/>
        </w:rPr>
        <w:t>patients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prompted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seek</w:t>
      </w:r>
      <w:r>
        <w:rPr>
          <w:spacing w:val="-7"/>
        </w:rPr>
        <w:t> </w:t>
      </w:r>
      <w:r>
        <w:rPr>
          <w:spacing w:val="-2"/>
        </w:rPr>
        <w:t>medical</w:t>
      </w:r>
      <w:r>
        <w:rPr>
          <w:spacing w:val="-7"/>
        </w:rPr>
        <w:t> </w:t>
      </w:r>
      <w:r>
        <w:rPr>
          <w:spacing w:val="-2"/>
        </w:rPr>
        <w:t>advice</w:t>
      </w:r>
      <w:r>
        <w:rPr>
          <w:spacing w:val="-7"/>
        </w:rPr>
        <w:t> </w:t>
      </w:r>
      <w:r>
        <w:rPr>
          <w:spacing w:val="-2"/>
        </w:rPr>
        <w:t>because </w:t>
      </w:r>
      <w:r>
        <w:rPr/>
        <w:t>of gait ataxia and progressive ptosis. Multiple organs were affected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SANDO</w:t>
      </w:r>
      <w:r>
        <w:rPr>
          <w:spacing w:val="-13"/>
        </w:rPr>
        <w:t> </w:t>
      </w:r>
      <w:r>
        <w:rPr/>
        <w:t>patients.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symptoms </w:t>
      </w:r>
      <w:r>
        <w:rPr>
          <w:spacing w:val="-4"/>
        </w:rPr>
        <w:t>included</w:t>
      </w:r>
      <w:r>
        <w:rPr>
          <w:spacing w:val="-13"/>
        </w:rPr>
        <w:t> </w:t>
      </w:r>
      <w:r>
        <w:rPr>
          <w:spacing w:val="-4"/>
        </w:rPr>
        <w:t>proximal</w:t>
      </w:r>
      <w:r>
        <w:rPr>
          <w:spacing w:val="-13"/>
        </w:rPr>
        <w:t> </w:t>
      </w:r>
      <w:r>
        <w:rPr>
          <w:spacing w:val="-4"/>
        </w:rPr>
        <w:t>muscle</w:t>
      </w:r>
      <w:r>
        <w:rPr>
          <w:spacing w:val="-13"/>
        </w:rPr>
        <w:t> </w:t>
      </w:r>
      <w:r>
        <w:rPr>
          <w:spacing w:val="-4"/>
        </w:rPr>
        <w:t>weakness,</w:t>
      </w:r>
      <w:r>
        <w:rPr>
          <w:spacing w:val="-13"/>
        </w:rPr>
        <w:t> </w:t>
      </w:r>
      <w:r>
        <w:rPr>
          <w:spacing w:val="-4"/>
        </w:rPr>
        <w:t>dysphagia,</w:t>
      </w:r>
      <w:r>
        <w:rPr>
          <w:spacing w:val="-13"/>
        </w:rPr>
        <w:t> </w:t>
      </w:r>
      <w:r>
        <w:rPr>
          <w:spacing w:val="-4"/>
        </w:rPr>
        <w:t>cognitive</w:t>
      </w:r>
      <w:r>
        <w:rPr>
          <w:spacing w:val="-13"/>
        </w:rPr>
        <w:t> </w:t>
      </w:r>
      <w:r>
        <w:rPr>
          <w:spacing w:val="-4"/>
        </w:rPr>
        <w:t>def- icits,</w:t>
      </w:r>
      <w:r>
        <w:rPr>
          <w:spacing w:val="-7"/>
        </w:rPr>
        <w:t> </w:t>
      </w:r>
      <w:r>
        <w:rPr>
          <w:spacing w:val="-4"/>
        </w:rPr>
        <w:t>movement</w:t>
      </w:r>
      <w:r>
        <w:rPr>
          <w:spacing w:val="-7"/>
        </w:rPr>
        <w:t> </w:t>
      </w:r>
      <w:r>
        <w:rPr>
          <w:spacing w:val="-4"/>
        </w:rPr>
        <w:t>disorders,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psychiatric</w:t>
      </w:r>
      <w:r>
        <w:rPr>
          <w:spacing w:val="-7"/>
        </w:rPr>
        <w:t> </w:t>
      </w:r>
      <w:r>
        <w:rPr>
          <w:spacing w:val="-4"/>
        </w:rPr>
        <w:t>disorders</w:t>
      </w:r>
      <w:r>
        <w:rPr>
          <w:spacing w:val="-7"/>
        </w:rPr>
        <w:t> </w:t>
      </w:r>
      <w:r>
        <w:rPr>
          <w:spacing w:val="-4"/>
        </w:rPr>
        <w:t>(Table </w:t>
      </w:r>
      <w:hyperlink w:history="true" w:anchor="_bookmark1">
        <w:r>
          <w:rPr>
            <w:color w:val="0000FF"/>
            <w:spacing w:val="-4"/>
          </w:rPr>
          <w:t>1</w:t>
        </w:r>
      </w:hyperlink>
      <w:r>
        <w:rPr>
          <w:spacing w:val="-4"/>
        </w:rPr>
        <w:t>). </w:t>
      </w:r>
      <w:r>
        <w:rPr/>
        <w:t>Except for one SANDO patient carrying a homozygous </w:t>
      </w:r>
      <w:r>
        <w:rPr>
          <w:spacing w:val="-4"/>
        </w:rPr>
        <w:t>p.A889T variant, who presented with demyelinating neuropa- </w:t>
      </w:r>
      <w:r>
        <w:rPr>
          <w:spacing w:val="-6"/>
        </w:rPr>
        <w:t>thy,</w:t>
      </w:r>
      <w:r>
        <w:rPr>
          <w:spacing w:val="-7"/>
        </w:rPr>
        <w:t> </w:t>
      </w:r>
      <w:r>
        <w:rPr>
          <w:spacing w:val="-6"/>
        </w:rPr>
        <w:t>all</w:t>
      </w:r>
      <w:r>
        <w:rPr>
          <w:spacing w:val="-7"/>
        </w:rPr>
        <w:t> </w:t>
      </w:r>
      <w:r>
        <w:rPr>
          <w:spacing w:val="-6"/>
        </w:rPr>
        <w:t>of the</w:t>
      </w:r>
      <w:r>
        <w:rPr>
          <w:spacing w:val="-7"/>
        </w:rPr>
        <w:t> </w:t>
      </w:r>
      <w:r>
        <w:rPr>
          <w:spacing w:val="-6"/>
        </w:rPr>
        <w:t>patients</w:t>
      </w:r>
      <w:r>
        <w:rPr>
          <w:spacing w:val="-7"/>
        </w:rPr>
        <w:t> </w:t>
      </w:r>
      <w:r>
        <w:rPr>
          <w:spacing w:val="-6"/>
        </w:rPr>
        <w:t>were characterized</w:t>
      </w:r>
      <w:r>
        <w:rPr>
          <w:spacing w:val="-7"/>
        </w:rPr>
        <w:t> </w:t>
      </w:r>
      <w:r>
        <w:rPr>
          <w:spacing w:val="-6"/>
        </w:rPr>
        <w:t>by axonal</w:t>
      </w:r>
      <w:r>
        <w:rPr>
          <w:spacing w:val="-7"/>
        </w:rPr>
        <w:t> </w:t>
      </w:r>
      <w:r>
        <w:rPr>
          <w:spacing w:val="-6"/>
        </w:rPr>
        <w:t>neuropathy.</w:t>
      </w:r>
    </w:p>
    <w:p>
      <w:pPr>
        <w:pStyle w:val="BodyText"/>
        <w:spacing w:after="0" w:line="261" w:lineRule="auto"/>
        <w:jc w:val="right"/>
        <w:sectPr>
          <w:type w:val="continuous"/>
          <w:pgSz w:w="11910" w:h="15820"/>
          <w:pgMar w:header="629" w:footer="939" w:top="840" w:bottom="1120" w:left="992" w:right="992"/>
          <w:cols w:num="2" w:equalWidth="0">
            <w:col w:w="4792" w:space="310"/>
            <w:col w:w="482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20"/>
          <w:pgMar w:header="659" w:footer="939" w:top="900" w:bottom="1120" w:left="992" w:right="992"/>
        </w:sectPr>
      </w:pPr>
    </w:p>
    <w:p>
      <w:pPr>
        <w:pStyle w:val="BodyText"/>
        <w:spacing w:line="261" w:lineRule="auto" w:before="68"/>
        <w:ind w:left="28" w:right="1"/>
        <w:jc w:val="both"/>
      </w:pPr>
      <w:r>
        <w:rPr>
          <w:spacing w:val="-6"/>
        </w:rPr>
        <w:t>Muscle histological analysis revealed that a majority of patients </w:t>
      </w:r>
      <w:r>
        <w:rPr>
          <w:spacing w:val="-4"/>
        </w:rPr>
        <w:t>had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histological</w:t>
      </w:r>
      <w:r>
        <w:rPr>
          <w:spacing w:val="-9"/>
        </w:rPr>
        <w:t> </w:t>
      </w:r>
      <w:r>
        <w:rPr>
          <w:spacing w:val="-4"/>
        </w:rPr>
        <w:t>pattern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mitochondrial</w:t>
      </w:r>
      <w:r>
        <w:rPr>
          <w:spacing w:val="-8"/>
        </w:rPr>
        <w:t> </w:t>
      </w:r>
      <w:r>
        <w:rPr>
          <w:spacing w:val="-4"/>
        </w:rPr>
        <w:t>myopathy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rag- </w:t>
      </w:r>
      <w:r>
        <w:rPr>
          <w:spacing w:val="-6"/>
        </w:rPr>
        <w:t>ged-red</w:t>
      </w:r>
      <w:r>
        <w:rPr>
          <w:spacing w:val="-9"/>
        </w:rPr>
        <w:t> </w:t>
      </w:r>
      <w:r>
        <w:rPr>
          <w:spacing w:val="-6"/>
        </w:rPr>
        <w:t>fibers (RRFs,</w:t>
      </w:r>
      <w:r>
        <w:rPr>
          <w:spacing w:val="-7"/>
        </w:rPr>
        <w:t> </w:t>
      </w:r>
      <w:r>
        <w:rPr>
          <w:spacing w:val="-6"/>
        </w:rPr>
        <w:t>18/25) and</w:t>
      </w:r>
      <w:r>
        <w:rPr>
          <w:spacing w:val="-7"/>
        </w:rPr>
        <w:t> </w:t>
      </w:r>
      <w:r>
        <w:rPr>
          <w:spacing w:val="-6"/>
        </w:rPr>
        <w:t>cytochrome c</w:t>
      </w:r>
      <w:r>
        <w:rPr>
          <w:spacing w:val="-7"/>
        </w:rPr>
        <w:t> </w:t>
      </w:r>
      <w:r>
        <w:rPr>
          <w:spacing w:val="-6"/>
        </w:rPr>
        <w:t>oxidase (COX)- </w:t>
      </w:r>
      <w:r>
        <w:rPr>
          <w:spacing w:val="-8"/>
        </w:rPr>
        <w:t>negative</w:t>
      </w:r>
      <w:r>
        <w:rPr/>
        <w:t> </w:t>
      </w:r>
      <w:r>
        <w:rPr>
          <w:spacing w:val="-8"/>
        </w:rPr>
        <w:t>fibers</w:t>
      </w:r>
      <w:r>
        <w:rPr/>
        <w:t> </w:t>
      </w:r>
      <w:r>
        <w:rPr>
          <w:spacing w:val="-8"/>
        </w:rPr>
        <w:t>(23/30).</w:t>
      </w:r>
      <w:r>
        <w:rPr/>
        <w:t> </w:t>
      </w:r>
      <w:r>
        <w:rPr>
          <w:spacing w:val="-8"/>
        </w:rPr>
        <w:t>Multiple</w:t>
      </w:r>
      <w:r>
        <w:rPr/>
        <w:t> </w:t>
      </w:r>
      <w:r>
        <w:rPr>
          <w:spacing w:val="-8"/>
        </w:rPr>
        <w:t>mtDNA</w:t>
      </w:r>
      <w:r>
        <w:rPr/>
        <w:t> </w:t>
      </w:r>
      <w:r>
        <w:rPr>
          <w:spacing w:val="-8"/>
        </w:rPr>
        <w:t>deletions</w:t>
      </w:r>
      <w:r>
        <w:rPr/>
        <w:t> </w:t>
      </w:r>
      <w:r>
        <w:rPr>
          <w:spacing w:val="-8"/>
        </w:rPr>
        <w:t>were</w:t>
      </w:r>
      <w:r>
        <w:rPr/>
        <w:t> </w:t>
      </w:r>
      <w:r>
        <w:rPr>
          <w:spacing w:val="-8"/>
        </w:rPr>
        <w:t>present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muscle</w:t>
      </w:r>
      <w:r>
        <w:rPr>
          <w:spacing w:val="-8"/>
        </w:rPr>
        <w:t> </w:t>
      </w:r>
      <w:r>
        <w:rPr>
          <w:spacing w:val="-4"/>
        </w:rPr>
        <w:t>specimens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but</w:t>
      </w:r>
      <w:r>
        <w:rPr>
          <w:spacing w:val="-8"/>
        </w:rPr>
        <w:t> </w:t>
      </w:r>
      <w:r>
        <w:rPr>
          <w:spacing w:val="-4"/>
        </w:rPr>
        <w:t>one</w:t>
      </w:r>
      <w:r>
        <w:rPr>
          <w:spacing w:val="-8"/>
        </w:rPr>
        <w:t> </w:t>
      </w:r>
      <w:r>
        <w:rPr>
          <w:spacing w:val="-4"/>
        </w:rPr>
        <w:t>patient</w:t>
      </w:r>
      <w:r>
        <w:rPr>
          <w:spacing w:val="-8"/>
        </w:rPr>
        <w:t> </w:t>
      </w:r>
      <w:r>
        <w:rPr>
          <w:spacing w:val="-4"/>
        </w:rPr>
        <w:t>(21/22).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addi- </w:t>
      </w:r>
      <w:r>
        <w:rPr/>
        <w:t>tion,</w:t>
      </w:r>
      <w:r>
        <w:rPr>
          <w:spacing w:val="-5"/>
        </w:rPr>
        <w:t> </w:t>
      </w:r>
      <w:r>
        <w:rPr/>
        <w:t>brain</w:t>
      </w:r>
      <w:r>
        <w:rPr>
          <w:spacing w:val="-5"/>
        </w:rPr>
        <w:t> </w:t>
      </w:r>
      <w:r>
        <w:rPr/>
        <w:t>MRI</w:t>
      </w:r>
      <w:r>
        <w:rPr>
          <w:spacing w:val="-5"/>
        </w:rPr>
        <w:t> </w:t>
      </w:r>
      <w:r>
        <w:rPr/>
        <w:t>anomalies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patients. Major</w:t>
      </w:r>
      <w:r>
        <w:rPr>
          <w:spacing w:val="-13"/>
        </w:rPr>
        <w:t> </w:t>
      </w:r>
      <w:r>
        <w:rPr/>
        <w:t>brain</w:t>
      </w:r>
      <w:r>
        <w:rPr>
          <w:spacing w:val="-12"/>
        </w:rPr>
        <w:t> </w:t>
      </w:r>
      <w:r>
        <w:rPr/>
        <w:t>MRI</w:t>
      </w:r>
      <w:r>
        <w:rPr>
          <w:spacing w:val="-13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cerebellar</w:t>
      </w:r>
      <w:r>
        <w:rPr>
          <w:spacing w:val="-12"/>
        </w:rPr>
        <w:t> </w:t>
      </w:r>
      <w:r>
        <w:rPr/>
        <w:t>atrophy</w:t>
      </w:r>
      <w:r>
        <w:rPr>
          <w:spacing w:val="-13"/>
        </w:rPr>
        <w:t> </w:t>
      </w:r>
      <w:r>
        <w:rPr/>
        <w:t>(9/36) and cerebellar lesions (6/36).</w:t>
      </w:r>
    </w:p>
    <w:p>
      <w:pPr>
        <w:pStyle w:val="BodyText"/>
        <w:spacing w:line="261" w:lineRule="auto"/>
        <w:ind w:left="28" w:right="1" w:firstLine="226"/>
        <w:jc w:val="both"/>
      </w:pP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35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coding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i/>
        </w:rPr>
        <w:t>POLG</w:t>
      </w:r>
      <w:r>
        <w:rPr>
          <w:i/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SANDO</w:t>
      </w:r>
      <w:r>
        <w:rPr>
          <w:spacing w:val="-2"/>
        </w:rPr>
        <w:t> </w:t>
      </w:r>
      <w:r>
        <w:rPr/>
        <w:t>patients (Table </w:t>
      </w:r>
      <w:hyperlink w:history="true" w:anchor="_bookmark2">
        <w:r>
          <w:rPr>
            <w:color w:val="0000FF"/>
          </w:rPr>
          <w:t>2</w:t>
        </w:r>
      </w:hyperlink>
      <w:r>
        <w:rPr/>
        <w:t>). These variants are distributed throughout the coding region of </w:t>
      </w:r>
      <w:r>
        <w:rPr>
          <w:i/>
        </w:rPr>
        <w:t>POLG </w:t>
      </w:r>
      <w:r>
        <w:rPr/>
        <w:t>and are mainly concentrated in the linker region and the polymerase domain (Fig. </w:t>
      </w:r>
      <w:hyperlink w:history="true" w:anchor="_bookmark0">
        <w:r>
          <w:rPr>
            <w:color w:val="0000FF"/>
          </w:rPr>
          <w:t>1</w:t>
        </w:r>
      </w:hyperlink>
      <w:r>
        <w:rPr/>
        <w:t>). The bio- informatic characterization of these variants is presented in </w:t>
      </w:r>
      <w:r>
        <w:rPr>
          <w:spacing w:val="-2"/>
        </w:rPr>
        <w:t>Supplementary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9"/>
        </w:rPr>
        <w:t> </w:t>
      </w:r>
      <w:r>
        <w:rPr>
          <w:color w:val="0000FF"/>
          <w:spacing w:val="-2"/>
        </w:rPr>
        <w:t>2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frequently</w:t>
      </w:r>
      <w:r>
        <w:rPr>
          <w:spacing w:val="-8"/>
        </w:rPr>
        <w:t> </w:t>
      </w:r>
      <w:r>
        <w:rPr>
          <w:spacing w:val="-2"/>
        </w:rPr>
        <w:t>detected</w:t>
      </w:r>
      <w:r>
        <w:rPr>
          <w:spacing w:val="-8"/>
        </w:rPr>
        <w:t> </w:t>
      </w:r>
      <w:r>
        <w:rPr>
          <w:i/>
          <w:spacing w:val="-2"/>
        </w:rPr>
        <w:t>POLG </w:t>
      </w:r>
      <w:r>
        <w:rPr/>
        <w:t>variant associated with SANDO is the p.A467T variant (30.9%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alleles)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p.W748S</w:t>
      </w:r>
      <w:r>
        <w:rPr>
          <w:spacing w:val="-6"/>
        </w:rPr>
        <w:t> </w:t>
      </w:r>
      <w:r>
        <w:rPr/>
        <w:t>variant</w:t>
      </w:r>
      <w:r>
        <w:rPr>
          <w:spacing w:val="-6"/>
        </w:rPr>
        <w:t> </w:t>
      </w:r>
      <w:r>
        <w:rPr/>
        <w:t>(20.9% of alleles).</w:t>
      </w:r>
    </w:p>
    <w:p>
      <w:pPr>
        <w:pStyle w:val="BodyText"/>
        <w:spacing w:before="219"/>
      </w:pPr>
    </w:p>
    <w:p>
      <w:pPr>
        <w:pStyle w:val="Heading1"/>
      </w:pPr>
      <w:bookmarkStart w:name="Discussion" w:id="15"/>
      <w:bookmarkEnd w:id="15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line="261" w:lineRule="auto" w:before="263"/>
        <w:ind w:left="28" w:right="2"/>
        <w:jc w:val="both"/>
      </w:pPr>
      <w:r>
        <w:rPr/>
        <w:t>In this report, we describe two novel variants in the </w:t>
      </w:r>
      <w:r>
        <w:rPr>
          <w:i/>
        </w:rPr>
        <w:t>POLG </w:t>
      </w:r>
      <w:r>
        <w:rPr/>
        <w:t>gene in a patient with SANDO, hand tremors, and </w:t>
      </w:r>
      <w:r>
        <w:rPr/>
        <w:t>exercise intolerance.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variants,</w:t>
      </w:r>
      <w:r>
        <w:rPr>
          <w:spacing w:val="-4"/>
        </w:rPr>
        <w:t> </w:t>
      </w:r>
      <w:r>
        <w:rPr/>
        <w:t>p.L151P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p.G848A,</w:t>
      </w:r>
      <w:r>
        <w:rPr>
          <w:spacing w:val="-4"/>
        </w:rPr>
        <w:t> </w:t>
      </w:r>
      <w:r>
        <w:rPr/>
        <w:t>are </w:t>
      </w:r>
      <w:r>
        <w:rPr>
          <w:spacing w:val="-2"/>
        </w:rPr>
        <w:t>located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N-terminal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polymerase</w:t>
      </w:r>
      <w:r>
        <w:rPr>
          <w:spacing w:val="-8"/>
        </w:rPr>
        <w:t> </w:t>
      </w:r>
      <w:r>
        <w:rPr>
          <w:spacing w:val="-2"/>
        </w:rPr>
        <w:t>domains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POLG, </w:t>
      </w:r>
      <w:r>
        <w:rPr/>
        <w:t>respectively.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clinical</w:t>
      </w:r>
      <w:r>
        <w:rPr>
          <w:spacing w:val="-13"/>
        </w:rPr>
        <w:t> </w:t>
      </w:r>
      <w:r>
        <w:rPr/>
        <w:t>manifestation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genetic analysis, this patient was diagnosed with SANDO.</w:t>
      </w:r>
    </w:p>
    <w:p>
      <w:pPr>
        <w:pStyle w:val="BodyText"/>
        <w:spacing w:line="261" w:lineRule="auto"/>
        <w:ind w:left="28" w:right="1" w:firstLine="226"/>
        <w:jc w:val="both"/>
      </w:pPr>
      <w:r>
        <w:rPr/>
        <w:t>To</w:t>
      </w:r>
      <w:r>
        <w:rPr>
          <w:spacing w:val="-13"/>
        </w:rPr>
        <w:t> </w:t>
      </w:r>
      <w:r>
        <w:rPr/>
        <w:t>date,</w:t>
      </w:r>
      <w:r>
        <w:rPr>
          <w:spacing w:val="-12"/>
        </w:rPr>
        <w:t> </w:t>
      </w:r>
      <w:r>
        <w:rPr/>
        <w:t>35</w:t>
      </w:r>
      <w:r>
        <w:rPr>
          <w:spacing w:val="-13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variants</w:t>
      </w:r>
      <w:r>
        <w:rPr>
          <w:spacing w:val="-13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coding</w:t>
      </w:r>
      <w:r>
        <w:rPr>
          <w:spacing w:val="-12"/>
        </w:rPr>
        <w:t> </w:t>
      </w:r>
      <w:r>
        <w:rPr/>
        <w:t>region of the </w:t>
      </w:r>
      <w:r>
        <w:rPr>
          <w:i/>
        </w:rPr>
        <w:t>POLG </w:t>
      </w:r>
      <w:r>
        <w:rPr/>
        <w:t>gene have been detected in SANDO patients (Bereau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2016</w:t>
        </w:r>
      </w:hyperlink>
      <w:r>
        <w:rPr/>
        <w:t>;</w:t>
      </w:r>
      <w:r>
        <w:rPr>
          <w:spacing w:val="-12"/>
        </w:rPr>
        <w:t> </w:t>
      </w:r>
      <w:r>
        <w:rPr/>
        <w:t>Hanisch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2015</w:t>
        </w:r>
      </w:hyperlink>
      <w:r>
        <w:rPr/>
        <w:t>;</w:t>
      </w:r>
      <w:r>
        <w:rPr>
          <w:spacing w:val="-12"/>
        </w:rPr>
        <w:t> </w:t>
      </w:r>
      <w:r>
        <w:rPr/>
        <w:t>Horvath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3"/>
        </w:rPr>
        <w:t> </w:t>
      </w:r>
      <w:hyperlink w:history="true" w:anchor="_bookmark13">
        <w:r>
          <w:rPr>
            <w:color w:val="0000FF"/>
          </w:rPr>
          <w:t>2006</w:t>
        </w:r>
      </w:hyperlink>
      <w:r>
        <w:rPr/>
        <w:t>; Hou</w:t>
      </w:r>
      <w:r>
        <w:rPr>
          <w:spacing w:val="-13"/>
        </w:rPr>
        <w:t> </w:t>
      </w:r>
      <w:r>
        <w:rPr/>
        <w:t>Yue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2"/>
        </w:rPr>
        <w:t> </w:t>
      </w:r>
      <w:hyperlink w:history="true" w:anchor="_bookmark15">
        <w:r>
          <w:rPr>
            <w:color w:val="0000FF"/>
          </w:rPr>
          <w:t>2018</w:t>
        </w:r>
      </w:hyperlink>
      <w:r>
        <w:rPr/>
        <w:t>;</w:t>
      </w:r>
      <w:r>
        <w:rPr>
          <w:spacing w:val="-13"/>
        </w:rPr>
        <w:t> </w:t>
      </w:r>
      <w:r>
        <w:rPr/>
        <w:t>Posada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2"/>
        </w:rPr>
        <w:t> </w:t>
      </w:r>
      <w:hyperlink w:history="true" w:anchor="_bookmark20">
        <w:r>
          <w:rPr>
            <w:color w:val="0000FF"/>
          </w:rPr>
          <w:t>2010</w:t>
        </w:r>
      </w:hyperlink>
      <w:r>
        <w:rPr/>
        <w:t>;</w:t>
      </w:r>
      <w:r>
        <w:rPr>
          <w:spacing w:val="-13"/>
        </w:rPr>
        <w:t> </w:t>
      </w:r>
      <w:r>
        <w:rPr/>
        <w:t>Rajakulendran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al. </w:t>
      </w:r>
      <w:hyperlink w:history="true" w:anchor="_bookmark21">
        <w:r>
          <w:rPr>
            <w:color w:val="0000FF"/>
            <w:spacing w:val="-2"/>
          </w:rPr>
          <w:t>2016</w:t>
        </w:r>
      </w:hyperlink>
      <w:r>
        <w:rPr>
          <w:spacing w:val="-2"/>
        </w:rPr>
        <w:t>;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Goethem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hyperlink w:history="true" w:anchor="_bookmark26">
        <w:r>
          <w:rPr>
            <w:color w:val="0000FF"/>
            <w:spacing w:val="-2"/>
          </w:rPr>
          <w:t>2003</w:t>
        </w:r>
      </w:hyperlink>
      <w:r>
        <w:rPr>
          <w:spacing w:val="-2"/>
        </w:rPr>
        <w:t>;</w:t>
      </w:r>
      <w:r>
        <w:rPr>
          <w:spacing w:val="-7"/>
        </w:rPr>
        <w:t> </w:t>
      </w:r>
      <w:r>
        <w:rPr>
          <w:spacing w:val="-2"/>
        </w:rPr>
        <w:t>Winterthun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hyperlink w:history="true" w:anchor="_bookmark28">
        <w:r>
          <w:rPr>
            <w:color w:val="0000FF"/>
            <w:spacing w:val="-2"/>
          </w:rPr>
          <w:t>2005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i/>
        </w:rPr>
        <w:t>POLG</w:t>
      </w:r>
      <w:r>
        <w:rPr>
          <w:i/>
          <w:spacing w:val="-5"/>
        </w:rPr>
        <w:t> </w:t>
      </w:r>
      <w:r>
        <w:rPr/>
        <w:t>gene</w:t>
      </w:r>
      <w:r>
        <w:rPr>
          <w:spacing w:val="-5"/>
        </w:rPr>
        <w:t> </w:t>
      </w:r>
      <w:r>
        <w:rPr/>
        <w:t>encodes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DNA</w:t>
      </w:r>
      <w:r>
        <w:rPr>
          <w:spacing w:val="-5"/>
        </w:rPr>
        <w:t> </w:t>
      </w:r>
      <w:r>
        <w:rPr/>
        <w:t>polymerase</w:t>
      </w:r>
      <w:r>
        <w:rPr>
          <w:spacing w:val="-5"/>
        </w:rPr>
        <w:t> </w:t>
      </w:r>
      <w:r>
        <w:rPr/>
        <w:t>gamma</w:t>
      </w:r>
      <w:r>
        <w:rPr>
          <w:spacing w:val="-5"/>
        </w:rPr>
        <w:t> </w:t>
      </w:r>
      <w:r>
        <w:rPr/>
        <w:t>catalytic subunit, which forms a heterotrimeric DNA polymerase gamma with the accessory subunit encoded by DNA poly- merase subunit gamma-2, mitochondrial (</w:t>
      </w:r>
      <w:r>
        <w:rPr>
          <w:i/>
        </w:rPr>
        <w:t>POLG2</w:t>
      </w:r>
      <w:r>
        <w:rPr/>
        <w:t>). DNA polymerase gamma is involved in mtDNA maintenance. Mutations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POLG</w:t>
      </w:r>
      <w:r>
        <w:rPr>
          <w:i/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polymerase gamma, leading to mtDNA deletions. Mitochondrial dys- function</w:t>
      </w:r>
      <w:r>
        <w:rPr>
          <w:spacing w:val="-11"/>
        </w:rPr>
        <w:t> </w:t>
      </w:r>
      <w:r>
        <w:rPr/>
        <w:t>impairs</w:t>
      </w:r>
      <w:r>
        <w:rPr>
          <w:spacing w:val="-11"/>
        </w:rPr>
        <w:t> </w:t>
      </w:r>
      <w:r>
        <w:rPr/>
        <w:t>cellular</w:t>
      </w:r>
      <w:r>
        <w:rPr>
          <w:spacing w:val="-11"/>
        </w:rPr>
        <w:t> </w:t>
      </w:r>
      <w:r>
        <w:rPr/>
        <w:t>metabolism.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variants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i/>
          <w:spacing w:val="-2"/>
        </w:rPr>
        <w:t>POLG</w:t>
      </w:r>
      <w:r>
        <w:rPr>
          <w:i/>
          <w:spacing w:val="-7"/>
        </w:rPr>
        <w:t> </w:t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SANDO</w:t>
      </w:r>
      <w:r>
        <w:rPr>
          <w:spacing w:val="-7"/>
        </w:rPr>
        <w:t> </w:t>
      </w:r>
      <w:r>
        <w:rPr>
          <w:spacing w:val="-2"/>
        </w:rPr>
        <w:t>patients,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p.A467T</w:t>
      </w:r>
      <w:r>
        <w:rPr>
          <w:spacing w:val="-7"/>
        </w:rPr>
        <w:t> </w:t>
      </w:r>
      <w:r>
        <w:rPr>
          <w:spacing w:val="-2"/>
        </w:rPr>
        <w:t>variant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common.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variant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to SANDO (Kurt et al. </w:t>
      </w:r>
      <w:hyperlink w:history="true" w:anchor="_bookmark16">
        <w:r>
          <w:rPr>
            <w:color w:val="0000FF"/>
          </w:rPr>
          <w:t>2010</w:t>
        </w:r>
      </w:hyperlink>
      <w:r>
        <w:rPr/>
        <w:t>).</w:t>
      </w:r>
    </w:p>
    <w:p>
      <w:pPr>
        <w:pStyle w:val="BodyText"/>
        <w:spacing w:line="261" w:lineRule="auto"/>
        <w:ind w:left="28" w:firstLine="226"/>
        <w:jc w:val="both"/>
      </w:pPr>
      <w:r>
        <w:rPr/>
        <w:t>Classically, SANDO presents with the </w:t>
      </w:r>
      <w:r>
        <w:rPr/>
        <w:t>aforementioned triad of sensory ataxic neuropathy, dysarthria, and ophthal- moparesis. However, there is wide phenotypical variation among SANDO patients. Patients with the disease can dis- play additional symptoms of multiple organ involvement, including cerebellar ataxia (Milone et al. </w:t>
      </w:r>
      <w:hyperlink w:history="true" w:anchor="_bookmark19">
        <w:r>
          <w:rPr>
            <w:color w:val="0000FF"/>
          </w:rPr>
          <w:t>2008</w:t>
        </w:r>
      </w:hyperlink>
      <w:r>
        <w:rPr/>
        <w:t>), dyspha-</w:t>
      </w:r>
      <w:r>
        <w:rPr>
          <w:spacing w:val="40"/>
        </w:rPr>
        <w:t> </w:t>
      </w:r>
      <w:r>
        <w:rPr/>
        <w:t>gia (Bereau et al. </w:t>
      </w:r>
      <w:hyperlink w:history="true" w:anchor="_bookmark3">
        <w:r>
          <w:rPr>
            <w:color w:val="0000FF"/>
          </w:rPr>
          <w:t>2016</w:t>
        </w:r>
      </w:hyperlink>
      <w:r>
        <w:rPr/>
        <w:t>), parkinsonism (Batla et al. </w:t>
      </w:r>
      <w:hyperlink w:history="true" w:anchor="_bookmark4">
        <w:r>
          <w:rPr>
            <w:color w:val="0000FF"/>
          </w:rPr>
          <w:t>2015</w:t>
        </w:r>
      </w:hyperlink>
      <w:r>
        <w:rPr/>
        <w:t>), chorea (Bereau et al. </w:t>
      </w:r>
      <w:hyperlink w:history="true" w:anchor="_bookmark3">
        <w:r>
          <w:rPr>
            <w:color w:val="0000FF"/>
          </w:rPr>
          <w:t>2016</w:t>
        </w:r>
      </w:hyperlink>
      <w:r>
        <w:rPr/>
        <w:t>), cognitive deficits (Lovan et al. </w:t>
      </w:r>
      <w:hyperlink w:history="true" w:anchor="_bookmark17">
        <w:r>
          <w:rPr>
            <w:color w:val="0000FF"/>
          </w:rPr>
          <w:t>2013</w:t>
        </w:r>
      </w:hyperlink>
      <w:r>
        <w:rPr/>
        <w:t>),</w:t>
      </w:r>
      <w:r>
        <w:rPr>
          <w:spacing w:val="30"/>
        </w:rPr>
        <w:t> </w:t>
      </w:r>
      <w:r>
        <w:rPr/>
        <w:t>diabetes</w:t>
      </w:r>
      <w:r>
        <w:rPr>
          <w:spacing w:val="33"/>
        </w:rPr>
        <w:t> </w:t>
      </w:r>
      <w:r>
        <w:rPr/>
        <w:t>(Horvath</w:t>
      </w:r>
      <w:r>
        <w:rPr>
          <w:spacing w:val="33"/>
        </w:rPr>
        <w:t> </w:t>
      </w:r>
      <w:r>
        <w:rPr/>
        <w:t>et</w:t>
      </w:r>
      <w:r>
        <w:rPr>
          <w:spacing w:val="33"/>
        </w:rPr>
        <w:t> </w:t>
      </w:r>
      <w:r>
        <w:rPr/>
        <w:t>al.</w:t>
      </w:r>
      <w:r>
        <w:rPr>
          <w:spacing w:val="33"/>
        </w:rPr>
        <w:t> </w:t>
      </w:r>
      <w:hyperlink w:history="true" w:anchor="_bookmark13">
        <w:r>
          <w:rPr>
            <w:color w:val="0000FF"/>
          </w:rPr>
          <w:t>2006</w:t>
        </w:r>
      </w:hyperlink>
      <w:r>
        <w:rPr/>
        <w:t>),</w:t>
      </w:r>
      <w:r>
        <w:rPr>
          <w:spacing w:val="33"/>
        </w:rPr>
        <w:t> </w:t>
      </w:r>
      <w:r>
        <w:rPr/>
        <w:t>constipation</w:t>
      </w:r>
      <w:r>
        <w:rPr>
          <w:spacing w:val="33"/>
        </w:rPr>
        <w:t> </w:t>
      </w:r>
      <w:r>
        <w:rPr>
          <w:spacing w:val="-2"/>
        </w:rPr>
        <w:t>(Gati</w:t>
      </w:r>
    </w:p>
    <w:p>
      <w:pPr>
        <w:pStyle w:val="BodyText"/>
        <w:spacing w:line="261" w:lineRule="auto" w:before="68"/>
        <w:ind w:left="28" w:right="22"/>
        <w:jc w:val="both"/>
      </w:pPr>
      <w:r>
        <w:rPr/>
        <w:br w:type="column"/>
      </w:r>
      <w:r>
        <w:rPr/>
        <w:t>et al. </w:t>
      </w:r>
      <w:hyperlink w:history="true" w:anchor="_bookmark9">
        <w:r>
          <w:rPr>
            <w:color w:val="0000FF"/>
          </w:rPr>
          <w:t>2011</w:t>
        </w:r>
      </w:hyperlink>
      <w:r>
        <w:rPr/>
        <w:t>), and cardiomyopathy (Horvath et al. </w:t>
      </w:r>
      <w:hyperlink w:history="true" w:anchor="_bookmark13">
        <w:r>
          <w:rPr>
            <w:color w:val="0000FF"/>
          </w:rPr>
          <w:t>2006</w:t>
        </w:r>
      </w:hyperlink>
      <w:r>
        <w:rPr/>
        <w:t>). In addition,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biopsy</w:t>
      </w:r>
      <w:r>
        <w:rPr>
          <w:spacing w:val="-8"/>
        </w:rPr>
        <w:t> </w:t>
      </w:r>
      <w:r>
        <w:rPr/>
        <w:t>indicated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not show RRFs or COX-negative fibers (Hanisch et al. </w:t>
      </w:r>
      <w:hyperlink w:history="true" w:anchor="_bookmark11">
        <w:r>
          <w:rPr>
            <w:color w:val="0000FF"/>
          </w:rPr>
          <w:t>2015</w:t>
        </w:r>
      </w:hyperlink>
      <w:r>
        <w:rPr/>
        <w:t>; Milone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19">
        <w:r>
          <w:rPr>
            <w:color w:val="0000FF"/>
          </w:rPr>
          <w:t>2008</w:t>
        </w:r>
      </w:hyperlink>
      <w:r>
        <w:rPr/>
        <w:t>;</w:t>
      </w:r>
      <w:r>
        <w:rPr>
          <w:spacing w:val="-9"/>
        </w:rPr>
        <w:t> </w:t>
      </w:r>
      <w:r>
        <w:rPr/>
        <w:t>Rouzier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23">
        <w:r>
          <w:rPr>
            <w:color w:val="0000FF"/>
          </w:rPr>
          <w:t>2014</w:t>
        </w:r>
      </w:hyperlink>
      <w:r>
        <w:rPr/>
        <w:t>).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variation in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difficult.</w:t>
      </w:r>
      <w:r>
        <w:rPr>
          <w:spacing w:val="-7"/>
        </w:rPr>
        <w:t> </w:t>
      </w:r>
      <w:r>
        <w:rPr/>
        <w:t>Sup- port for the diagnosis of SANDO comes from the patient’s clinical history, electrophysiology, histology, and genetic </w:t>
      </w:r>
      <w:r>
        <w:rPr>
          <w:spacing w:val="-2"/>
        </w:rPr>
        <w:t>testing.</w:t>
      </w:r>
    </w:p>
    <w:p>
      <w:pPr>
        <w:pStyle w:val="BodyText"/>
        <w:spacing w:line="261" w:lineRule="auto"/>
        <w:ind w:left="28" w:right="18" w:firstLine="226"/>
        <w:jc w:val="right"/>
      </w:pP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patient,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resting</w:t>
      </w:r>
      <w:r>
        <w:rPr>
          <w:spacing w:val="40"/>
        </w:rPr>
        <w:t> </w:t>
      </w:r>
      <w:r>
        <w:rPr/>
        <w:t>tremor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observed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his right hand. According to a literature review, symptoms of movement disorders such as chorea, tremors, and parkin- sonism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13</w:t>
      </w:r>
      <w:r>
        <w:rPr>
          <w:spacing w:val="40"/>
        </w:rPr>
        <w:t> </w:t>
      </w:r>
      <w:r>
        <w:rPr/>
        <w:t>SANDO</w:t>
      </w:r>
      <w:r>
        <w:rPr>
          <w:spacing w:val="40"/>
        </w:rPr>
        <w:t> </w:t>
      </w:r>
      <w:r>
        <w:rPr/>
        <w:t>patients</w:t>
      </w:r>
      <w:r>
        <w:rPr>
          <w:spacing w:val="40"/>
        </w:rPr>
        <w:t> </w:t>
      </w:r>
      <w:r>
        <w:rPr/>
        <w:t>harboring 12</w:t>
      </w:r>
      <w:r>
        <w:rPr>
          <w:spacing w:val="35"/>
        </w:rPr>
        <w:t> </w:t>
      </w:r>
      <w:r>
        <w:rPr/>
        <w:t>distinct</w:t>
      </w:r>
      <w:r>
        <w:rPr>
          <w:spacing w:val="35"/>
        </w:rPr>
        <w:t> </w:t>
      </w:r>
      <w:r>
        <w:rPr>
          <w:i/>
        </w:rPr>
        <w:t>POLG</w:t>
      </w:r>
      <w:r>
        <w:rPr>
          <w:i/>
          <w:spacing w:val="35"/>
        </w:rPr>
        <w:t> </w:t>
      </w:r>
      <w:r>
        <w:rPr/>
        <w:t>mutations</w:t>
      </w:r>
      <w:r>
        <w:rPr>
          <w:spacing w:val="35"/>
        </w:rPr>
        <w:t> </w:t>
      </w:r>
      <w:r>
        <w:rPr/>
        <w:t>(Bereau</w:t>
      </w:r>
      <w:r>
        <w:rPr>
          <w:spacing w:val="35"/>
        </w:rPr>
        <w:t> </w:t>
      </w:r>
      <w:r>
        <w:rPr/>
        <w:t>et</w:t>
      </w:r>
      <w:r>
        <w:rPr>
          <w:spacing w:val="35"/>
        </w:rPr>
        <w:t> </w:t>
      </w:r>
      <w:r>
        <w:rPr/>
        <w:t>al.</w:t>
      </w:r>
      <w:r>
        <w:rPr>
          <w:spacing w:val="35"/>
        </w:rPr>
        <w:t> </w:t>
      </w:r>
      <w:hyperlink w:history="true" w:anchor="_bookmark3">
        <w:r>
          <w:rPr>
            <w:color w:val="0000FF"/>
          </w:rPr>
          <w:t>2016</w:t>
        </w:r>
      </w:hyperlink>
      <w:r>
        <w:rPr/>
        <w:t>;</w:t>
      </w:r>
      <w:r>
        <w:rPr>
          <w:spacing w:val="35"/>
        </w:rPr>
        <w:t> </w:t>
      </w:r>
      <w:r>
        <w:rPr/>
        <w:t>Habek et al. </w:t>
      </w:r>
      <w:hyperlink w:history="true" w:anchor="_bookmark12">
        <w:r>
          <w:rPr>
            <w:color w:val="0000FF"/>
          </w:rPr>
          <w:t>2012</w:t>
        </w:r>
      </w:hyperlink>
      <w:r>
        <w:rPr/>
        <w:t>; Van Goethem et al. </w:t>
      </w:r>
      <w:hyperlink w:history="true" w:anchor="_bookmark25">
        <w:r>
          <w:rPr>
            <w:color w:val="0000FF"/>
          </w:rPr>
          <w:t>2004</w:t>
        </w:r>
      </w:hyperlink>
      <w:r>
        <w:rPr/>
        <w:t>). However, the exact pathogenesis is not clear. It has been reported that mito-</w:t>
      </w:r>
      <w:r>
        <w:rPr>
          <w:spacing w:val="80"/>
        </w:rPr>
        <w:t> </w:t>
      </w:r>
      <w:r>
        <w:rPr/>
        <w:t>chondrial dysfunction is related to the occurrence of par- kinsonism (Batla et al. </w:t>
      </w:r>
      <w:hyperlink w:history="true" w:anchor="_bookmark4">
        <w:r>
          <w:rPr>
            <w:color w:val="0000FF"/>
          </w:rPr>
          <w:t>2015</w:t>
        </w:r>
      </w:hyperlink>
      <w:r>
        <w:rPr/>
        <w:t>). Among the POLG-related</w:t>
      </w:r>
      <w:r>
        <w:rPr>
          <w:spacing w:val="40"/>
        </w:rPr>
        <w:t> </w:t>
      </w:r>
      <w:r>
        <w:rPr/>
        <w:t>SANDO patients, a majority (24/35) also exhibited brain MRI</w:t>
      </w:r>
      <w:r>
        <w:rPr>
          <w:spacing w:val="40"/>
        </w:rPr>
        <w:t> </w:t>
      </w:r>
      <w:r>
        <w:rPr/>
        <w:t>anomalies,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cerebellar</w:t>
      </w:r>
      <w:r>
        <w:rPr>
          <w:spacing w:val="40"/>
        </w:rPr>
        <w:t> </w:t>
      </w:r>
      <w:r>
        <w:rPr/>
        <w:t>lesions,</w:t>
      </w:r>
      <w:r>
        <w:rPr>
          <w:spacing w:val="40"/>
        </w:rPr>
        <w:t> </w:t>
      </w:r>
      <w:r>
        <w:rPr/>
        <w:t>thalamic</w:t>
      </w:r>
      <w:r>
        <w:rPr>
          <w:spacing w:val="40"/>
        </w:rPr>
        <w:t> </w:t>
      </w:r>
      <w:r>
        <w:rPr/>
        <w:t>lesions, white matter lesions, cerebellar atrophy, </w:t>
      </w:r>
      <w:r>
        <w:rPr/>
        <w:t>cortical</w:t>
      </w:r>
      <w:r>
        <w:rPr>
          <w:spacing w:val="40"/>
        </w:rPr>
        <w:t> </w:t>
      </w:r>
      <w:r>
        <w:rPr/>
        <w:t>atrophy,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hypertrophic</w:t>
      </w:r>
      <w:r>
        <w:rPr>
          <w:spacing w:val="40"/>
        </w:rPr>
        <w:t> </w:t>
      </w:r>
      <w:r>
        <w:rPr/>
        <w:t>olivary</w:t>
      </w:r>
      <w:r>
        <w:rPr>
          <w:spacing w:val="40"/>
        </w:rPr>
        <w:t> </w:t>
      </w:r>
      <w:r>
        <w:rPr/>
        <w:t>degeneration</w:t>
      </w:r>
      <w:r>
        <w:rPr>
          <w:spacing w:val="40"/>
        </w:rPr>
        <w:t> </w:t>
      </w:r>
      <w:r>
        <w:rPr/>
        <w:t>(Bostan et al. </w:t>
      </w:r>
      <w:hyperlink w:history="true" w:anchor="_bookmark5">
        <w:r>
          <w:rPr>
            <w:color w:val="0000FF"/>
          </w:rPr>
          <w:t>2012</w:t>
        </w:r>
      </w:hyperlink>
      <w:r>
        <w:rPr/>
        <w:t>; Gebus et al. </w:t>
      </w:r>
      <w:hyperlink w:history="true" w:anchor="_bookmark10">
        <w:r>
          <w:rPr>
            <w:color w:val="0000FF"/>
          </w:rPr>
          <w:t>2018</w:t>
        </w:r>
      </w:hyperlink>
      <w:r>
        <w:rPr/>
        <w:t>; Henao et al. </w:t>
      </w:r>
      <w:hyperlink w:history="true" w:anchor="_bookmark14">
        <w:r>
          <w:rPr>
            <w:color w:val="0000FF"/>
          </w:rPr>
          <w:t>2016</w:t>
        </w:r>
      </w:hyperlink>
      <w:r>
        <w:rPr/>
        <w:t>; Richter</w:t>
      </w:r>
      <w:r>
        <w:rPr>
          <w:spacing w:val="80"/>
        </w:rPr>
        <w:t> </w:t>
      </w:r>
      <w:r>
        <w:rPr/>
        <w:t>et al. </w:t>
      </w:r>
      <w:hyperlink w:history="true" w:anchor="_bookmark22">
        <w:r>
          <w:rPr>
            <w:color w:val="0000FF"/>
          </w:rPr>
          <w:t>2018</w:t>
        </w:r>
      </w:hyperlink>
      <w:r>
        <w:rPr/>
        <w:t>). Recent studies have shown that the levels of dopamine transporters were reduced in the bilateral striata of SANDO patients with parkinsonism (Batla et al. </w:t>
      </w:r>
      <w:hyperlink w:history="true" w:anchor="_bookmark4">
        <w:r>
          <w:rPr>
            <w:color w:val="0000FF"/>
          </w:rPr>
          <w:t>2015</w:t>
        </w:r>
      </w:hyperlink>
      <w:r>
        <w:rPr/>
        <w:t>; Miguel et al. </w:t>
      </w:r>
      <w:hyperlink w:history="true" w:anchor="_bookmark18">
        <w:r>
          <w:rPr>
            <w:color w:val="0000FF"/>
          </w:rPr>
          <w:t>2014</w:t>
        </w:r>
      </w:hyperlink>
      <w:r>
        <w:rPr/>
        <w:t>). In addition, histological examination revealed degenerative changes in the substantia nigra, den- tate</w:t>
      </w:r>
      <w:r>
        <w:rPr>
          <w:spacing w:val="34"/>
        </w:rPr>
        <w:t> </w:t>
      </w:r>
      <w:r>
        <w:rPr/>
        <w:t>nucleus,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red</w:t>
      </w:r>
      <w:r>
        <w:rPr>
          <w:spacing w:val="34"/>
        </w:rPr>
        <w:t> </w:t>
      </w:r>
      <w:r>
        <w:rPr/>
        <w:t>nuclei,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striking</w:t>
      </w:r>
      <w:r>
        <w:rPr>
          <w:spacing w:val="34"/>
        </w:rPr>
        <w:t> </w:t>
      </w:r>
      <w:r>
        <w:rPr/>
        <w:t>bilateral hypertrophy of the inferior olive in a patient with POLG- related SANDO. These pathological findings are in line</w:t>
      </w:r>
      <w:r>
        <w:rPr>
          <w:spacing w:val="80"/>
          <w:w w:val="150"/>
        </w:rPr>
        <w:t> </w:t>
      </w:r>
      <w:r>
        <w:rPr/>
        <w:t>with prior brain MRI findings and may partially explain</w:t>
      </w:r>
      <w:r>
        <w:rPr>
          <w:spacing w:val="80"/>
        </w:rPr>
        <w:t> </w:t>
      </w:r>
      <w:r>
        <w:rPr/>
        <w:t>the occurrence of movement disorders in SANDO patients. In conclusion, this study reported two novel </w:t>
      </w:r>
      <w:r>
        <w:rPr>
          <w:i/>
        </w:rPr>
        <w:t>POLG </w:t>
      </w:r>
      <w:r>
        <w:rPr/>
        <w:t>vari- ants in a patient with SANDO. POLG-related SANDO is a rare heterogeneous mitochondrial disorder with multiple</w:t>
      </w:r>
      <w:r>
        <w:rPr>
          <w:spacing w:val="40"/>
        </w:rPr>
        <w:t> </w:t>
      </w:r>
      <w:r>
        <w:rPr/>
        <w:t>organ involvement. Our findings expand the mutational</w:t>
      </w:r>
      <w:r>
        <w:rPr>
          <w:spacing w:val="80"/>
          <w:w w:val="150"/>
        </w:rPr>
        <w:t> </w:t>
      </w:r>
      <w:r>
        <w:rPr/>
        <w:t>spectrum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POLG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clinical</w:t>
      </w:r>
      <w:r>
        <w:rPr>
          <w:spacing w:val="40"/>
        </w:rPr>
        <w:t> </w:t>
      </w:r>
      <w:r>
        <w:rPr/>
        <w:t>man- agement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genetic</w:t>
      </w:r>
      <w:r>
        <w:rPr>
          <w:spacing w:val="23"/>
        </w:rPr>
        <w:t> </w:t>
      </w:r>
      <w:r>
        <w:rPr/>
        <w:t>counseling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patients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2"/>
        </w:rPr>
        <w:t>POLG-</w:t>
      </w:r>
    </w:p>
    <w:p>
      <w:pPr>
        <w:pStyle w:val="BodyText"/>
        <w:spacing w:line="210" w:lineRule="exact"/>
        <w:ind w:left="28"/>
        <w:jc w:val="both"/>
      </w:pPr>
      <w:r>
        <w:rPr/>
        <w:t>related</w:t>
      </w:r>
      <w:r>
        <w:rPr>
          <w:spacing w:val="22"/>
        </w:rPr>
        <w:t> </w:t>
      </w:r>
      <w:r>
        <w:rPr>
          <w:spacing w:val="-2"/>
        </w:rPr>
        <w:t>SANDO.</w:t>
      </w:r>
    </w:p>
    <w:p>
      <w:pPr>
        <w:pStyle w:val="BodyText"/>
        <w:spacing w:before="11"/>
      </w:pPr>
    </w:p>
    <w:p>
      <w:pPr>
        <w:spacing w:line="244" w:lineRule="auto" w:before="0"/>
        <w:ind w:left="0" w:right="25" w:firstLine="0"/>
        <w:jc w:val="right"/>
        <w:rPr>
          <w:sz w:val="17"/>
        </w:rPr>
      </w:pPr>
      <w:r>
        <w:rPr>
          <w:rFonts w:ascii="Arial"/>
          <w:b/>
          <w:spacing w:val="-4"/>
          <w:sz w:val="17"/>
        </w:rPr>
        <w:t>Supplementary</w:t>
      </w:r>
      <w:r>
        <w:rPr>
          <w:rFonts w:ascii="Arial"/>
          <w:b/>
          <w:spacing w:val="-13"/>
          <w:sz w:val="17"/>
        </w:rPr>
        <w:t> </w:t>
      </w:r>
      <w:r>
        <w:rPr>
          <w:rFonts w:ascii="Arial"/>
          <w:b/>
          <w:spacing w:val="-4"/>
          <w:sz w:val="17"/>
        </w:rPr>
        <w:t>Information</w:t>
      </w:r>
      <w:r>
        <w:rPr>
          <w:rFonts w:ascii="Arial"/>
          <w:b/>
          <w:spacing w:val="18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online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version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contains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supplemen-</w:t>
      </w:r>
      <w:r>
        <w:rPr>
          <w:spacing w:val="-2"/>
          <w:sz w:val="17"/>
        </w:rPr>
        <w:t> tary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material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available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at</w:t>
      </w:r>
      <w:r>
        <w:rPr>
          <w:spacing w:val="10"/>
          <w:sz w:val="17"/>
        </w:rPr>
        <w:t> </w:t>
      </w:r>
      <w:hyperlink r:id="rId22">
        <w:r>
          <w:rPr>
            <w:color w:val="0000FF"/>
            <w:spacing w:val="-2"/>
            <w:sz w:val="17"/>
          </w:rPr>
          <w:t>https://doi.org/10.1007/s12031-021-01831-</w:t>
        </w:r>
        <w:r>
          <w:rPr>
            <w:color w:val="0000FF"/>
            <w:spacing w:val="-5"/>
            <w:sz w:val="17"/>
          </w:rPr>
          <w:t>9</w:t>
        </w:r>
      </w:hyperlink>
      <w:r>
        <w:rPr>
          <w:spacing w:val="-5"/>
          <w:sz w:val="17"/>
        </w:rPr>
        <w:t>.</w:t>
      </w:r>
    </w:p>
    <w:p>
      <w:pPr>
        <w:pStyle w:val="BodyText"/>
        <w:spacing w:before="54"/>
        <w:rPr>
          <w:sz w:val="17"/>
        </w:rPr>
      </w:pPr>
    </w:p>
    <w:p>
      <w:pPr>
        <w:spacing w:line="244" w:lineRule="auto" w:before="1"/>
        <w:ind w:left="28" w:right="16" w:firstLine="0"/>
        <w:jc w:val="both"/>
        <w:rPr>
          <w:sz w:val="17"/>
        </w:rPr>
      </w:pPr>
      <w:bookmarkStart w:name="Acknowledgments " w:id="16"/>
      <w:bookmarkEnd w:id="16"/>
      <w:r>
        <w:rPr/>
      </w:r>
      <w:r>
        <w:rPr>
          <w:rFonts w:ascii="Arial"/>
          <w:b/>
          <w:sz w:val="17"/>
        </w:rPr>
        <w:t>Acknowledgments </w:t>
      </w:r>
      <w:r>
        <w:rPr>
          <w:sz w:val="17"/>
        </w:rPr>
        <w:t>This article was</w:t>
      </w:r>
      <w:r>
        <w:rPr>
          <w:sz w:val="17"/>
        </w:rPr>
        <w:t> supported by grants from the National Key R&amp;D Program of China (2018YFC1314700), Shang- hai Science and Technology Committee Rising-Star Program (19QA1407900), and the Shanghai Municipal Commission of Health and Family Planning (20184Y0015). We sincerely thank the family members for participating in this study.</w:t>
      </w:r>
    </w:p>
    <w:p>
      <w:pPr>
        <w:pStyle w:val="BodyText"/>
        <w:spacing w:before="56"/>
        <w:rPr>
          <w:sz w:val="17"/>
        </w:rPr>
      </w:pPr>
    </w:p>
    <w:p>
      <w:pPr>
        <w:spacing w:line="244" w:lineRule="auto" w:before="0"/>
        <w:ind w:left="28" w:right="23" w:firstLine="0"/>
        <w:jc w:val="both"/>
        <w:rPr>
          <w:sz w:val="17"/>
        </w:rPr>
      </w:pPr>
      <w:r>
        <w:rPr>
          <w:rFonts w:ascii="Arial" w:hAnsi="Arial"/>
          <w:b/>
          <w:spacing w:val="-4"/>
          <w:sz w:val="17"/>
        </w:rPr>
        <w:t>Authors’</w:t>
      </w:r>
      <w:r>
        <w:rPr>
          <w:rFonts w:ascii="Arial" w:hAnsi="Arial"/>
          <w:b/>
          <w:spacing w:val="-8"/>
          <w:sz w:val="17"/>
        </w:rPr>
        <w:t> </w:t>
      </w:r>
      <w:r>
        <w:rPr>
          <w:rFonts w:ascii="Arial" w:hAnsi="Arial"/>
          <w:b/>
          <w:spacing w:val="-4"/>
          <w:sz w:val="17"/>
        </w:rPr>
        <w:t>Contributions</w:t>
      </w:r>
      <w:r>
        <w:rPr>
          <w:rFonts w:ascii="Arial" w:hAnsi="Arial"/>
          <w:b/>
          <w:spacing w:val="11"/>
          <w:sz w:val="17"/>
        </w:rPr>
        <w:t> </w:t>
      </w:r>
      <w:r>
        <w:rPr>
          <w:spacing w:val="-4"/>
          <w:sz w:val="17"/>
        </w:rPr>
        <w:t>Li-Xi Li: data acquisition, statistical analysis,</w:t>
      </w:r>
      <w:r>
        <w:rPr>
          <w:sz w:val="17"/>
        </w:rPr>
        <w:t> and</w:t>
      </w:r>
      <w:r>
        <w:rPr>
          <w:spacing w:val="-5"/>
          <w:sz w:val="17"/>
        </w:rPr>
        <w:t> </w:t>
      </w:r>
      <w:r>
        <w:rPr>
          <w:sz w:val="17"/>
        </w:rPr>
        <w:t>writing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first</w:t>
      </w:r>
      <w:r>
        <w:rPr>
          <w:spacing w:val="-5"/>
          <w:sz w:val="17"/>
        </w:rPr>
        <w:t> </w:t>
      </w:r>
      <w:r>
        <w:rPr>
          <w:sz w:val="17"/>
        </w:rPr>
        <w:t>draft.</w:t>
      </w:r>
      <w:r>
        <w:rPr>
          <w:spacing w:val="-5"/>
          <w:sz w:val="17"/>
        </w:rPr>
        <w:t> </w:t>
      </w:r>
      <w:r>
        <w:rPr>
          <w:sz w:val="17"/>
        </w:rPr>
        <w:t>Li-Ting</w:t>
      </w:r>
      <w:r>
        <w:rPr>
          <w:spacing w:val="-5"/>
          <w:sz w:val="17"/>
        </w:rPr>
        <w:t> </w:t>
      </w:r>
      <w:r>
        <w:rPr>
          <w:sz w:val="17"/>
        </w:rPr>
        <w:t>Jiang:</w:t>
      </w:r>
      <w:r>
        <w:rPr>
          <w:spacing w:val="-5"/>
          <w:sz w:val="17"/>
        </w:rPr>
        <w:t> </w:t>
      </w:r>
      <w:r>
        <w:rPr>
          <w:sz w:val="17"/>
        </w:rPr>
        <w:t>manuscript</w:t>
      </w:r>
      <w:r>
        <w:rPr>
          <w:spacing w:val="-5"/>
          <w:sz w:val="17"/>
        </w:rPr>
        <w:t> </w:t>
      </w:r>
      <w:r>
        <w:rPr>
          <w:sz w:val="17"/>
        </w:rPr>
        <w:t>revision.</w:t>
      </w:r>
      <w:r>
        <w:rPr>
          <w:spacing w:val="-5"/>
          <w:sz w:val="17"/>
        </w:rPr>
        <w:t> </w:t>
      </w:r>
      <w:r>
        <w:rPr>
          <w:sz w:val="17"/>
        </w:rPr>
        <w:t>You- Gui Pan, Xiao-Long Zhang, Li-Zhen Pan, Zhi-Yu Nie, and Yu-Hui Chen: data acquisition. Ling-Jing Jin: study design and manuscript </w:t>
      </w:r>
      <w:r>
        <w:rPr>
          <w:spacing w:val="-2"/>
          <w:sz w:val="17"/>
        </w:rPr>
        <w:t>revision.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59" w:footer="939" w:top="840" w:bottom="1120" w:left="992" w:right="992"/>
          <w:cols w:num="2" w:equalWidth="0">
            <w:col w:w="4797" w:space="306"/>
            <w:col w:w="4823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28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64275" cy="12700"/>
                <wp:effectExtent l="9525" t="0" r="3175" b="635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264275" cy="12700"/>
                          <a:chExt cx="6264275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299"/>
                            <a:ext cx="626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0">
                                <a:moveTo>
                                  <a:pt x="0" y="0"/>
                                </a:moveTo>
                                <a:lnTo>
                                  <a:pt x="6263995" y="0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25pt;height:1pt;mso-position-horizontal-relative:char;mso-position-vertical-relative:line" id="docshapegroup17" coordorigin="0,0" coordsize="9865,20">
                <v:line style="position:absolute" from="0,10" to="9865,10" stroked="true" strokeweight=".99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1910" w:h="15820"/>
          <w:pgMar w:header="629" w:footer="939" w:top="820" w:bottom="1120" w:left="992" w:right="992"/>
        </w:sectPr>
      </w:pPr>
    </w:p>
    <w:p>
      <w:pPr>
        <w:spacing w:line="244" w:lineRule="auto" w:before="91"/>
        <w:ind w:left="28" w:right="0" w:firstLine="0"/>
        <w:jc w:val="both"/>
        <w:rPr>
          <w:sz w:val="17"/>
        </w:rPr>
      </w:pPr>
      <w:r>
        <w:rPr>
          <w:rFonts w:ascii="Arial"/>
          <w:b/>
          <w:sz w:val="17"/>
        </w:rPr>
        <w:t>Funding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This</w:t>
      </w:r>
      <w:r>
        <w:rPr>
          <w:spacing w:val="-6"/>
          <w:sz w:val="17"/>
        </w:rPr>
        <w:t> </w:t>
      </w:r>
      <w:r>
        <w:rPr>
          <w:sz w:val="17"/>
        </w:rPr>
        <w:t>article</w:t>
      </w:r>
      <w:r>
        <w:rPr>
          <w:spacing w:val="-6"/>
          <w:sz w:val="17"/>
        </w:rPr>
        <w:t> </w:t>
      </w:r>
      <w:r>
        <w:rPr>
          <w:sz w:val="17"/>
        </w:rPr>
        <w:t>was</w:t>
      </w:r>
      <w:r>
        <w:rPr>
          <w:spacing w:val="-6"/>
          <w:sz w:val="17"/>
        </w:rPr>
        <w:t> </w:t>
      </w:r>
      <w:r>
        <w:rPr>
          <w:sz w:val="17"/>
        </w:rPr>
        <w:t>supported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grants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National</w:t>
      </w:r>
      <w:r>
        <w:rPr>
          <w:spacing w:val="-6"/>
          <w:sz w:val="17"/>
        </w:rPr>
        <w:t> </w:t>
      </w:r>
      <w:r>
        <w:rPr>
          <w:sz w:val="17"/>
        </w:rPr>
        <w:t>Key R&amp;D Program of China (2018YFC1314700), Shanghai Science and Technology Committee Rising-Star Program (19QA1407900), and</w:t>
      </w:r>
      <w:r>
        <w:rPr>
          <w:spacing w:val="40"/>
          <w:sz w:val="17"/>
        </w:rPr>
        <w:t> </w:t>
      </w:r>
      <w:r>
        <w:rPr>
          <w:sz w:val="17"/>
        </w:rPr>
        <w:t>the Shanghai Municipal Commission of Health and Family Planning </w:t>
      </w:r>
      <w:r>
        <w:rPr>
          <w:spacing w:val="-2"/>
          <w:sz w:val="17"/>
        </w:rPr>
        <w:t>(20184Y0015).</w:t>
      </w:r>
    </w:p>
    <w:p>
      <w:pPr>
        <w:pStyle w:val="BodyText"/>
        <w:spacing w:before="56"/>
        <w:rPr>
          <w:sz w:val="17"/>
        </w:rPr>
      </w:pPr>
    </w:p>
    <w:p>
      <w:pPr>
        <w:spacing w:before="0"/>
        <w:ind w:left="28" w:right="0" w:firstLine="0"/>
        <w:jc w:val="left"/>
        <w:rPr>
          <w:sz w:val="17"/>
        </w:rPr>
      </w:pPr>
      <w:r>
        <w:rPr>
          <w:rFonts w:ascii="Arial"/>
          <w:b/>
          <w:w w:val="90"/>
          <w:sz w:val="17"/>
        </w:rPr>
        <w:t>Availability</w:t>
      </w:r>
      <w:r>
        <w:rPr>
          <w:rFonts w:ascii="Arial"/>
          <w:b/>
          <w:spacing w:val="-14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of</w:t>
      </w:r>
      <w:r>
        <w:rPr>
          <w:rFonts w:ascii="Arial"/>
          <w:b/>
          <w:spacing w:val="-13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Data</w:t>
      </w:r>
      <w:r>
        <w:rPr>
          <w:rFonts w:ascii="Arial"/>
          <w:b/>
          <w:spacing w:val="-13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and</w:t>
      </w:r>
      <w:r>
        <w:rPr>
          <w:rFonts w:ascii="Arial"/>
          <w:b/>
          <w:spacing w:val="-14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Materials</w:t>
      </w:r>
      <w:r>
        <w:rPr>
          <w:rFonts w:ascii="Arial"/>
          <w:b/>
          <w:spacing w:val="39"/>
          <w:sz w:val="17"/>
        </w:rPr>
        <w:t> </w:t>
      </w:r>
      <w:r>
        <w:rPr>
          <w:w w:val="90"/>
          <w:sz w:val="17"/>
        </w:rPr>
        <w:t>The</w:t>
      </w:r>
      <w:r>
        <w:rPr>
          <w:spacing w:val="-5"/>
          <w:sz w:val="17"/>
        </w:rPr>
        <w:t> </w:t>
      </w:r>
      <w:r>
        <w:rPr>
          <w:w w:val="90"/>
          <w:sz w:val="17"/>
        </w:rPr>
        <w:t>data</w:t>
      </w:r>
      <w:r>
        <w:rPr>
          <w:spacing w:val="-4"/>
          <w:sz w:val="17"/>
        </w:rPr>
        <w:t> </w:t>
      </w:r>
      <w:r>
        <w:rPr>
          <w:w w:val="90"/>
          <w:sz w:val="17"/>
        </w:rPr>
        <w:t>and</w:t>
      </w:r>
      <w:r>
        <w:rPr>
          <w:spacing w:val="-1"/>
          <w:w w:val="90"/>
          <w:sz w:val="17"/>
        </w:rPr>
        <w:t> </w:t>
      </w:r>
      <w:r>
        <w:rPr>
          <w:w w:val="90"/>
          <w:sz w:val="17"/>
        </w:rPr>
        <w:t>materials</w:t>
      </w:r>
      <w:r>
        <w:rPr>
          <w:spacing w:val="-4"/>
          <w:sz w:val="17"/>
        </w:rPr>
        <w:t> </w:t>
      </w:r>
      <w:r>
        <w:rPr>
          <w:w w:val="90"/>
          <w:sz w:val="17"/>
        </w:rPr>
        <w:t>are</w:t>
      </w:r>
      <w:r>
        <w:rPr>
          <w:spacing w:val="-1"/>
          <w:w w:val="90"/>
          <w:sz w:val="17"/>
        </w:rPr>
        <w:t> </w:t>
      </w:r>
      <w:r>
        <w:rPr>
          <w:spacing w:val="-2"/>
          <w:w w:val="90"/>
          <w:sz w:val="17"/>
        </w:rPr>
        <w:t>available.</w:t>
      </w:r>
    </w:p>
    <w:p>
      <w:pPr>
        <w:pStyle w:val="BodyText"/>
        <w:spacing w:before="62"/>
        <w:rPr>
          <w:sz w:val="17"/>
        </w:rPr>
      </w:pPr>
    </w:p>
    <w:p>
      <w:pPr>
        <w:pStyle w:val="Heading2"/>
      </w:pPr>
      <w:r>
        <w:rPr>
          <w:spacing w:val="-2"/>
          <w:w w:val="95"/>
        </w:rPr>
        <w:t>Declarations</w:t>
      </w:r>
    </w:p>
    <w:p>
      <w:pPr>
        <w:spacing w:line="244" w:lineRule="auto" w:before="244"/>
        <w:ind w:left="28" w:right="1" w:firstLine="0"/>
        <w:jc w:val="both"/>
        <w:rPr>
          <w:sz w:val="17"/>
        </w:rPr>
      </w:pPr>
      <w:r>
        <w:rPr>
          <w:rFonts w:ascii="Arial"/>
          <w:b/>
          <w:w w:val="90"/>
          <w:sz w:val="17"/>
        </w:rPr>
        <w:t>Ethics</w:t>
      </w:r>
      <w:r>
        <w:rPr>
          <w:rFonts w:ascii="Arial"/>
          <w:b/>
          <w:spacing w:val="-8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Approval</w:t>
      </w:r>
      <w:r>
        <w:rPr>
          <w:rFonts w:ascii="Arial"/>
          <w:b/>
          <w:spacing w:val="-7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and</w:t>
      </w:r>
      <w:r>
        <w:rPr>
          <w:rFonts w:ascii="Arial"/>
          <w:b/>
          <w:spacing w:val="-7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Consent</w:t>
      </w:r>
      <w:r>
        <w:rPr>
          <w:rFonts w:ascii="Arial"/>
          <w:b/>
          <w:spacing w:val="-7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to</w:t>
      </w:r>
      <w:r>
        <w:rPr>
          <w:rFonts w:ascii="Arial"/>
          <w:b/>
          <w:spacing w:val="-7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Participate</w:t>
      </w:r>
      <w:r>
        <w:rPr>
          <w:rFonts w:ascii="Arial"/>
          <w:b/>
          <w:spacing w:val="27"/>
          <w:sz w:val="17"/>
        </w:rPr>
        <w:t> </w:t>
      </w:r>
      <w:r>
        <w:rPr>
          <w:w w:val="90"/>
          <w:sz w:val="17"/>
        </w:rPr>
        <w:t>This study was approved</w:t>
      </w:r>
      <w:r>
        <w:rPr>
          <w:sz w:val="17"/>
        </w:rPr>
        <w:t> by the Ethics Board of Tongji Hospital, Tongji University School of Medicine.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patient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his</w:t>
      </w:r>
      <w:r>
        <w:rPr>
          <w:spacing w:val="-8"/>
          <w:sz w:val="17"/>
        </w:rPr>
        <w:t> </w:t>
      </w:r>
      <w:r>
        <w:rPr>
          <w:sz w:val="17"/>
        </w:rPr>
        <w:t>parents</w:t>
      </w:r>
      <w:r>
        <w:rPr>
          <w:spacing w:val="-8"/>
          <w:sz w:val="17"/>
        </w:rPr>
        <w:t> </w:t>
      </w:r>
      <w:r>
        <w:rPr>
          <w:sz w:val="17"/>
        </w:rPr>
        <w:t>signed</w:t>
      </w:r>
      <w:r>
        <w:rPr>
          <w:spacing w:val="-8"/>
          <w:sz w:val="17"/>
        </w:rPr>
        <w:t> </w:t>
      </w:r>
      <w:r>
        <w:rPr>
          <w:sz w:val="17"/>
        </w:rPr>
        <w:t>written</w:t>
      </w:r>
      <w:r>
        <w:rPr>
          <w:spacing w:val="-8"/>
          <w:sz w:val="17"/>
        </w:rPr>
        <w:t> </w:t>
      </w:r>
      <w:r>
        <w:rPr>
          <w:sz w:val="17"/>
        </w:rPr>
        <w:t>informed</w:t>
      </w:r>
      <w:r>
        <w:rPr>
          <w:spacing w:val="-8"/>
          <w:sz w:val="17"/>
        </w:rPr>
        <w:t> </w:t>
      </w:r>
      <w:r>
        <w:rPr>
          <w:sz w:val="17"/>
        </w:rPr>
        <w:t>consent </w:t>
      </w:r>
      <w:r>
        <w:rPr>
          <w:spacing w:val="-2"/>
          <w:sz w:val="17"/>
        </w:rPr>
        <w:t>agreements.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28" w:right="0" w:firstLine="0"/>
        <w:jc w:val="left"/>
        <w:rPr>
          <w:sz w:val="17"/>
        </w:rPr>
      </w:pPr>
      <w:r>
        <w:rPr>
          <w:rFonts w:ascii="Arial"/>
          <w:b/>
          <w:w w:val="90"/>
          <w:sz w:val="17"/>
        </w:rPr>
        <w:t>Consent</w:t>
      </w:r>
      <w:r>
        <w:rPr>
          <w:rFonts w:ascii="Arial"/>
          <w:b/>
          <w:spacing w:val="-5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for</w:t>
      </w:r>
      <w:r>
        <w:rPr>
          <w:rFonts w:ascii="Arial"/>
          <w:b/>
          <w:spacing w:val="-5"/>
          <w:w w:val="90"/>
          <w:sz w:val="17"/>
        </w:rPr>
        <w:t> </w:t>
      </w:r>
      <w:r>
        <w:rPr>
          <w:rFonts w:ascii="Arial"/>
          <w:b/>
          <w:w w:val="90"/>
          <w:sz w:val="17"/>
        </w:rPr>
        <w:t>Publication</w:t>
      </w:r>
      <w:r>
        <w:rPr>
          <w:rFonts w:ascii="Arial"/>
          <w:b/>
          <w:spacing w:val="54"/>
          <w:sz w:val="17"/>
        </w:rPr>
        <w:t> </w:t>
      </w:r>
      <w:r>
        <w:rPr>
          <w:w w:val="90"/>
          <w:sz w:val="17"/>
        </w:rPr>
        <w:t>All</w:t>
      </w:r>
      <w:r>
        <w:rPr>
          <w:spacing w:val="6"/>
          <w:sz w:val="17"/>
        </w:rPr>
        <w:t> </w:t>
      </w:r>
      <w:r>
        <w:rPr>
          <w:w w:val="90"/>
          <w:sz w:val="17"/>
        </w:rPr>
        <w:t>authors</w:t>
      </w:r>
      <w:r>
        <w:rPr>
          <w:spacing w:val="7"/>
          <w:sz w:val="17"/>
        </w:rPr>
        <w:t> </w:t>
      </w:r>
      <w:r>
        <w:rPr>
          <w:w w:val="90"/>
          <w:sz w:val="17"/>
        </w:rPr>
        <w:t>agree</w:t>
      </w:r>
      <w:r>
        <w:rPr>
          <w:spacing w:val="6"/>
          <w:sz w:val="17"/>
        </w:rPr>
        <w:t> </w:t>
      </w:r>
      <w:r>
        <w:rPr>
          <w:w w:val="90"/>
          <w:sz w:val="17"/>
        </w:rPr>
        <w:t>to</w:t>
      </w:r>
      <w:r>
        <w:rPr>
          <w:spacing w:val="6"/>
          <w:sz w:val="17"/>
        </w:rPr>
        <w:t> </w:t>
      </w:r>
      <w:r>
        <w:rPr>
          <w:w w:val="90"/>
          <w:sz w:val="17"/>
        </w:rPr>
        <w:t>publish</w:t>
      </w:r>
      <w:r>
        <w:rPr>
          <w:spacing w:val="7"/>
          <w:sz w:val="17"/>
        </w:rPr>
        <w:t> </w:t>
      </w:r>
      <w:r>
        <w:rPr>
          <w:w w:val="90"/>
          <w:sz w:val="17"/>
        </w:rPr>
        <w:t>this</w:t>
      </w:r>
      <w:r>
        <w:rPr>
          <w:spacing w:val="6"/>
          <w:sz w:val="17"/>
        </w:rPr>
        <w:t> </w:t>
      </w:r>
      <w:r>
        <w:rPr>
          <w:spacing w:val="-2"/>
          <w:w w:val="90"/>
          <w:sz w:val="17"/>
        </w:rPr>
        <w:t>study.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28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Competing</w:t>
      </w:r>
      <w:r>
        <w:rPr>
          <w:rFonts w:ascii="Arial"/>
          <w:b/>
          <w:spacing w:val="-14"/>
          <w:sz w:val="17"/>
        </w:rPr>
        <w:t> </w:t>
      </w:r>
      <w:r>
        <w:rPr>
          <w:rFonts w:ascii="Arial"/>
          <w:b/>
          <w:spacing w:val="-6"/>
          <w:sz w:val="17"/>
        </w:rPr>
        <w:t>Interests</w:t>
      </w:r>
      <w:r>
        <w:rPr>
          <w:rFonts w:ascii="Arial"/>
          <w:b/>
          <w:spacing w:val="41"/>
          <w:sz w:val="17"/>
        </w:rPr>
        <w:t> </w:t>
      </w:r>
      <w:r>
        <w:rPr>
          <w:spacing w:val="-6"/>
          <w:sz w:val="17"/>
        </w:rPr>
        <w:t>All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authors</w:t>
      </w:r>
      <w:r>
        <w:rPr>
          <w:sz w:val="17"/>
        </w:rPr>
        <w:t> </w:t>
      </w:r>
      <w:r>
        <w:rPr>
          <w:spacing w:val="-6"/>
          <w:sz w:val="17"/>
        </w:rPr>
        <w:t>declare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no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conflict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interest.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bookmarkStart w:name="References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spacing w:line="244" w:lineRule="auto" w:before="240"/>
        <w:ind w:left="368" w:right="2" w:hanging="341"/>
        <w:jc w:val="both"/>
        <w:rPr>
          <w:sz w:val="17"/>
        </w:rPr>
      </w:pPr>
      <w:bookmarkStart w:name="_bookmark4" w:id="18"/>
      <w:bookmarkEnd w:id="18"/>
      <w:r>
        <w:rPr/>
      </w:r>
      <w:r>
        <w:rPr>
          <w:sz w:val="17"/>
        </w:rPr>
        <w:t>Batla A, Erro</w:t>
      </w:r>
      <w:r>
        <w:rPr>
          <w:spacing w:val="-1"/>
          <w:sz w:val="17"/>
        </w:rPr>
        <w:t> </w:t>
      </w:r>
      <w:r>
        <w:rPr>
          <w:sz w:val="17"/>
        </w:rPr>
        <w:t>R,</w:t>
      </w:r>
      <w:r>
        <w:rPr>
          <w:spacing w:val="-1"/>
          <w:sz w:val="17"/>
        </w:rPr>
        <w:t> </w:t>
      </w:r>
      <w:r>
        <w:rPr>
          <w:sz w:val="17"/>
        </w:rPr>
        <w:t>Ganos</w:t>
      </w:r>
      <w:r>
        <w:rPr>
          <w:spacing w:val="-1"/>
          <w:sz w:val="17"/>
        </w:rPr>
        <w:t> </w:t>
      </w:r>
      <w:r>
        <w:rPr>
          <w:sz w:val="17"/>
        </w:rPr>
        <w:t>C,</w:t>
      </w:r>
      <w:r>
        <w:rPr>
          <w:spacing w:val="-1"/>
          <w:sz w:val="17"/>
        </w:rPr>
        <w:t> </w:t>
      </w:r>
      <w:r>
        <w:rPr>
          <w:sz w:val="17"/>
        </w:rPr>
        <w:t>Stamelou M, Bhatia KP (2015) Levodopa- </w:t>
      </w:r>
      <w:r>
        <w:rPr>
          <w:spacing w:val="-2"/>
          <w:sz w:val="17"/>
        </w:rPr>
        <w:t>Responsive Parkinsonism with Prominent Freezing and Abnormal </w:t>
      </w:r>
      <w:r>
        <w:rPr>
          <w:sz w:val="17"/>
        </w:rPr>
        <w:t>Dopamine</w:t>
      </w:r>
      <w:r>
        <w:rPr>
          <w:spacing w:val="-11"/>
          <w:sz w:val="17"/>
        </w:rPr>
        <w:t> </w:t>
      </w:r>
      <w:r>
        <w:rPr>
          <w:sz w:val="17"/>
        </w:rPr>
        <w:t>Transporter</w:t>
      </w:r>
      <w:r>
        <w:rPr>
          <w:spacing w:val="-11"/>
          <w:sz w:val="17"/>
        </w:rPr>
        <w:t> </w:t>
      </w:r>
      <w:r>
        <w:rPr>
          <w:sz w:val="17"/>
        </w:rPr>
        <w:t>Scan</w:t>
      </w:r>
      <w:r>
        <w:rPr>
          <w:spacing w:val="-10"/>
          <w:sz w:val="17"/>
        </w:rPr>
        <w:t> </w:t>
      </w:r>
      <w:r>
        <w:rPr>
          <w:sz w:val="17"/>
        </w:rPr>
        <w:t>Associated</w:t>
      </w:r>
      <w:r>
        <w:rPr>
          <w:spacing w:val="-11"/>
          <w:sz w:val="17"/>
        </w:rPr>
        <w:t> </w:t>
      </w:r>
      <w:r>
        <w:rPr>
          <w:sz w:val="17"/>
        </w:rPr>
        <w:t>with</w:t>
      </w:r>
      <w:r>
        <w:rPr>
          <w:spacing w:val="-11"/>
          <w:sz w:val="17"/>
        </w:rPr>
        <w:t> </w:t>
      </w:r>
      <w:r>
        <w:rPr>
          <w:sz w:val="17"/>
        </w:rPr>
        <w:t>SANDO</w:t>
      </w:r>
      <w:r>
        <w:rPr>
          <w:spacing w:val="-10"/>
          <w:sz w:val="17"/>
        </w:rPr>
        <w:t> </w:t>
      </w:r>
      <w:r>
        <w:rPr>
          <w:sz w:val="17"/>
        </w:rPr>
        <w:t>Syndrome. </w:t>
      </w:r>
      <w:bookmarkStart w:name="_bookmark3" w:id="19"/>
      <w:bookmarkEnd w:id="19"/>
      <w:r>
        <w:rPr>
          <w:sz w:val="17"/>
        </w:rPr>
        <w:t>M</w:t>
      </w:r>
      <w:r>
        <w:rPr>
          <w:sz w:val="17"/>
        </w:rPr>
        <w:t>ov Disord Clin Pract 2:304–307</w:t>
      </w:r>
    </w:p>
    <w:p>
      <w:pPr>
        <w:spacing w:line="244" w:lineRule="auto" w:before="3"/>
        <w:ind w:left="368" w:right="4" w:hanging="341"/>
        <w:jc w:val="both"/>
        <w:rPr>
          <w:sz w:val="17"/>
        </w:rPr>
      </w:pPr>
      <w:r>
        <w:rPr>
          <w:spacing w:val="-2"/>
          <w:sz w:val="17"/>
        </w:rPr>
        <w:t>Bereau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Anheim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Echaniz-Laguna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et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(2016)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wide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POLG- </w:t>
      </w:r>
      <w:bookmarkStart w:name="_bookmark5" w:id="20"/>
      <w:bookmarkEnd w:id="20"/>
      <w:r>
        <w:rPr>
          <w:sz w:val="17"/>
        </w:rPr>
        <w:t>r</w:t>
      </w:r>
      <w:r>
        <w:rPr>
          <w:sz w:val="17"/>
        </w:rPr>
        <w:t>elated spectrum: An integrated view. J Neurol Sci 368:70–76</w:t>
      </w:r>
    </w:p>
    <w:p>
      <w:pPr>
        <w:spacing w:line="244" w:lineRule="auto" w:before="1"/>
        <w:ind w:left="368" w:right="2" w:hanging="341"/>
        <w:jc w:val="both"/>
        <w:rPr>
          <w:sz w:val="17"/>
        </w:rPr>
      </w:pPr>
      <w:r>
        <w:rPr>
          <w:sz w:val="17"/>
        </w:rPr>
        <w:t>Bostan</w:t>
      </w:r>
      <w:r>
        <w:rPr>
          <w:spacing w:val="-9"/>
          <w:sz w:val="17"/>
        </w:rPr>
        <w:t> </w:t>
      </w:r>
      <w:r>
        <w:rPr>
          <w:sz w:val="17"/>
        </w:rPr>
        <w:t>A,</w:t>
      </w:r>
      <w:r>
        <w:rPr>
          <w:spacing w:val="-9"/>
          <w:sz w:val="17"/>
        </w:rPr>
        <w:t> </w:t>
      </w:r>
      <w:r>
        <w:rPr>
          <w:sz w:val="17"/>
        </w:rPr>
        <w:t>Glibert</w:t>
      </w:r>
      <w:r>
        <w:rPr>
          <w:spacing w:val="-9"/>
          <w:sz w:val="17"/>
        </w:rPr>
        <w:t> </w:t>
      </w:r>
      <w:r>
        <w:rPr>
          <w:sz w:val="17"/>
        </w:rPr>
        <w:t>G,</w:t>
      </w:r>
      <w:r>
        <w:rPr>
          <w:spacing w:val="-9"/>
          <w:sz w:val="17"/>
        </w:rPr>
        <w:t> </w:t>
      </w:r>
      <w:r>
        <w:rPr>
          <w:sz w:val="17"/>
        </w:rPr>
        <w:t>Dachy</w:t>
      </w:r>
      <w:r>
        <w:rPr>
          <w:spacing w:val="-9"/>
          <w:sz w:val="17"/>
        </w:rPr>
        <w:t> </w:t>
      </w:r>
      <w:r>
        <w:rPr>
          <w:sz w:val="17"/>
        </w:rPr>
        <w:t>B,</w:t>
      </w:r>
      <w:r>
        <w:rPr>
          <w:spacing w:val="-9"/>
          <w:sz w:val="17"/>
        </w:rPr>
        <w:t> </w:t>
      </w:r>
      <w:r>
        <w:rPr>
          <w:sz w:val="17"/>
        </w:rPr>
        <w:t>Dan</w:t>
      </w:r>
      <w:r>
        <w:rPr>
          <w:spacing w:val="-9"/>
          <w:sz w:val="17"/>
        </w:rPr>
        <w:t> </w:t>
      </w:r>
      <w:r>
        <w:rPr>
          <w:sz w:val="17"/>
        </w:rPr>
        <w:t>B</w:t>
      </w:r>
      <w:r>
        <w:rPr>
          <w:spacing w:val="-9"/>
          <w:sz w:val="17"/>
        </w:rPr>
        <w:t> </w:t>
      </w:r>
      <w:r>
        <w:rPr>
          <w:sz w:val="17"/>
        </w:rPr>
        <w:t>(2012)</w:t>
      </w:r>
      <w:r>
        <w:rPr>
          <w:spacing w:val="-9"/>
          <w:sz w:val="17"/>
        </w:rPr>
        <w:t> </w:t>
      </w:r>
      <w:r>
        <w:rPr>
          <w:sz w:val="17"/>
        </w:rPr>
        <w:t>Novel</w:t>
      </w:r>
      <w:r>
        <w:rPr>
          <w:spacing w:val="-9"/>
          <w:sz w:val="17"/>
        </w:rPr>
        <w:t> </w:t>
      </w:r>
      <w:r>
        <w:rPr>
          <w:sz w:val="17"/>
        </w:rPr>
        <w:t>mutation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spacer region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POLG</w:t>
      </w:r>
      <w:r>
        <w:rPr>
          <w:spacing w:val="-2"/>
          <w:sz w:val="17"/>
        </w:rPr>
        <w:t> </w:t>
      </w:r>
      <w:r>
        <w:rPr>
          <w:sz w:val="17"/>
        </w:rPr>
        <w:t>associated</w:t>
      </w:r>
      <w:r>
        <w:rPr>
          <w:spacing w:val="-2"/>
          <w:sz w:val="17"/>
        </w:rPr>
        <w:t> </w:t>
      </w:r>
      <w:r>
        <w:rPr>
          <w:sz w:val="17"/>
        </w:rPr>
        <w:t>with</w:t>
      </w:r>
      <w:r>
        <w:rPr>
          <w:spacing w:val="-2"/>
          <w:sz w:val="17"/>
        </w:rPr>
        <w:t> </w:t>
      </w:r>
      <w:r>
        <w:rPr>
          <w:sz w:val="17"/>
        </w:rPr>
        <w:t>ataxia</w:t>
      </w:r>
      <w:r>
        <w:rPr>
          <w:spacing w:val="-2"/>
          <w:sz w:val="17"/>
        </w:rPr>
        <w:t> </w:t>
      </w:r>
      <w:r>
        <w:rPr>
          <w:sz w:val="17"/>
        </w:rPr>
        <w:t>neuropathy</w:t>
      </w:r>
      <w:r>
        <w:rPr>
          <w:spacing w:val="-2"/>
          <w:sz w:val="17"/>
        </w:rPr>
        <w:t> </w:t>
      </w:r>
      <w:r>
        <w:rPr>
          <w:sz w:val="17"/>
        </w:rPr>
        <w:t>spectrum</w:t>
      </w:r>
      <w:r>
        <w:rPr>
          <w:spacing w:val="-2"/>
          <w:sz w:val="17"/>
        </w:rPr>
        <w:t> </w:t>
      </w:r>
      <w:r>
        <w:rPr>
          <w:sz w:val="17"/>
        </w:rPr>
        <w:t>and </w:t>
      </w:r>
      <w:bookmarkStart w:name="_bookmark6" w:id="21"/>
      <w:bookmarkEnd w:id="21"/>
      <w:r>
        <w:rPr>
          <w:sz w:val="17"/>
        </w:rPr>
        <w:t>g</w:t>
      </w:r>
      <w:r>
        <w:rPr>
          <w:sz w:val="17"/>
        </w:rPr>
        <w:t>astroparesis. Auton Neurosci 170:70–72</w:t>
      </w:r>
    </w:p>
    <w:p>
      <w:pPr>
        <w:spacing w:line="244" w:lineRule="auto" w:before="1"/>
        <w:ind w:left="368" w:right="3" w:hanging="341"/>
        <w:jc w:val="both"/>
        <w:rPr>
          <w:sz w:val="17"/>
        </w:rPr>
      </w:pPr>
      <w:r>
        <w:rPr>
          <w:sz w:val="17"/>
        </w:rPr>
        <w:t>Da Pozzo P, Cardaioli E, Rubegni A et al (2017) Novel POLG muta- tions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variable</w:t>
      </w:r>
      <w:r>
        <w:rPr>
          <w:spacing w:val="-5"/>
          <w:sz w:val="17"/>
        </w:rPr>
        <w:t> </w:t>
      </w:r>
      <w:r>
        <w:rPr>
          <w:sz w:val="17"/>
        </w:rPr>
        <w:t>clinical</w:t>
      </w:r>
      <w:r>
        <w:rPr>
          <w:spacing w:val="-5"/>
          <w:sz w:val="17"/>
        </w:rPr>
        <w:t> </w:t>
      </w:r>
      <w:r>
        <w:rPr>
          <w:sz w:val="17"/>
        </w:rPr>
        <w:t>phenotypes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13</w:t>
      </w:r>
      <w:r>
        <w:rPr>
          <w:spacing w:val="-5"/>
          <w:sz w:val="17"/>
        </w:rPr>
        <w:t> </w:t>
      </w:r>
      <w:r>
        <w:rPr>
          <w:sz w:val="17"/>
        </w:rPr>
        <w:t>Italian</w:t>
      </w:r>
      <w:r>
        <w:rPr>
          <w:spacing w:val="-5"/>
          <w:sz w:val="17"/>
        </w:rPr>
        <w:t> </w:t>
      </w:r>
      <w:r>
        <w:rPr>
          <w:sz w:val="17"/>
        </w:rPr>
        <w:t>patients.</w:t>
      </w:r>
      <w:r>
        <w:rPr>
          <w:spacing w:val="-5"/>
          <w:sz w:val="17"/>
        </w:rPr>
        <w:t> </w:t>
      </w:r>
      <w:r>
        <w:rPr>
          <w:sz w:val="17"/>
        </w:rPr>
        <w:t>Neu- </w:t>
      </w:r>
      <w:bookmarkStart w:name="_bookmark7" w:id="22"/>
      <w:bookmarkEnd w:id="22"/>
      <w:r>
        <w:rPr>
          <w:sz w:val="17"/>
        </w:rPr>
        <w:t>r</w:t>
      </w:r>
      <w:r>
        <w:rPr>
          <w:sz w:val="17"/>
        </w:rPr>
        <w:t>ol Sci 38:563–570</w:t>
      </w:r>
    </w:p>
    <w:p>
      <w:pPr>
        <w:spacing w:line="244" w:lineRule="auto" w:before="2"/>
        <w:ind w:left="368" w:right="2" w:hanging="341"/>
        <w:jc w:val="both"/>
        <w:rPr>
          <w:sz w:val="17"/>
        </w:rPr>
      </w:pPr>
      <w:r>
        <w:rPr>
          <w:sz w:val="17"/>
        </w:rPr>
        <w:t>Dong</w:t>
      </w:r>
      <w:r>
        <w:rPr>
          <w:spacing w:val="-4"/>
          <w:sz w:val="17"/>
        </w:rPr>
        <w:t> </w:t>
      </w:r>
      <w:r>
        <w:rPr>
          <w:sz w:val="17"/>
        </w:rPr>
        <w:t>HL,</w:t>
      </w:r>
      <w:r>
        <w:rPr>
          <w:spacing w:val="-4"/>
          <w:sz w:val="17"/>
        </w:rPr>
        <w:t> </w:t>
      </w:r>
      <w:r>
        <w:rPr>
          <w:sz w:val="17"/>
        </w:rPr>
        <w:t>Wei</w:t>
      </w:r>
      <w:r>
        <w:rPr>
          <w:spacing w:val="-3"/>
          <w:sz w:val="17"/>
        </w:rPr>
        <w:t> </w:t>
      </w:r>
      <w:r>
        <w:rPr>
          <w:sz w:val="17"/>
        </w:rPr>
        <w:t>Q,</w:t>
      </w:r>
      <w:r>
        <w:rPr>
          <w:spacing w:val="-3"/>
          <w:sz w:val="17"/>
        </w:rPr>
        <w:t> </w:t>
      </w:r>
      <w:r>
        <w:rPr>
          <w:sz w:val="17"/>
        </w:rPr>
        <w:t>Li</w:t>
      </w:r>
      <w:r>
        <w:rPr>
          <w:spacing w:val="-3"/>
          <w:sz w:val="17"/>
        </w:rPr>
        <w:t> </w:t>
      </w:r>
      <w:r>
        <w:rPr>
          <w:sz w:val="17"/>
        </w:rPr>
        <w:t>JQ,</w:t>
      </w:r>
      <w:r>
        <w:rPr>
          <w:spacing w:val="-3"/>
          <w:sz w:val="17"/>
        </w:rPr>
        <w:t> </w:t>
      </w:r>
      <w:r>
        <w:rPr>
          <w:sz w:val="17"/>
        </w:rPr>
        <w:t>Li</w:t>
      </w:r>
      <w:r>
        <w:rPr>
          <w:spacing w:val="-3"/>
          <w:sz w:val="17"/>
        </w:rPr>
        <w:t> </w:t>
      </w:r>
      <w:r>
        <w:rPr>
          <w:sz w:val="17"/>
        </w:rPr>
        <w:t>HF,</w:t>
      </w:r>
      <w:r>
        <w:rPr>
          <w:spacing w:val="-3"/>
          <w:sz w:val="17"/>
        </w:rPr>
        <w:t> </w:t>
      </w:r>
      <w:r>
        <w:rPr>
          <w:sz w:val="17"/>
        </w:rPr>
        <w:t>Bai</w:t>
      </w:r>
      <w:r>
        <w:rPr>
          <w:spacing w:val="-3"/>
          <w:sz w:val="17"/>
        </w:rPr>
        <w:t> </w:t>
      </w:r>
      <w:r>
        <w:rPr>
          <w:sz w:val="17"/>
        </w:rPr>
        <w:t>G,</w:t>
      </w:r>
      <w:r>
        <w:rPr>
          <w:spacing w:val="-3"/>
          <w:sz w:val="17"/>
        </w:rPr>
        <w:t> </w:t>
      </w:r>
      <w:r>
        <w:rPr>
          <w:sz w:val="17"/>
        </w:rPr>
        <w:t>Ma</w:t>
      </w:r>
      <w:r>
        <w:rPr>
          <w:spacing w:val="-3"/>
          <w:sz w:val="17"/>
        </w:rPr>
        <w:t> </w:t>
      </w:r>
      <w:r>
        <w:rPr>
          <w:sz w:val="17"/>
        </w:rPr>
        <w:t>H,</w:t>
      </w:r>
      <w:r>
        <w:rPr>
          <w:spacing w:val="-3"/>
          <w:sz w:val="17"/>
        </w:rPr>
        <w:t> </w:t>
      </w:r>
      <w:r>
        <w:rPr>
          <w:sz w:val="17"/>
        </w:rPr>
        <w:t>Wu</w:t>
      </w:r>
      <w:r>
        <w:rPr>
          <w:spacing w:val="-3"/>
          <w:sz w:val="17"/>
        </w:rPr>
        <w:t> </w:t>
      </w:r>
      <w:r>
        <w:rPr>
          <w:sz w:val="17"/>
        </w:rPr>
        <w:t>ZY</w:t>
      </w:r>
      <w:r>
        <w:rPr>
          <w:spacing w:val="-3"/>
          <w:sz w:val="17"/>
        </w:rPr>
        <w:t> </w:t>
      </w:r>
      <w:r>
        <w:rPr>
          <w:sz w:val="17"/>
        </w:rPr>
        <w:t>(2020)</w:t>
      </w:r>
      <w:r>
        <w:rPr>
          <w:spacing w:val="-3"/>
          <w:sz w:val="17"/>
        </w:rPr>
        <w:t> </w:t>
      </w:r>
      <w:r>
        <w:rPr>
          <w:sz w:val="17"/>
        </w:rPr>
        <w:t>Genetic spectrum of MCM3AP and its relationship with phenotype of </w:t>
      </w:r>
      <w:bookmarkStart w:name="_bookmark8" w:id="23"/>
      <w:bookmarkEnd w:id="23"/>
      <w:r>
        <w:rPr>
          <w:sz w:val="17"/>
        </w:rPr>
        <w:t>Char</w:t>
      </w:r>
      <w:r>
        <w:rPr>
          <w:sz w:val="17"/>
        </w:rPr>
        <w:t>cot-Marie-Tooth disease. J Peripher Nerv Syst 25:107–111</w:t>
      </w:r>
    </w:p>
    <w:p>
      <w:pPr>
        <w:spacing w:line="244" w:lineRule="auto" w:before="1"/>
        <w:ind w:left="368" w:right="2" w:hanging="341"/>
        <w:jc w:val="both"/>
        <w:rPr>
          <w:sz w:val="17"/>
        </w:rPr>
      </w:pPr>
      <w:r>
        <w:rPr>
          <w:sz w:val="17"/>
        </w:rPr>
        <w:t>Fadic</w:t>
      </w:r>
      <w:r>
        <w:rPr>
          <w:spacing w:val="-2"/>
          <w:sz w:val="17"/>
        </w:rPr>
        <w:t> </w:t>
      </w:r>
      <w:r>
        <w:rPr>
          <w:sz w:val="17"/>
        </w:rPr>
        <w:t>R,</w:t>
      </w:r>
      <w:r>
        <w:rPr>
          <w:spacing w:val="-2"/>
          <w:sz w:val="17"/>
        </w:rPr>
        <w:t> </w:t>
      </w:r>
      <w:r>
        <w:rPr>
          <w:sz w:val="17"/>
        </w:rPr>
        <w:t>Russell</w:t>
      </w:r>
      <w:r>
        <w:rPr>
          <w:spacing w:val="-2"/>
          <w:sz w:val="17"/>
        </w:rPr>
        <w:t> </w:t>
      </w:r>
      <w:r>
        <w:rPr>
          <w:sz w:val="17"/>
        </w:rPr>
        <w:t>JA,</w:t>
      </w:r>
      <w:r>
        <w:rPr>
          <w:spacing w:val="-2"/>
          <w:sz w:val="17"/>
        </w:rPr>
        <w:t> </w:t>
      </w:r>
      <w:r>
        <w:rPr>
          <w:sz w:val="17"/>
        </w:rPr>
        <w:t>Vedanarayanan</w:t>
      </w:r>
      <w:r>
        <w:rPr>
          <w:spacing w:val="-2"/>
          <w:sz w:val="17"/>
        </w:rPr>
        <w:t> </w:t>
      </w:r>
      <w:r>
        <w:rPr>
          <w:sz w:val="17"/>
        </w:rPr>
        <w:t>VV,</w:t>
      </w:r>
      <w:r>
        <w:rPr>
          <w:spacing w:val="-2"/>
          <w:sz w:val="17"/>
        </w:rPr>
        <w:t> </w:t>
      </w:r>
      <w:r>
        <w:rPr>
          <w:sz w:val="17"/>
        </w:rPr>
        <w:t>Lehar</w:t>
      </w:r>
      <w:r>
        <w:rPr>
          <w:spacing w:val="-2"/>
          <w:sz w:val="17"/>
        </w:rPr>
        <w:t> </w:t>
      </w:r>
      <w:r>
        <w:rPr>
          <w:sz w:val="17"/>
        </w:rPr>
        <w:t>M,</w:t>
      </w:r>
      <w:r>
        <w:rPr>
          <w:spacing w:val="-2"/>
          <w:sz w:val="17"/>
        </w:rPr>
        <w:t> </w:t>
      </w:r>
      <w:r>
        <w:rPr>
          <w:sz w:val="17"/>
        </w:rPr>
        <w:t>Kuncl</w:t>
      </w:r>
      <w:r>
        <w:rPr>
          <w:spacing w:val="-2"/>
          <w:sz w:val="17"/>
        </w:rPr>
        <w:t> </w:t>
      </w:r>
      <w:r>
        <w:rPr>
          <w:sz w:val="17"/>
        </w:rPr>
        <w:t>RW,</w:t>
      </w:r>
      <w:r>
        <w:rPr>
          <w:spacing w:val="-2"/>
          <w:sz w:val="17"/>
        </w:rPr>
        <w:t> </w:t>
      </w:r>
      <w:r>
        <w:rPr>
          <w:sz w:val="17"/>
        </w:rPr>
        <w:t>Johns DR</w:t>
      </w:r>
      <w:r>
        <w:rPr>
          <w:spacing w:val="-9"/>
          <w:sz w:val="17"/>
        </w:rPr>
        <w:t> </w:t>
      </w:r>
      <w:r>
        <w:rPr>
          <w:sz w:val="17"/>
        </w:rPr>
        <w:t>(1997)</w:t>
      </w:r>
      <w:r>
        <w:rPr>
          <w:spacing w:val="-9"/>
          <w:sz w:val="17"/>
        </w:rPr>
        <w:t> </w:t>
      </w:r>
      <w:r>
        <w:rPr>
          <w:sz w:val="17"/>
        </w:rPr>
        <w:t>Sensory</w:t>
      </w:r>
      <w:r>
        <w:rPr>
          <w:spacing w:val="-9"/>
          <w:sz w:val="17"/>
        </w:rPr>
        <w:t> </w:t>
      </w:r>
      <w:r>
        <w:rPr>
          <w:sz w:val="17"/>
        </w:rPr>
        <w:t>ataxic</w:t>
      </w:r>
      <w:r>
        <w:rPr>
          <w:spacing w:val="-9"/>
          <w:sz w:val="17"/>
        </w:rPr>
        <w:t> </w:t>
      </w:r>
      <w:r>
        <w:rPr>
          <w:sz w:val="17"/>
        </w:rPr>
        <w:t>neuropathy</w:t>
      </w:r>
      <w:r>
        <w:rPr>
          <w:spacing w:val="-9"/>
          <w:sz w:val="17"/>
        </w:rPr>
        <w:t> </w:t>
      </w:r>
      <w:r>
        <w:rPr>
          <w:sz w:val="17"/>
        </w:rPr>
        <w:t>as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presenting</w:t>
      </w:r>
      <w:r>
        <w:rPr>
          <w:spacing w:val="-9"/>
          <w:sz w:val="17"/>
        </w:rPr>
        <w:t> </w:t>
      </w:r>
      <w:r>
        <w:rPr>
          <w:sz w:val="17"/>
        </w:rPr>
        <w:t>feature</w:t>
      </w:r>
      <w:r>
        <w:rPr>
          <w:spacing w:val="-9"/>
          <w:sz w:val="17"/>
        </w:rPr>
        <w:t> </w:t>
      </w:r>
      <w:r>
        <w:rPr>
          <w:sz w:val="17"/>
        </w:rPr>
        <w:t>of </w:t>
      </w:r>
      <w:bookmarkStart w:name="_bookmark9" w:id="24"/>
      <w:bookmarkEnd w:id="24"/>
      <w:r>
        <w:rPr>
          <w:sz w:val="17"/>
        </w:rPr>
        <w:t>a</w:t>
      </w:r>
      <w:r>
        <w:rPr>
          <w:sz w:val="17"/>
        </w:rPr>
        <w:t> novel mitochondrial disease. Neurology 49:239–245</w:t>
      </w:r>
    </w:p>
    <w:p>
      <w:pPr>
        <w:spacing w:line="244" w:lineRule="auto" w:before="2"/>
        <w:ind w:left="368" w:right="3" w:hanging="341"/>
        <w:jc w:val="both"/>
        <w:rPr>
          <w:sz w:val="17"/>
        </w:rPr>
      </w:pPr>
      <w:r>
        <w:rPr>
          <w:sz w:val="17"/>
        </w:rPr>
        <w:t>Gati I, Danielsson O, Jonasson J, Landtblom AM (2011) Sensory </w:t>
      </w:r>
      <w:r>
        <w:rPr>
          <w:spacing w:val="-2"/>
          <w:sz w:val="17"/>
        </w:rPr>
        <w:t>ataxic neuropathy with dysarthria/dysphagia and ophthalmoplegia </w:t>
      </w:r>
      <w:bookmarkStart w:name="_bookmark10" w:id="25"/>
      <w:bookmarkEnd w:id="25"/>
      <w:r>
        <w:rPr>
          <w:sz w:val="17"/>
        </w:rPr>
        <w:t>(</w:t>
      </w:r>
      <w:r>
        <w:rPr>
          <w:sz w:val="17"/>
        </w:rPr>
        <w:t>SANDO). Two case reports Acta Myol 30:188–190</w:t>
      </w:r>
    </w:p>
    <w:p>
      <w:pPr>
        <w:spacing w:line="244" w:lineRule="auto" w:before="2"/>
        <w:ind w:left="28" w:right="1" w:firstLine="0"/>
        <w:jc w:val="right"/>
        <w:rPr>
          <w:sz w:val="17"/>
        </w:rPr>
      </w:pPr>
      <w:r>
        <w:rPr>
          <w:sz w:val="17"/>
        </w:rPr>
        <w:t>Gebus O, Fleury M, Chanson JB, Anheim M, Tranchant C, </w:t>
      </w:r>
      <w:r>
        <w:rPr>
          <w:sz w:val="17"/>
        </w:rPr>
        <w:t>Echaniz- Laguna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(2018)</w:t>
      </w:r>
      <w:r>
        <w:rPr>
          <w:spacing w:val="40"/>
          <w:sz w:val="17"/>
        </w:rPr>
        <w:t> </w:t>
      </w:r>
      <w:r>
        <w:rPr>
          <w:sz w:val="17"/>
        </w:rPr>
        <w:t>Mitochondrial</w:t>
      </w:r>
      <w:r>
        <w:rPr>
          <w:spacing w:val="40"/>
          <w:sz w:val="17"/>
        </w:rPr>
        <w:t> </w:t>
      </w:r>
      <w:r>
        <w:rPr>
          <w:sz w:val="17"/>
        </w:rPr>
        <w:t>disease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amyloidosis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 </w:t>
      </w:r>
      <w:bookmarkStart w:name="_bookmark12" w:id="26"/>
      <w:bookmarkEnd w:id="26"/>
      <w:r>
        <w:rPr>
          <w:sz w:val="17"/>
        </w:rPr>
        <w:t>patient</w:t>
      </w:r>
      <w:r>
        <w:rPr>
          <w:sz w:val="17"/>
        </w:rPr>
        <w:t> with familial polyneuropathy. Eur J Neurol 25:e118–e119 Habek</w:t>
      </w:r>
      <w:r>
        <w:rPr>
          <w:spacing w:val="27"/>
          <w:sz w:val="17"/>
        </w:rPr>
        <w:t> </w:t>
      </w:r>
      <w:r>
        <w:rPr>
          <w:sz w:val="17"/>
        </w:rPr>
        <w:t>M,</w:t>
      </w:r>
      <w:r>
        <w:rPr>
          <w:spacing w:val="27"/>
          <w:sz w:val="17"/>
        </w:rPr>
        <w:t> </w:t>
      </w:r>
      <w:r>
        <w:rPr>
          <w:sz w:val="17"/>
        </w:rPr>
        <w:t>Barun</w:t>
      </w:r>
      <w:r>
        <w:rPr>
          <w:spacing w:val="27"/>
          <w:sz w:val="17"/>
        </w:rPr>
        <w:t> </w:t>
      </w:r>
      <w:r>
        <w:rPr>
          <w:sz w:val="17"/>
        </w:rPr>
        <w:t>B,</w:t>
      </w:r>
      <w:r>
        <w:rPr>
          <w:spacing w:val="27"/>
          <w:sz w:val="17"/>
        </w:rPr>
        <w:t> </w:t>
      </w:r>
      <w:r>
        <w:rPr>
          <w:sz w:val="17"/>
        </w:rPr>
        <w:t>Adamec</w:t>
      </w:r>
      <w:r>
        <w:rPr>
          <w:spacing w:val="27"/>
          <w:sz w:val="17"/>
        </w:rPr>
        <w:t> </w:t>
      </w:r>
      <w:r>
        <w:rPr>
          <w:sz w:val="17"/>
        </w:rPr>
        <w:t>I,</w:t>
      </w:r>
      <w:r>
        <w:rPr>
          <w:spacing w:val="27"/>
          <w:sz w:val="17"/>
        </w:rPr>
        <w:t> </w:t>
      </w:r>
      <w:r>
        <w:rPr>
          <w:sz w:val="17"/>
        </w:rPr>
        <w:t>Mitrovic</w:t>
      </w:r>
      <w:r>
        <w:rPr>
          <w:spacing w:val="27"/>
          <w:sz w:val="17"/>
        </w:rPr>
        <w:t> </w:t>
      </w:r>
      <w:r>
        <w:rPr>
          <w:sz w:val="17"/>
        </w:rPr>
        <w:t>Z,</w:t>
      </w:r>
      <w:r>
        <w:rPr>
          <w:spacing w:val="27"/>
          <w:sz w:val="17"/>
        </w:rPr>
        <w:t> </w:t>
      </w:r>
      <w:r>
        <w:rPr>
          <w:sz w:val="17"/>
        </w:rPr>
        <w:t>Ozretic</w:t>
      </w:r>
      <w:r>
        <w:rPr>
          <w:spacing w:val="27"/>
          <w:sz w:val="17"/>
        </w:rPr>
        <w:t> </w:t>
      </w:r>
      <w:r>
        <w:rPr>
          <w:sz w:val="17"/>
        </w:rPr>
        <w:t>D,</w:t>
      </w:r>
      <w:r>
        <w:rPr>
          <w:spacing w:val="27"/>
          <w:sz w:val="17"/>
        </w:rPr>
        <w:t> </w:t>
      </w:r>
      <w:r>
        <w:rPr>
          <w:sz w:val="17"/>
        </w:rPr>
        <w:t>Brinar</w:t>
      </w:r>
      <w:r>
        <w:rPr>
          <w:spacing w:val="27"/>
          <w:sz w:val="17"/>
        </w:rPr>
        <w:t> </w:t>
      </w:r>
      <w:r>
        <w:rPr>
          <w:sz w:val="17"/>
        </w:rPr>
        <w:t>VV (2012) Early-onset ataxia with progressive external ophthalmo-</w:t>
      </w:r>
      <w:r>
        <w:rPr>
          <w:spacing w:val="40"/>
          <w:sz w:val="17"/>
        </w:rPr>
        <w:t> </w:t>
      </w:r>
      <w:r>
        <w:rPr>
          <w:sz w:val="17"/>
        </w:rPr>
        <w:t>plegia associated with POLG mutation: autosomal recessive mito- </w:t>
      </w:r>
      <w:bookmarkStart w:name="_bookmark11" w:id="27"/>
      <w:bookmarkEnd w:id="27"/>
      <w:r>
        <w:rPr>
          <w:sz w:val="17"/>
        </w:rPr>
        <w:t>c</w:t>
      </w:r>
      <w:r>
        <w:rPr>
          <w:sz w:val="17"/>
        </w:rPr>
        <w:t>hondrial ataxic syndrome or SANDO? Neurologist 18:287–289 </w:t>
      </w:r>
      <w:r>
        <w:rPr>
          <w:spacing w:val="-2"/>
          <w:sz w:val="17"/>
        </w:rPr>
        <w:t>Hanisch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Kornhuber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Alston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CL,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Taylor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RW,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Deschauer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Zierz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 </w:t>
      </w:r>
      <w:r>
        <w:rPr>
          <w:sz w:val="17"/>
        </w:rPr>
        <w:t>(2015) SANDO syndrome in a cohort of 107 patients with CPEO</w:t>
      </w:r>
    </w:p>
    <w:p>
      <w:pPr>
        <w:spacing w:line="244" w:lineRule="auto" w:before="4"/>
        <w:ind w:left="368" w:right="0" w:firstLine="0"/>
        <w:jc w:val="left"/>
        <w:rPr>
          <w:sz w:val="17"/>
        </w:rPr>
      </w:pPr>
      <w:r>
        <w:rPr>
          <w:spacing w:val="-2"/>
          <w:sz w:val="17"/>
        </w:rPr>
        <w:t>and mitochondrial DNA deletions. J Neurol Neurosurg Psychiatry 86:630–634</w:t>
      </w:r>
    </w:p>
    <w:p>
      <w:pPr>
        <w:spacing w:line="244" w:lineRule="auto" w:before="87"/>
        <w:ind w:left="368" w:right="26" w:hanging="341"/>
        <w:jc w:val="both"/>
        <w:rPr>
          <w:sz w:val="17"/>
        </w:rPr>
      </w:pPr>
      <w:r>
        <w:rPr/>
        <w:br w:type="column"/>
      </w:r>
      <w:bookmarkStart w:name="_bookmark14" w:id="28"/>
      <w:bookmarkEnd w:id="28"/>
      <w:r>
        <w:rPr/>
      </w:r>
      <w:r>
        <w:rPr>
          <w:sz w:val="17"/>
        </w:rPr>
        <w:t>Henao AI, Pira S, Herrera DA, Vargas SA, Montoya J, Castillo M (2016) Characteristic brain MRI findings in ataxia-neuropathy </w:t>
      </w:r>
      <w:bookmarkStart w:name="_bookmark13" w:id="29"/>
      <w:bookmarkEnd w:id="29"/>
      <w:r>
        <w:rPr>
          <w:sz w:val="17"/>
        </w:rPr>
        <w:t>spect</w:t>
      </w:r>
      <w:r>
        <w:rPr>
          <w:sz w:val="17"/>
        </w:rPr>
        <w:t>rum related to POLG mutation. Neuroradiol J 29:46–48</w:t>
      </w:r>
    </w:p>
    <w:p>
      <w:pPr>
        <w:spacing w:line="244" w:lineRule="auto" w:before="2"/>
        <w:ind w:left="368" w:right="26" w:hanging="341"/>
        <w:jc w:val="both"/>
        <w:rPr>
          <w:sz w:val="17"/>
        </w:rPr>
      </w:pPr>
      <w:r>
        <w:rPr>
          <w:sz w:val="17"/>
        </w:rPr>
        <w:t>Horvath R, Hudson G, Ferrari G et al (2006) Phenotypic spectrum associated with mutations of the mitochondrial polymerase </w:t>
      </w:r>
      <w:bookmarkStart w:name="_bookmark15" w:id="30"/>
      <w:bookmarkEnd w:id="30"/>
      <w:r>
        <w:rPr>
          <w:sz w:val="17"/>
        </w:rPr>
        <w:t>g</w:t>
      </w:r>
      <w:r>
        <w:rPr>
          <w:sz w:val="17"/>
        </w:rPr>
        <w:t>amma gene. Brain 129:1674–1684</w:t>
      </w:r>
    </w:p>
    <w:p>
      <w:pPr>
        <w:spacing w:line="244" w:lineRule="auto" w:before="1"/>
        <w:ind w:left="368" w:right="22" w:hanging="341"/>
        <w:jc w:val="both"/>
        <w:rPr>
          <w:sz w:val="17"/>
        </w:rPr>
      </w:pPr>
      <w:r>
        <w:rPr>
          <w:spacing w:val="-2"/>
          <w:sz w:val="17"/>
        </w:rPr>
        <w:t>Hou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Yue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GL,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Shuyan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Jing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L,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Qingqing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W,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Wei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Z,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Yun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Y,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Zhaoxia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W </w:t>
      </w:r>
      <w:r>
        <w:rPr>
          <w:sz w:val="17"/>
        </w:rPr>
        <w:t>(2018)</w:t>
      </w:r>
      <w:r>
        <w:rPr>
          <w:spacing w:val="-3"/>
          <w:sz w:val="17"/>
        </w:rPr>
        <w:t> </w:t>
      </w:r>
      <w:r>
        <w:rPr>
          <w:sz w:val="17"/>
        </w:rPr>
        <w:t>Five</w:t>
      </w:r>
      <w:r>
        <w:rPr>
          <w:spacing w:val="-2"/>
          <w:sz w:val="17"/>
        </w:rPr>
        <w:t> </w:t>
      </w:r>
      <w:r>
        <w:rPr>
          <w:sz w:val="17"/>
        </w:rPr>
        <w:t>Chinese</w:t>
      </w:r>
      <w:r>
        <w:rPr>
          <w:spacing w:val="-2"/>
          <w:sz w:val="17"/>
        </w:rPr>
        <w:t> </w:t>
      </w:r>
      <w:r>
        <w:rPr>
          <w:sz w:val="17"/>
        </w:rPr>
        <w:t>patients</w:t>
      </w:r>
      <w:r>
        <w:rPr>
          <w:spacing w:val="-2"/>
          <w:sz w:val="17"/>
        </w:rPr>
        <w:t> </w:t>
      </w:r>
      <w:r>
        <w:rPr>
          <w:sz w:val="17"/>
        </w:rPr>
        <w:t>with</w:t>
      </w:r>
      <w:r>
        <w:rPr>
          <w:spacing w:val="-2"/>
          <w:sz w:val="17"/>
        </w:rPr>
        <w:t> </w:t>
      </w:r>
      <w:r>
        <w:rPr>
          <w:sz w:val="17"/>
        </w:rPr>
        <w:t>mitochondrial</w:t>
      </w:r>
      <w:r>
        <w:rPr>
          <w:spacing w:val="-2"/>
          <w:sz w:val="17"/>
        </w:rPr>
        <w:t> </w:t>
      </w:r>
      <w:r>
        <w:rPr>
          <w:sz w:val="17"/>
        </w:rPr>
        <w:t>diseases</w:t>
      </w:r>
      <w:r>
        <w:rPr>
          <w:spacing w:val="-2"/>
          <w:sz w:val="17"/>
        </w:rPr>
        <w:t> </w:t>
      </w:r>
      <w:r>
        <w:rPr>
          <w:sz w:val="17"/>
        </w:rPr>
        <w:t>caused </w:t>
      </w:r>
      <w:bookmarkStart w:name="_bookmark16" w:id="31"/>
      <w:bookmarkEnd w:id="31"/>
      <w:r>
        <w:rPr>
          <w:sz w:val="17"/>
        </w:rPr>
        <w:t>b</w:t>
      </w:r>
      <w:r>
        <w:rPr>
          <w:sz w:val="17"/>
        </w:rPr>
        <w:t>y POLG gene mutations. Chin J Neurol 51:942–948</w:t>
      </w:r>
    </w:p>
    <w:p>
      <w:pPr>
        <w:spacing w:line="244" w:lineRule="auto" w:before="2"/>
        <w:ind w:left="368" w:right="26" w:hanging="341"/>
        <w:jc w:val="both"/>
        <w:rPr>
          <w:sz w:val="17"/>
        </w:rPr>
      </w:pPr>
      <w:r>
        <w:rPr>
          <w:spacing w:val="-2"/>
          <w:sz w:val="17"/>
        </w:rPr>
        <w:t>Kurt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Jaeken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J,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Van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Hove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(2010)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novel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POLG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gene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mutation </w:t>
      </w:r>
      <w:r>
        <w:rPr>
          <w:sz w:val="17"/>
        </w:rPr>
        <w:t>in 4 children with Alpers-like hepatocerebral syndromes. Arch </w:t>
      </w:r>
      <w:bookmarkStart w:name="_bookmark17" w:id="32"/>
      <w:bookmarkEnd w:id="32"/>
      <w:r>
        <w:rPr>
          <w:sz w:val="17"/>
        </w:rPr>
        <w:t>N</w:t>
      </w:r>
      <w:r>
        <w:rPr>
          <w:sz w:val="17"/>
        </w:rPr>
        <w:t>eurol 67:239–244</w:t>
      </w:r>
    </w:p>
    <w:p>
      <w:pPr>
        <w:spacing w:line="244" w:lineRule="auto" w:before="2"/>
        <w:ind w:left="368" w:right="25" w:hanging="341"/>
        <w:jc w:val="both"/>
        <w:rPr>
          <w:sz w:val="17"/>
        </w:rPr>
      </w:pPr>
      <w:r>
        <w:rPr>
          <w:sz w:val="17"/>
        </w:rPr>
        <w:t>Lovan</w:t>
      </w:r>
      <w:r>
        <w:rPr>
          <w:spacing w:val="-3"/>
          <w:sz w:val="17"/>
        </w:rPr>
        <w:t> </w:t>
      </w:r>
      <w:r>
        <w:rPr>
          <w:sz w:val="17"/>
        </w:rPr>
        <w:t>A,</w:t>
      </w:r>
      <w:r>
        <w:rPr>
          <w:spacing w:val="-3"/>
          <w:sz w:val="17"/>
        </w:rPr>
        <w:t> </w:t>
      </w:r>
      <w:r>
        <w:rPr>
          <w:sz w:val="17"/>
        </w:rPr>
        <w:t>Ihtsham</w:t>
      </w:r>
      <w:r>
        <w:rPr>
          <w:spacing w:val="-3"/>
          <w:sz w:val="17"/>
        </w:rPr>
        <w:t> </w:t>
      </w:r>
      <w:r>
        <w:rPr>
          <w:sz w:val="17"/>
        </w:rPr>
        <w:t>ul</w:t>
      </w:r>
      <w:r>
        <w:rPr>
          <w:spacing w:val="-3"/>
          <w:sz w:val="17"/>
        </w:rPr>
        <w:t> </w:t>
      </w:r>
      <w:r>
        <w:rPr>
          <w:sz w:val="17"/>
        </w:rPr>
        <w:t>H,</w:t>
      </w:r>
      <w:r>
        <w:rPr>
          <w:spacing w:val="-3"/>
          <w:sz w:val="17"/>
        </w:rPr>
        <w:t> </w:t>
      </w:r>
      <w:r>
        <w:rPr>
          <w:sz w:val="17"/>
        </w:rPr>
        <w:t>Balakrishnan</w:t>
      </w:r>
      <w:r>
        <w:rPr>
          <w:spacing w:val="-3"/>
          <w:sz w:val="17"/>
        </w:rPr>
        <w:t> </w:t>
      </w:r>
      <w:r>
        <w:rPr>
          <w:sz w:val="17"/>
        </w:rPr>
        <w:t>N</w:t>
      </w:r>
      <w:r>
        <w:rPr>
          <w:spacing w:val="-3"/>
          <w:sz w:val="17"/>
        </w:rPr>
        <w:t> </w:t>
      </w:r>
      <w:r>
        <w:rPr>
          <w:sz w:val="17"/>
        </w:rPr>
        <w:t>(2013)</w:t>
      </w:r>
      <w:r>
        <w:rPr>
          <w:spacing w:val="-3"/>
          <w:sz w:val="17"/>
        </w:rPr>
        <w:t> </w:t>
      </w:r>
      <w:r>
        <w:rPr>
          <w:sz w:val="17"/>
        </w:rPr>
        <w:t>Diagnostic</w:t>
      </w:r>
      <w:r>
        <w:rPr>
          <w:spacing w:val="-3"/>
          <w:sz w:val="17"/>
        </w:rPr>
        <w:t> </w:t>
      </w:r>
      <w:r>
        <w:rPr>
          <w:sz w:val="17"/>
        </w:rPr>
        <w:t>challenges in movement disorders: Sensory Ataxia Neuropathy Dysarthria </w:t>
      </w:r>
      <w:bookmarkStart w:name="_bookmark18" w:id="33"/>
      <w:bookmarkEnd w:id="33"/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Ophthalmoplegia</w:t>
      </w:r>
      <w:r>
        <w:rPr>
          <w:spacing w:val="-3"/>
          <w:sz w:val="17"/>
        </w:rPr>
        <w:t> </w:t>
      </w:r>
      <w:r>
        <w:rPr>
          <w:sz w:val="17"/>
        </w:rPr>
        <w:t>(SANDO)</w:t>
      </w:r>
      <w:r>
        <w:rPr>
          <w:spacing w:val="-3"/>
          <w:sz w:val="17"/>
        </w:rPr>
        <w:t> </w:t>
      </w:r>
      <w:r>
        <w:rPr>
          <w:sz w:val="17"/>
        </w:rPr>
        <w:t>syndrome.</w:t>
      </w:r>
      <w:r>
        <w:rPr>
          <w:spacing w:val="-3"/>
          <w:sz w:val="17"/>
        </w:rPr>
        <w:t> </w:t>
      </w:r>
      <w:r>
        <w:rPr>
          <w:sz w:val="17"/>
        </w:rPr>
        <w:t>BMJ</w:t>
      </w:r>
      <w:r>
        <w:rPr>
          <w:spacing w:val="-3"/>
          <w:sz w:val="17"/>
        </w:rPr>
        <w:t> </w:t>
      </w:r>
      <w:r>
        <w:rPr>
          <w:sz w:val="17"/>
        </w:rPr>
        <w:t>Case</w:t>
      </w:r>
      <w:r>
        <w:rPr>
          <w:spacing w:val="-3"/>
          <w:sz w:val="17"/>
        </w:rPr>
        <w:t> </w:t>
      </w:r>
      <w:r>
        <w:rPr>
          <w:sz w:val="17"/>
        </w:rPr>
        <w:t>Rep</w:t>
      </w:r>
      <w:r>
        <w:rPr>
          <w:spacing w:val="-3"/>
          <w:sz w:val="17"/>
        </w:rPr>
        <w:t> </w:t>
      </w:r>
      <w:r>
        <w:rPr>
          <w:sz w:val="17"/>
        </w:rPr>
        <w:t>2013</w:t>
      </w:r>
    </w:p>
    <w:p>
      <w:pPr>
        <w:spacing w:line="244" w:lineRule="auto" w:before="1"/>
        <w:ind w:left="368" w:right="21" w:hanging="341"/>
        <w:jc w:val="both"/>
        <w:rPr>
          <w:sz w:val="17"/>
        </w:rPr>
      </w:pPr>
      <w:r>
        <w:rPr>
          <w:sz w:val="17"/>
        </w:rPr>
        <w:t>Miguel R, Gago MF, Martins J, Barros P, Vale J, Rosas MJ (2014) POLG1-related levodopa-responsive parkinsonism. Clin Neurol </w:t>
      </w:r>
      <w:bookmarkStart w:name="_bookmark19" w:id="34"/>
      <w:bookmarkEnd w:id="34"/>
      <w:r>
        <w:rPr>
          <w:sz w:val="17"/>
        </w:rPr>
        <w:t>N</w:t>
      </w:r>
      <w:r>
        <w:rPr>
          <w:sz w:val="17"/>
        </w:rPr>
        <w:t>eurosurg 126:47–54</w:t>
      </w:r>
    </w:p>
    <w:p>
      <w:pPr>
        <w:spacing w:line="244" w:lineRule="auto" w:before="2"/>
        <w:ind w:left="368" w:right="20" w:hanging="341"/>
        <w:jc w:val="both"/>
        <w:rPr>
          <w:sz w:val="17"/>
        </w:rPr>
      </w:pPr>
      <w:r>
        <w:rPr>
          <w:sz w:val="17"/>
        </w:rPr>
        <w:t>Milone M, Brunetti-Pierri N, Tang LY et al (2008) Sensory ataxic neuropathy with ophthalmoparesis caused by POLG mutations. </w:t>
      </w:r>
      <w:bookmarkStart w:name="_bookmark20" w:id="35"/>
      <w:bookmarkEnd w:id="35"/>
      <w:r>
        <w:rPr>
          <w:sz w:val="17"/>
        </w:rPr>
        <w:t>N</w:t>
      </w:r>
      <w:r>
        <w:rPr>
          <w:sz w:val="17"/>
        </w:rPr>
        <w:t>euromuscul Disord 18:626–632</w:t>
      </w:r>
    </w:p>
    <w:p>
      <w:pPr>
        <w:spacing w:line="244" w:lineRule="auto" w:before="1"/>
        <w:ind w:left="368" w:right="24" w:hanging="341"/>
        <w:jc w:val="both"/>
        <w:rPr>
          <w:sz w:val="17"/>
        </w:rPr>
      </w:pPr>
      <w:r>
        <w:rPr>
          <w:spacing w:val="-2"/>
          <w:sz w:val="17"/>
        </w:rPr>
        <w:t>Posada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IJ,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Gallardo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ME,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Dominguez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(2010)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Mitochondrial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DNA </w:t>
      </w:r>
      <w:r>
        <w:rPr>
          <w:sz w:val="17"/>
        </w:rPr>
        <w:t>depletion and POLG mutations in a patient with sensory ataxia, </w:t>
      </w:r>
      <w:bookmarkStart w:name="_bookmark21" w:id="36"/>
      <w:bookmarkEnd w:id="36"/>
      <w:r>
        <w:rPr>
          <w:sz w:val="17"/>
        </w:rPr>
        <w:t>d</w:t>
      </w:r>
      <w:r>
        <w:rPr>
          <w:sz w:val="17"/>
        </w:rPr>
        <w:t>ysarthria and ophthalmoplegia. Med Clin (Barc) 135:452–455</w:t>
      </w:r>
    </w:p>
    <w:p>
      <w:pPr>
        <w:spacing w:line="244" w:lineRule="auto" w:before="2"/>
        <w:ind w:left="28" w:right="24" w:firstLine="0"/>
        <w:jc w:val="right"/>
        <w:rPr>
          <w:sz w:val="17"/>
        </w:rPr>
      </w:pPr>
      <w:r>
        <w:rPr>
          <w:sz w:val="17"/>
        </w:rPr>
        <w:t>Rajakulendran</w:t>
      </w:r>
      <w:r>
        <w:rPr>
          <w:spacing w:val="-5"/>
          <w:sz w:val="17"/>
        </w:rPr>
        <w:t> </w:t>
      </w:r>
      <w:r>
        <w:rPr>
          <w:sz w:val="17"/>
        </w:rPr>
        <w:t>S,</w:t>
      </w:r>
      <w:r>
        <w:rPr>
          <w:spacing w:val="-5"/>
          <w:sz w:val="17"/>
        </w:rPr>
        <w:t> </w:t>
      </w:r>
      <w:r>
        <w:rPr>
          <w:sz w:val="17"/>
        </w:rPr>
        <w:t>Pitceathly</w:t>
      </w:r>
      <w:r>
        <w:rPr>
          <w:spacing w:val="-5"/>
          <w:sz w:val="17"/>
        </w:rPr>
        <w:t> </w:t>
      </w:r>
      <w:r>
        <w:rPr>
          <w:sz w:val="17"/>
        </w:rPr>
        <w:t>RD,</w:t>
      </w:r>
      <w:r>
        <w:rPr>
          <w:spacing w:val="-5"/>
          <w:sz w:val="17"/>
        </w:rPr>
        <w:t> </w:t>
      </w:r>
      <w:r>
        <w:rPr>
          <w:sz w:val="17"/>
        </w:rPr>
        <w:t>Taanman</w:t>
      </w:r>
      <w:r>
        <w:rPr>
          <w:spacing w:val="-5"/>
          <w:sz w:val="17"/>
        </w:rPr>
        <w:t> </w:t>
      </w:r>
      <w:r>
        <w:rPr>
          <w:sz w:val="17"/>
        </w:rPr>
        <w:t>JW</w:t>
      </w:r>
      <w:r>
        <w:rPr>
          <w:spacing w:val="-5"/>
          <w:sz w:val="17"/>
        </w:rPr>
        <w:t> </w:t>
      </w:r>
      <w:r>
        <w:rPr>
          <w:sz w:val="17"/>
        </w:rPr>
        <w:t>et</w:t>
      </w:r>
      <w:r>
        <w:rPr>
          <w:spacing w:val="-5"/>
          <w:sz w:val="17"/>
        </w:rPr>
        <w:t> </w:t>
      </w:r>
      <w:r>
        <w:rPr>
          <w:sz w:val="17"/>
        </w:rPr>
        <w:t>al</w:t>
      </w:r>
      <w:r>
        <w:rPr>
          <w:spacing w:val="-5"/>
          <w:sz w:val="17"/>
        </w:rPr>
        <w:t> </w:t>
      </w:r>
      <w:r>
        <w:rPr>
          <w:sz w:val="17"/>
        </w:rPr>
        <w:t>(2016)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Clinical, Neuropathological and Genetic Study of Homozygous A467T</w:t>
      </w:r>
      <w:r>
        <w:rPr>
          <w:spacing w:val="80"/>
          <w:sz w:val="17"/>
        </w:rPr>
        <w:t> </w:t>
      </w:r>
      <w:bookmarkStart w:name="_bookmark22" w:id="37"/>
      <w:bookmarkEnd w:id="37"/>
      <w:r>
        <w:rPr>
          <w:sz w:val="17"/>
        </w:rPr>
        <w:t>POL</w:t>
      </w:r>
      <w:r>
        <w:rPr>
          <w:sz w:val="17"/>
        </w:rPr>
        <w:t>G-Related Mitochondrial Disease. PLoS ONE 11:e0145500 Richter JE, Robles HG, Mauricio E, Mohammad A, Atwal PS, Caul- field</w:t>
      </w:r>
      <w:r>
        <w:rPr>
          <w:spacing w:val="80"/>
          <w:sz w:val="17"/>
        </w:rPr>
        <w:t> </w:t>
      </w:r>
      <w:r>
        <w:rPr>
          <w:sz w:val="17"/>
        </w:rPr>
        <w:t>TR</w:t>
      </w:r>
      <w:r>
        <w:rPr>
          <w:spacing w:val="80"/>
          <w:sz w:val="17"/>
        </w:rPr>
        <w:t> </w:t>
      </w:r>
      <w:r>
        <w:rPr>
          <w:sz w:val="17"/>
        </w:rPr>
        <w:t>(2018)</w:t>
      </w:r>
      <w:r>
        <w:rPr>
          <w:spacing w:val="80"/>
          <w:sz w:val="17"/>
        </w:rPr>
        <w:t> </w:t>
      </w:r>
      <w:r>
        <w:rPr>
          <w:sz w:val="17"/>
        </w:rPr>
        <w:t>Protein</w:t>
      </w:r>
      <w:r>
        <w:rPr>
          <w:spacing w:val="80"/>
          <w:sz w:val="17"/>
        </w:rPr>
        <w:t> </w:t>
      </w:r>
      <w:r>
        <w:rPr>
          <w:sz w:val="17"/>
        </w:rPr>
        <w:t>molecular</w:t>
      </w:r>
      <w:r>
        <w:rPr>
          <w:spacing w:val="80"/>
          <w:sz w:val="17"/>
        </w:rPr>
        <w:t> </w:t>
      </w:r>
      <w:r>
        <w:rPr>
          <w:sz w:val="17"/>
        </w:rPr>
        <w:t>modeling</w:t>
      </w:r>
      <w:r>
        <w:rPr>
          <w:spacing w:val="80"/>
          <w:sz w:val="17"/>
        </w:rPr>
        <w:t> </w:t>
      </w:r>
      <w:r>
        <w:rPr>
          <w:sz w:val="17"/>
        </w:rPr>
        <w:t>shows</w:t>
      </w:r>
      <w:r>
        <w:rPr>
          <w:spacing w:val="80"/>
          <w:sz w:val="17"/>
        </w:rPr>
        <w:t> </w:t>
      </w:r>
      <w:r>
        <w:rPr>
          <w:sz w:val="17"/>
        </w:rPr>
        <w:t>residue T599 is critical to wild-type function of POLG and description</w:t>
      </w:r>
    </w:p>
    <w:p>
      <w:pPr>
        <w:spacing w:line="244" w:lineRule="auto" w:before="3"/>
        <w:ind w:left="368" w:right="27" w:firstLine="0"/>
        <w:jc w:val="both"/>
        <w:rPr>
          <w:sz w:val="17"/>
        </w:rPr>
      </w:pPr>
      <w:r>
        <w:rPr>
          <w:sz w:val="17"/>
        </w:rPr>
        <w:t>of a novel variant associated with the SANDO phenotype. Hum </w:t>
      </w:r>
      <w:bookmarkStart w:name="_bookmark23" w:id="38"/>
      <w:bookmarkEnd w:id="38"/>
      <w:r>
        <w:rPr>
          <w:sz w:val="17"/>
        </w:rPr>
        <w:t>Genome</w:t>
      </w:r>
      <w:r>
        <w:rPr>
          <w:sz w:val="17"/>
        </w:rPr>
        <w:t> Var 5:18016</w:t>
      </w:r>
    </w:p>
    <w:p>
      <w:pPr>
        <w:spacing w:line="244" w:lineRule="auto" w:before="1"/>
        <w:ind w:left="368" w:right="22" w:hanging="341"/>
        <w:jc w:val="both"/>
        <w:rPr>
          <w:sz w:val="17"/>
        </w:rPr>
      </w:pPr>
      <w:r>
        <w:rPr>
          <w:sz w:val="17"/>
        </w:rPr>
        <w:t>Rouzier</w:t>
      </w:r>
      <w:r>
        <w:rPr>
          <w:spacing w:val="-1"/>
          <w:sz w:val="17"/>
        </w:rPr>
        <w:t> </w:t>
      </w:r>
      <w:r>
        <w:rPr>
          <w:sz w:val="17"/>
        </w:rPr>
        <w:t>C,</w:t>
      </w:r>
      <w:r>
        <w:rPr>
          <w:spacing w:val="-1"/>
          <w:sz w:val="17"/>
        </w:rPr>
        <w:t> </w:t>
      </w:r>
      <w:r>
        <w:rPr>
          <w:sz w:val="17"/>
        </w:rPr>
        <w:t>Chaussenot</w:t>
      </w:r>
      <w:r>
        <w:rPr>
          <w:spacing w:val="-1"/>
          <w:sz w:val="17"/>
        </w:rPr>
        <w:t> </w:t>
      </w:r>
      <w:r>
        <w:rPr>
          <w:sz w:val="17"/>
        </w:rPr>
        <w:t>A,</w:t>
      </w:r>
      <w:r>
        <w:rPr>
          <w:spacing w:val="-1"/>
          <w:sz w:val="17"/>
        </w:rPr>
        <w:t> </w:t>
      </w:r>
      <w:r>
        <w:rPr>
          <w:sz w:val="17"/>
        </w:rPr>
        <w:t>Serre</w:t>
      </w:r>
      <w:r>
        <w:rPr>
          <w:spacing w:val="-1"/>
          <w:sz w:val="17"/>
        </w:rPr>
        <w:t> </w:t>
      </w:r>
      <w:r>
        <w:rPr>
          <w:sz w:val="17"/>
        </w:rPr>
        <w:t>V</w:t>
      </w:r>
      <w:r>
        <w:rPr>
          <w:spacing w:val="-1"/>
          <w:sz w:val="17"/>
        </w:rPr>
        <w:t> </w:t>
      </w:r>
      <w:r>
        <w:rPr>
          <w:sz w:val="17"/>
        </w:rPr>
        <w:t>et</w:t>
      </w:r>
      <w:r>
        <w:rPr>
          <w:spacing w:val="-1"/>
          <w:sz w:val="17"/>
        </w:rPr>
        <w:t> </w:t>
      </w:r>
      <w:r>
        <w:rPr>
          <w:sz w:val="17"/>
        </w:rPr>
        <w:t>al</w:t>
      </w:r>
      <w:r>
        <w:rPr>
          <w:spacing w:val="-1"/>
          <w:sz w:val="17"/>
        </w:rPr>
        <w:t> </w:t>
      </w:r>
      <w:r>
        <w:rPr>
          <w:sz w:val="17"/>
        </w:rPr>
        <w:t>(2014)</w:t>
      </w:r>
      <w:r>
        <w:rPr>
          <w:spacing w:val="-1"/>
          <w:sz w:val="17"/>
        </w:rPr>
        <w:t> </w:t>
      </w:r>
      <w:r>
        <w:rPr>
          <w:sz w:val="17"/>
        </w:rPr>
        <w:t>Quantitative</w:t>
      </w:r>
      <w:r>
        <w:rPr>
          <w:spacing w:val="-1"/>
          <w:sz w:val="17"/>
        </w:rPr>
        <w:t> </w:t>
      </w:r>
      <w:r>
        <w:rPr>
          <w:sz w:val="17"/>
        </w:rPr>
        <w:t>multiplex </w:t>
      </w:r>
      <w:r>
        <w:rPr>
          <w:spacing w:val="-2"/>
          <w:sz w:val="17"/>
        </w:rPr>
        <w:t>PCR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short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fluorescent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fragments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detection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large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intra- </w:t>
      </w:r>
      <w:r>
        <w:rPr>
          <w:sz w:val="17"/>
        </w:rPr>
        <w:t>genic</w:t>
      </w:r>
      <w:r>
        <w:rPr>
          <w:spacing w:val="-4"/>
          <w:sz w:val="17"/>
        </w:rPr>
        <w:t> </w:t>
      </w:r>
      <w:r>
        <w:rPr>
          <w:sz w:val="17"/>
        </w:rPr>
        <w:t>POLG</w:t>
      </w:r>
      <w:r>
        <w:rPr>
          <w:spacing w:val="-4"/>
          <w:sz w:val="17"/>
        </w:rPr>
        <w:t> </w:t>
      </w:r>
      <w:r>
        <w:rPr>
          <w:sz w:val="17"/>
        </w:rPr>
        <w:t>rearrangements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large</w:t>
      </w:r>
      <w:r>
        <w:rPr>
          <w:spacing w:val="-4"/>
          <w:sz w:val="17"/>
        </w:rPr>
        <w:t> </w:t>
      </w:r>
      <w:r>
        <w:rPr>
          <w:sz w:val="17"/>
        </w:rPr>
        <w:t>French</w:t>
      </w:r>
      <w:r>
        <w:rPr>
          <w:spacing w:val="-4"/>
          <w:sz w:val="17"/>
        </w:rPr>
        <w:t> </w:t>
      </w:r>
      <w:r>
        <w:rPr>
          <w:sz w:val="17"/>
        </w:rPr>
        <w:t>cohort.</w:t>
      </w:r>
      <w:r>
        <w:rPr>
          <w:spacing w:val="-4"/>
          <w:sz w:val="17"/>
        </w:rPr>
        <w:t> </w:t>
      </w:r>
      <w:r>
        <w:rPr>
          <w:sz w:val="17"/>
        </w:rPr>
        <w:t>Eur</w:t>
      </w:r>
      <w:r>
        <w:rPr>
          <w:spacing w:val="-4"/>
          <w:sz w:val="17"/>
        </w:rPr>
        <w:t> </w:t>
      </w:r>
      <w:r>
        <w:rPr>
          <w:sz w:val="17"/>
        </w:rPr>
        <w:t>J</w:t>
      </w:r>
      <w:r>
        <w:rPr>
          <w:spacing w:val="-4"/>
          <w:sz w:val="17"/>
        </w:rPr>
        <w:t> </w:t>
      </w:r>
      <w:r>
        <w:rPr>
          <w:sz w:val="17"/>
        </w:rPr>
        <w:t>Hum </w:t>
      </w:r>
      <w:bookmarkStart w:name="_bookmark24" w:id="39"/>
      <w:bookmarkEnd w:id="39"/>
      <w:r>
        <w:rPr>
          <w:sz w:val="17"/>
        </w:rPr>
        <w:t>Gen</w:t>
      </w:r>
      <w:r>
        <w:rPr>
          <w:sz w:val="17"/>
        </w:rPr>
        <w:t>et 22:542–550</w:t>
      </w:r>
    </w:p>
    <w:p>
      <w:pPr>
        <w:spacing w:line="244" w:lineRule="auto" w:before="2"/>
        <w:ind w:left="368" w:right="25" w:hanging="341"/>
        <w:jc w:val="both"/>
        <w:rPr>
          <w:sz w:val="17"/>
        </w:rPr>
      </w:pPr>
      <w:r>
        <w:rPr>
          <w:sz w:val="17"/>
        </w:rPr>
        <w:t>Tang</w:t>
      </w:r>
      <w:r>
        <w:rPr>
          <w:spacing w:val="-5"/>
          <w:sz w:val="17"/>
        </w:rPr>
        <w:t> </w:t>
      </w:r>
      <w:r>
        <w:rPr>
          <w:sz w:val="17"/>
        </w:rPr>
        <w:t>S,</w:t>
      </w:r>
      <w:r>
        <w:rPr>
          <w:spacing w:val="-5"/>
          <w:sz w:val="17"/>
        </w:rPr>
        <w:t> </w:t>
      </w:r>
      <w:r>
        <w:rPr>
          <w:sz w:val="17"/>
        </w:rPr>
        <w:t>Wang</w:t>
      </w:r>
      <w:r>
        <w:rPr>
          <w:spacing w:val="-5"/>
          <w:sz w:val="17"/>
        </w:rPr>
        <w:t> </w:t>
      </w:r>
      <w:r>
        <w:rPr>
          <w:sz w:val="17"/>
        </w:rPr>
        <w:t>J,</w:t>
      </w:r>
      <w:r>
        <w:rPr>
          <w:spacing w:val="-5"/>
          <w:sz w:val="17"/>
        </w:rPr>
        <w:t> </w:t>
      </w:r>
      <w:r>
        <w:rPr>
          <w:sz w:val="17"/>
        </w:rPr>
        <w:t>Lee</w:t>
      </w:r>
      <w:r>
        <w:rPr>
          <w:spacing w:val="-5"/>
          <w:sz w:val="17"/>
        </w:rPr>
        <w:t> </w:t>
      </w:r>
      <w:r>
        <w:rPr>
          <w:sz w:val="17"/>
        </w:rPr>
        <w:t>NC</w:t>
      </w:r>
      <w:r>
        <w:rPr>
          <w:spacing w:val="-5"/>
          <w:sz w:val="17"/>
        </w:rPr>
        <w:t> </w:t>
      </w:r>
      <w:r>
        <w:rPr>
          <w:sz w:val="17"/>
        </w:rPr>
        <w:t>et</w:t>
      </w:r>
      <w:r>
        <w:rPr>
          <w:spacing w:val="-5"/>
          <w:sz w:val="17"/>
        </w:rPr>
        <w:t> </w:t>
      </w:r>
      <w:r>
        <w:rPr>
          <w:sz w:val="17"/>
        </w:rPr>
        <w:t>al</w:t>
      </w:r>
      <w:r>
        <w:rPr>
          <w:spacing w:val="-5"/>
          <w:sz w:val="17"/>
        </w:rPr>
        <w:t> </w:t>
      </w:r>
      <w:r>
        <w:rPr>
          <w:sz w:val="17"/>
        </w:rPr>
        <w:t>(2011)</w:t>
      </w:r>
      <w:r>
        <w:rPr>
          <w:spacing w:val="-5"/>
          <w:sz w:val="17"/>
        </w:rPr>
        <w:t> </w:t>
      </w:r>
      <w:r>
        <w:rPr>
          <w:sz w:val="17"/>
        </w:rPr>
        <w:t>Mitochondrial</w:t>
      </w:r>
      <w:r>
        <w:rPr>
          <w:spacing w:val="-5"/>
          <w:sz w:val="17"/>
        </w:rPr>
        <w:t> </w:t>
      </w:r>
      <w:r>
        <w:rPr>
          <w:sz w:val="17"/>
        </w:rPr>
        <w:t>DNA</w:t>
      </w:r>
      <w:r>
        <w:rPr>
          <w:spacing w:val="-5"/>
          <w:sz w:val="17"/>
        </w:rPr>
        <w:t> </w:t>
      </w:r>
      <w:r>
        <w:rPr>
          <w:sz w:val="17"/>
        </w:rPr>
        <w:t>polymerase gamma</w:t>
      </w:r>
      <w:r>
        <w:rPr>
          <w:spacing w:val="-11"/>
          <w:sz w:val="17"/>
        </w:rPr>
        <w:t> </w:t>
      </w:r>
      <w:r>
        <w:rPr>
          <w:sz w:val="17"/>
        </w:rPr>
        <w:t>mutations:</w:t>
      </w:r>
      <w:r>
        <w:rPr>
          <w:spacing w:val="-11"/>
          <w:sz w:val="17"/>
        </w:rPr>
        <w:t> </w:t>
      </w:r>
      <w:r>
        <w:rPr>
          <w:sz w:val="17"/>
        </w:rPr>
        <w:t>an</w:t>
      </w:r>
      <w:r>
        <w:rPr>
          <w:spacing w:val="-10"/>
          <w:sz w:val="17"/>
        </w:rPr>
        <w:t> </w:t>
      </w:r>
      <w:r>
        <w:rPr>
          <w:sz w:val="17"/>
        </w:rPr>
        <w:t>ever</w:t>
      </w:r>
      <w:r>
        <w:rPr>
          <w:spacing w:val="-11"/>
          <w:sz w:val="17"/>
        </w:rPr>
        <w:t> </w:t>
      </w:r>
      <w:r>
        <w:rPr>
          <w:sz w:val="17"/>
        </w:rPr>
        <w:t>expanding</w:t>
      </w:r>
      <w:r>
        <w:rPr>
          <w:spacing w:val="-11"/>
          <w:sz w:val="17"/>
        </w:rPr>
        <w:t> </w:t>
      </w:r>
      <w:r>
        <w:rPr>
          <w:sz w:val="17"/>
        </w:rPr>
        <w:t>molecular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clinical</w:t>
      </w:r>
      <w:r>
        <w:rPr>
          <w:spacing w:val="-10"/>
          <w:sz w:val="17"/>
        </w:rPr>
        <w:t> </w:t>
      </w:r>
      <w:r>
        <w:rPr>
          <w:sz w:val="17"/>
        </w:rPr>
        <w:t>spec- </w:t>
      </w:r>
      <w:bookmarkStart w:name="_bookmark25" w:id="40"/>
      <w:bookmarkEnd w:id="40"/>
      <w:r>
        <w:rPr>
          <w:sz w:val="17"/>
        </w:rPr>
        <w:t>t</w:t>
      </w:r>
      <w:r>
        <w:rPr>
          <w:sz w:val="17"/>
        </w:rPr>
        <w:t>rum. J Med Genet 48:669–681</w:t>
      </w:r>
    </w:p>
    <w:p>
      <w:pPr>
        <w:spacing w:line="244" w:lineRule="auto" w:before="2"/>
        <w:ind w:left="368" w:right="26" w:hanging="341"/>
        <w:jc w:val="both"/>
        <w:rPr>
          <w:sz w:val="17"/>
        </w:rPr>
      </w:pPr>
      <w:r>
        <w:rPr>
          <w:sz w:val="17"/>
        </w:rPr>
        <w:t>Van</w:t>
      </w:r>
      <w:r>
        <w:rPr>
          <w:spacing w:val="-11"/>
          <w:sz w:val="17"/>
        </w:rPr>
        <w:t> </w:t>
      </w:r>
      <w:r>
        <w:rPr>
          <w:sz w:val="17"/>
        </w:rPr>
        <w:t>Goethem</w:t>
      </w:r>
      <w:r>
        <w:rPr>
          <w:spacing w:val="-11"/>
          <w:sz w:val="17"/>
        </w:rPr>
        <w:t> </w:t>
      </w:r>
      <w:r>
        <w:rPr>
          <w:sz w:val="17"/>
        </w:rPr>
        <w:t>G,</w:t>
      </w:r>
      <w:r>
        <w:rPr>
          <w:spacing w:val="-10"/>
          <w:sz w:val="17"/>
        </w:rPr>
        <w:t> </w:t>
      </w:r>
      <w:r>
        <w:rPr>
          <w:sz w:val="17"/>
        </w:rPr>
        <w:t>Luoma</w:t>
      </w:r>
      <w:r>
        <w:rPr>
          <w:spacing w:val="-11"/>
          <w:sz w:val="17"/>
        </w:rPr>
        <w:t> </w:t>
      </w:r>
      <w:r>
        <w:rPr>
          <w:sz w:val="17"/>
        </w:rPr>
        <w:t>P,</w:t>
      </w:r>
      <w:r>
        <w:rPr>
          <w:spacing w:val="-11"/>
          <w:sz w:val="17"/>
        </w:rPr>
        <w:t> </w:t>
      </w:r>
      <w:r>
        <w:rPr>
          <w:sz w:val="17"/>
        </w:rPr>
        <w:t>Rantamaki</w:t>
      </w:r>
      <w:r>
        <w:rPr>
          <w:spacing w:val="-10"/>
          <w:sz w:val="17"/>
        </w:rPr>
        <w:t> </w:t>
      </w:r>
      <w:r>
        <w:rPr>
          <w:sz w:val="17"/>
        </w:rPr>
        <w:t>M</w:t>
      </w:r>
      <w:r>
        <w:rPr>
          <w:spacing w:val="-11"/>
          <w:sz w:val="17"/>
        </w:rPr>
        <w:t> </w:t>
      </w:r>
      <w:r>
        <w:rPr>
          <w:sz w:val="17"/>
        </w:rPr>
        <w:t>et</w:t>
      </w:r>
      <w:r>
        <w:rPr>
          <w:spacing w:val="-10"/>
          <w:sz w:val="17"/>
        </w:rPr>
        <w:t> </w:t>
      </w:r>
      <w:r>
        <w:rPr>
          <w:sz w:val="17"/>
        </w:rPr>
        <w:t>al</w:t>
      </w:r>
      <w:r>
        <w:rPr>
          <w:spacing w:val="-11"/>
          <w:sz w:val="17"/>
        </w:rPr>
        <w:t> </w:t>
      </w:r>
      <w:r>
        <w:rPr>
          <w:sz w:val="17"/>
        </w:rPr>
        <w:t>(2004)</w:t>
      </w:r>
      <w:r>
        <w:rPr>
          <w:spacing w:val="-11"/>
          <w:sz w:val="17"/>
        </w:rPr>
        <w:t> </w:t>
      </w:r>
      <w:r>
        <w:rPr>
          <w:sz w:val="17"/>
        </w:rPr>
        <w:t>POLG</w:t>
      </w:r>
      <w:r>
        <w:rPr>
          <w:spacing w:val="-10"/>
          <w:sz w:val="17"/>
        </w:rPr>
        <w:t> </w:t>
      </w:r>
      <w:r>
        <w:rPr>
          <w:sz w:val="17"/>
        </w:rPr>
        <w:t>mutations in</w:t>
      </w:r>
      <w:r>
        <w:rPr>
          <w:spacing w:val="-11"/>
          <w:sz w:val="17"/>
        </w:rPr>
        <w:t> </w:t>
      </w:r>
      <w:r>
        <w:rPr>
          <w:sz w:val="17"/>
        </w:rPr>
        <w:t>neurodegenerative</w:t>
      </w:r>
      <w:r>
        <w:rPr>
          <w:spacing w:val="-11"/>
          <w:sz w:val="17"/>
        </w:rPr>
        <w:t> </w:t>
      </w:r>
      <w:r>
        <w:rPr>
          <w:sz w:val="17"/>
        </w:rPr>
        <w:t>disorders</w:t>
      </w:r>
      <w:r>
        <w:rPr>
          <w:spacing w:val="-10"/>
          <w:sz w:val="17"/>
        </w:rPr>
        <w:t> </w:t>
      </w:r>
      <w:r>
        <w:rPr>
          <w:sz w:val="17"/>
        </w:rPr>
        <w:t>with</w:t>
      </w:r>
      <w:r>
        <w:rPr>
          <w:spacing w:val="-11"/>
          <w:sz w:val="17"/>
        </w:rPr>
        <w:t> </w:t>
      </w:r>
      <w:r>
        <w:rPr>
          <w:sz w:val="17"/>
        </w:rPr>
        <w:t>ataxia</w:t>
      </w:r>
      <w:r>
        <w:rPr>
          <w:spacing w:val="-11"/>
          <w:sz w:val="17"/>
        </w:rPr>
        <w:t> </w:t>
      </w:r>
      <w:r>
        <w:rPr>
          <w:sz w:val="17"/>
        </w:rPr>
        <w:t>but</w:t>
      </w:r>
      <w:r>
        <w:rPr>
          <w:spacing w:val="-10"/>
          <w:sz w:val="17"/>
        </w:rPr>
        <w:t> </w:t>
      </w:r>
      <w:r>
        <w:rPr>
          <w:sz w:val="17"/>
        </w:rPr>
        <w:t>no</w:t>
      </w:r>
      <w:r>
        <w:rPr>
          <w:spacing w:val="-11"/>
          <w:sz w:val="17"/>
        </w:rPr>
        <w:t> </w:t>
      </w:r>
      <w:r>
        <w:rPr>
          <w:sz w:val="17"/>
        </w:rPr>
        <w:t>muscle</w:t>
      </w:r>
      <w:r>
        <w:rPr>
          <w:spacing w:val="-10"/>
          <w:sz w:val="17"/>
        </w:rPr>
        <w:t> </w:t>
      </w:r>
      <w:r>
        <w:rPr>
          <w:sz w:val="17"/>
        </w:rPr>
        <w:t>involve- </w:t>
      </w:r>
      <w:bookmarkStart w:name="_bookmark26" w:id="41"/>
      <w:bookmarkEnd w:id="41"/>
      <w:r>
        <w:rPr>
          <w:sz w:val="17"/>
        </w:rPr>
        <w:t>ment.</w:t>
      </w:r>
      <w:r>
        <w:rPr>
          <w:sz w:val="17"/>
        </w:rPr>
        <w:t> Neurology 63:1251–1257</w:t>
      </w:r>
    </w:p>
    <w:p>
      <w:pPr>
        <w:spacing w:line="244" w:lineRule="auto" w:before="1"/>
        <w:ind w:left="368" w:right="26" w:hanging="341"/>
        <w:jc w:val="both"/>
        <w:rPr>
          <w:sz w:val="17"/>
        </w:rPr>
      </w:pPr>
      <w:r>
        <w:rPr>
          <w:sz w:val="17"/>
        </w:rPr>
        <w:t>Van Goethem G, Martin JJ, Dermaut B et al (2003) Recessive POLG mutations</w:t>
      </w:r>
      <w:r>
        <w:rPr>
          <w:spacing w:val="-7"/>
          <w:sz w:val="17"/>
        </w:rPr>
        <w:t> </w:t>
      </w:r>
      <w:r>
        <w:rPr>
          <w:sz w:val="17"/>
        </w:rPr>
        <w:t>presenting</w:t>
      </w:r>
      <w:r>
        <w:rPr>
          <w:spacing w:val="-7"/>
          <w:sz w:val="17"/>
        </w:rPr>
        <w:t> </w:t>
      </w:r>
      <w:r>
        <w:rPr>
          <w:sz w:val="17"/>
        </w:rPr>
        <w:t>with</w:t>
      </w:r>
      <w:r>
        <w:rPr>
          <w:spacing w:val="-7"/>
          <w:sz w:val="17"/>
        </w:rPr>
        <w:t> </w:t>
      </w:r>
      <w:r>
        <w:rPr>
          <w:sz w:val="17"/>
        </w:rPr>
        <w:t>sensory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ataxic</w:t>
      </w:r>
      <w:r>
        <w:rPr>
          <w:spacing w:val="-7"/>
          <w:sz w:val="17"/>
        </w:rPr>
        <w:t> </w:t>
      </w:r>
      <w:r>
        <w:rPr>
          <w:sz w:val="17"/>
        </w:rPr>
        <w:t>neuropathy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com- </w:t>
      </w:r>
      <w:r>
        <w:rPr>
          <w:spacing w:val="-2"/>
          <w:sz w:val="17"/>
        </w:rPr>
        <w:t>pound heterozygote patients with progressive external ophthalmo- </w:t>
      </w:r>
      <w:bookmarkStart w:name="_bookmark27" w:id="42"/>
      <w:bookmarkEnd w:id="42"/>
      <w:r>
        <w:rPr>
          <w:sz w:val="17"/>
        </w:rPr>
        <w:t>plegia.</w:t>
      </w:r>
      <w:r>
        <w:rPr>
          <w:sz w:val="17"/>
        </w:rPr>
        <w:t> Neuromuscul Disord 13:133–142</w:t>
      </w:r>
    </w:p>
    <w:p>
      <w:pPr>
        <w:spacing w:line="244" w:lineRule="auto" w:before="2"/>
        <w:ind w:left="368" w:right="26" w:hanging="341"/>
        <w:jc w:val="both"/>
        <w:rPr>
          <w:sz w:val="17"/>
        </w:rPr>
      </w:pPr>
      <w:r>
        <w:rPr>
          <w:sz w:val="17"/>
        </w:rPr>
        <w:t>Weiss MD, Saneto RP (2010) Sensory ataxic neuropathy with dysar- </w:t>
      </w:r>
      <w:r>
        <w:rPr>
          <w:spacing w:val="-2"/>
          <w:sz w:val="17"/>
        </w:rPr>
        <w:t>thria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ophthalmoparesis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(SANDO)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late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life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due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compound </w:t>
      </w:r>
      <w:bookmarkStart w:name="_bookmark28" w:id="43"/>
      <w:bookmarkEnd w:id="43"/>
      <w:r>
        <w:rPr>
          <w:sz w:val="17"/>
        </w:rPr>
        <w:t>h</w:t>
      </w:r>
      <w:r>
        <w:rPr>
          <w:sz w:val="17"/>
        </w:rPr>
        <w:t>eterozygous POLG mutations. Muscle Nerve 41:882–885</w:t>
      </w:r>
    </w:p>
    <w:p>
      <w:pPr>
        <w:spacing w:line="244" w:lineRule="auto" w:before="2"/>
        <w:ind w:left="368" w:right="19" w:hanging="341"/>
        <w:jc w:val="both"/>
        <w:rPr>
          <w:sz w:val="17"/>
        </w:rPr>
      </w:pPr>
      <w:r>
        <w:rPr>
          <w:sz w:val="17"/>
        </w:rPr>
        <w:t>Winterthun</w:t>
      </w:r>
      <w:r>
        <w:rPr>
          <w:spacing w:val="-1"/>
          <w:sz w:val="17"/>
        </w:rPr>
        <w:t> </w:t>
      </w:r>
      <w:r>
        <w:rPr>
          <w:sz w:val="17"/>
        </w:rPr>
        <w:t>S,</w:t>
      </w:r>
      <w:r>
        <w:rPr>
          <w:spacing w:val="-1"/>
          <w:sz w:val="17"/>
        </w:rPr>
        <w:t> </w:t>
      </w:r>
      <w:r>
        <w:rPr>
          <w:sz w:val="17"/>
        </w:rPr>
        <w:t>Ferrari</w:t>
      </w:r>
      <w:r>
        <w:rPr>
          <w:spacing w:val="-1"/>
          <w:sz w:val="17"/>
        </w:rPr>
        <w:t> </w:t>
      </w:r>
      <w:r>
        <w:rPr>
          <w:sz w:val="17"/>
        </w:rPr>
        <w:t>G,</w:t>
      </w:r>
      <w:r>
        <w:rPr>
          <w:spacing w:val="-1"/>
          <w:sz w:val="17"/>
        </w:rPr>
        <w:t> </w:t>
      </w:r>
      <w:r>
        <w:rPr>
          <w:sz w:val="17"/>
        </w:rPr>
        <w:t>He</w:t>
      </w:r>
      <w:r>
        <w:rPr>
          <w:spacing w:val="-1"/>
          <w:sz w:val="17"/>
        </w:rPr>
        <w:t> </w:t>
      </w:r>
      <w:r>
        <w:rPr>
          <w:sz w:val="17"/>
        </w:rPr>
        <w:t>L</w:t>
      </w:r>
      <w:r>
        <w:rPr>
          <w:spacing w:val="-1"/>
          <w:sz w:val="17"/>
        </w:rPr>
        <w:t> </w:t>
      </w:r>
      <w:r>
        <w:rPr>
          <w:sz w:val="17"/>
        </w:rPr>
        <w:t>et al</w:t>
      </w:r>
      <w:r>
        <w:rPr>
          <w:spacing w:val="-1"/>
          <w:sz w:val="17"/>
        </w:rPr>
        <w:t> </w:t>
      </w:r>
      <w:r>
        <w:rPr>
          <w:sz w:val="17"/>
        </w:rPr>
        <w:t>(2005)</w:t>
      </w:r>
      <w:r>
        <w:rPr>
          <w:spacing w:val="-1"/>
          <w:sz w:val="17"/>
        </w:rPr>
        <w:t> </w:t>
      </w:r>
      <w:r>
        <w:rPr>
          <w:sz w:val="17"/>
        </w:rPr>
        <w:t>Autosomal</w:t>
      </w:r>
      <w:r>
        <w:rPr>
          <w:spacing w:val="-1"/>
          <w:sz w:val="17"/>
        </w:rPr>
        <w:t> </w:t>
      </w:r>
      <w:r>
        <w:rPr>
          <w:sz w:val="17"/>
        </w:rPr>
        <w:t>recessive</w:t>
      </w:r>
      <w:r>
        <w:rPr>
          <w:spacing w:val="-1"/>
          <w:sz w:val="17"/>
        </w:rPr>
        <w:t> </w:t>
      </w:r>
      <w:r>
        <w:rPr>
          <w:sz w:val="17"/>
        </w:rPr>
        <w:t>mito- chondrial ataxic syndrome due to mitochondrial polymerase gamma mutations. Neurology 64:1204–1208</w:t>
      </w:r>
    </w:p>
    <w:p>
      <w:pPr>
        <w:pStyle w:val="BodyText"/>
        <w:spacing w:before="17"/>
        <w:rPr>
          <w:sz w:val="17"/>
        </w:rPr>
      </w:pPr>
    </w:p>
    <w:p>
      <w:pPr>
        <w:spacing w:line="244" w:lineRule="auto" w:before="0"/>
        <w:ind w:left="28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Publisher’s</w:t>
      </w:r>
      <w:r>
        <w:rPr>
          <w:rFonts w:ascii="Arial" w:hAnsi="Arial"/>
          <w:b/>
          <w:spacing w:val="4"/>
          <w:sz w:val="17"/>
        </w:rPr>
        <w:t> </w:t>
      </w:r>
      <w:r>
        <w:rPr>
          <w:rFonts w:ascii="Arial" w:hAnsi="Arial"/>
          <w:b/>
          <w:sz w:val="17"/>
        </w:rPr>
        <w:t>Note</w:t>
      </w:r>
      <w:r>
        <w:rPr>
          <w:rFonts w:ascii="Arial" w:hAnsi="Arial"/>
          <w:b/>
          <w:spacing w:val="8"/>
          <w:sz w:val="17"/>
        </w:rPr>
        <w:t> </w:t>
      </w:r>
      <w:r>
        <w:rPr>
          <w:sz w:val="17"/>
        </w:rPr>
        <w:t>Springer</w:t>
      </w:r>
      <w:r>
        <w:rPr>
          <w:spacing w:val="24"/>
          <w:sz w:val="17"/>
        </w:rPr>
        <w:t> </w:t>
      </w:r>
      <w:r>
        <w:rPr>
          <w:sz w:val="17"/>
        </w:rPr>
        <w:t>Nature</w:t>
      </w:r>
      <w:r>
        <w:rPr>
          <w:spacing w:val="24"/>
          <w:sz w:val="17"/>
        </w:rPr>
        <w:t> </w:t>
      </w:r>
      <w:r>
        <w:rPr>
          <w:sz w:val="17"/>
        </w:rPr>
        <w:t>remains</w:t>
      </w:r>
      <w:r>
        <w:rPr>
          <w:spacing w:val="24"/>
          <w:sz w:val="17"/>
        </w:rPr>
        <w:t> </w:t>
      </w:r>
      <w:r>
        <w:rPr>
          <w:sz w:val="17"/>
        </w:rPr>
        <w:t>neutral</w:t>
      </w:r>
      <w:r>
        <w:rPr>
          <w:spacing w:val="24"/>
          <w:sz w:val="17"/>
        </w:rPr>
        <w:t> </w:t>
      </w:r>
      <w:r>
        <w:rPr>
          <w:sz w:val="17"/>
        </w:rPr>
        <w:t>with</w:t>
      </w:r>
      <w:r>
        <w:rPr>
          <w:spacing w:val="24"/>
          <w:sz w:val="17"/>
        </w:rPr>
        <w:t> </w:t>
      </w:r>
      <w:r>
        <w:rPr>
          <w:sz w:val="17"/>
        </w:rPr>
        <w:t>regard</w:t>
      </w:r>
      <w:r>
        <w:rPr>
          <w:spacing w:val="24"/>
          <w:sz w:val="17"/>
        </w:rPr>
        <w:t> </w:t>
      </w:r>
      <w:r>
        <w:rPr>
          <w:sz w:val="17"/>
        </w:rPr>
        <w:t>to jurisdictional claims in published maps and institutional affiliations.</w:t>
      </w:r>
    </w:p>
    <w:sectPr>
      <w:type w:val="continuous"/>
      <w:pgSz w:w="11910" w:h="15820"/>
      <w:pgMar w:header="629" w:footer="939" w:top="840" w:bottom="1120" w:left="992" w:right="992"/>
      <w:cols w:num="2" w:equalWidth="0">
        <w:col w:w="4797" w:space="306"/>
        <w:col w:w="48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4080">
              <wp:simplePos x="0" y="0"/>
              <wp:positionH relativeFrom="page">
                <wp:posOffset>654019</wp:posOffset>
              </wp:positionH>
              <wp:positionV relativeFrom="page">
                <wp:posOffset>9308056</wp:posOffset>
              </wp:positionV>
              <wp:extent cx="541020" cy="2552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41020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w w:val="105"/>
                              <w:sz w:val="30"/>
                            </w:rPr>
                            <w:t>1</w:t>
                          </w:r>
                          <w:r>
                            <w:rPr>
                              <w:spacing w:val="-18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370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497585pt;margin-top:732.917847pt;width:42.6pt;height:20.1pt;mso-position-horizontal-relative:page;mso-position-vertical-relative:page;z-index:-16422400" type="#_x0000_t202" id="docshape4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5"/>
                        <w:sz w:val="30"/>
                      </w:rPr>
                      <w:t>1</w:t>
                    </w:r>
                    <w:r>
                      <w:rPr>
                        <w:spacing w:val="-18"/>
                        <w:w w:val="105"/>
                        <w:sz w:val="30"/>
                      </w:rPr>
                      <w:t> </w:t>
                    </w:r>
                    <w:r>
                      <w:rPr>
                        <w:spacing w:val="-12"/>
                        <w:w w:val="370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4592">
              <wp:simplePos x="0" y="0"/>
              <wp:positionH relativeFrom="page">
                <wp:posOffset>6383780</wp:posOffset>
              </wp:positionH>
              <wp:positionV relativeFrom="page">
                <wp:posOffset>9308056</wp:posOffset>
              </wp:positionV>
              <wp:extent cx="541020" cy="2552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41020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w w:val="105"/>
                              <w:sz w:val="30"/>
                            </w:rPr>
                            <w:t>1</w:t>
                          </w:r>
                          <w:r>
                            <w:rPr>
                              <w:spacing w:val="-18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370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659912pt;margin-top:732.917847pt;width:42.6pt;height:20.1pt;mso-position-horizontal-relative:page;mso-position-vertical-relative:page;z-index:-16421888" type="#_x0000_t202" id="docshape5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5"/>
                        <w:sz w:val="30"/>
                      </w:rPr>
                      <w:t>1</w:t>
                    </w:r>
                    <w:r>
                      <w:rPr>
                        <w:spacing w:val="-18"/>
                        <w:w w:val="105"/>
                        <w:sz w:val="30"/>
                      </w:rPr>
                      <w:t> </w:t>
                    </w:r>
                    <w:r>
                      <w:rPr>
                        <w:spacing w:val="-12"/>
                        <w:w w:val="370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7664">
              <wp:simplePos x="0" y="0"/>
              <wp:positionH relativeFrom="page">
                <wp:posOffset>654019</wp:posOffset>
              </wp:positionH>
              <wp:positionV relativeFrom="page">
                <wp:posOffset>9308056</wp:posOffset>
              </wp:positionV>
              <wp:extent cx="541020" cy="2552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41020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w w:val="105"/>
                              <w:sz w:val="30"/>
                            </w:rPr>
                            <w:t>1</w:t>
                          </w:r>
                          <w:r>
                            <w:rPr>
                              <w:spacing w:val="-18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370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497597pt;margin-top:732.917847pt;width:42.6pt;height:20.1pt;mso-position-horizontal-relative:page;mso-position-vertical-relative:page;z-index:-16418816" type="#_x0000_t202" id="docshape13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5"/>
                        <w:sz w:val="30"/>
                      </w:rPr>
                      <w:t>1</w:t>
                    </w:r>
                    <w:r>
                      <w:rPr>
                        <w:spacing w:val="-18"/>
                        <w:w w:val="105"/>
                        <w:sz w:val="30"/>
                      </w:rPr>
                      <w:t> </w:t>
                    </w:r>
                    <w:r>
                      <w:rPr>
                        <w:spacing w:val="-12"/>
                        <w:w w:val="370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8176">
              <wp:simplePos x="0" y="0"/>
              <wp:positionH relativeFrom="page">
                <wp:posOffset>6383781</wp:posOffset>
              </wp:positionH>
              <wp:positionV relativeFrom="page">
                <wp:posOffset>9308056</wp:posOffset>
              </wp:positionV>
              <wp:extent cx="541020" cy="2552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41020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w w:val="105"/>
                              <w:sz w:val="30"/>
                            </w:rPr>
                            <w:t>1</w:t>
                          </w:r>
                          <w:r>
                            <w:rPr>
                              <w:spacing w:val="-18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370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659943pt;margin-top:732.917847pt;width:42.6pt;height:20.1pt;mso-position-horizontal-relative:page;mso-position-vertical-relative:page;z-index:-16418304" type="#_x0000_t202" id="docshape14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5"/>
                        <w:sz w:val="30"/>
                      </w:rPr>
                      <w:t>1</w:t>
                    </w:r>
                    <w:r>
                      <w:rPr>
                        <w:spacing w:val="-18"/>
                        <w:w w:val="105"/>
                        <w:sz w:val="30"/>
                      </w:rPr>
                      <w:t> </w:t>
                    </w:r>
                    <w:r>
                      <w:rPr>
                        <w:spacing w:val="-12"/>
                        <w:w w:val="370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627252</wp:posOffset>
              </wp:positionH>
              <wp:positionV relativeFrom="page">
                <wp:posOffset>413322</wp:posOffset>
              </wp:positionV>
              <wp:extent cx="2343785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4378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Journal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Molecular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Neuroscience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(2021)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sz w:val="17"/>
                            </w:rPr>
                            <w:t>71:2462–2467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.389984pt;margin-top:32.545116pt;width:184.55pt;height:10.5pt;mso-position-horizontal-relative:page;mso-position-vertical-relative:page;z-index:-16423936" type="#_x0000_t202" id="docshape1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85"/>
                        <w:sz w:val="17"/>
                      </w:rPr>
                      <w:t>Journal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Molecular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Neuroscience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(2021)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85"/>
                        <w:sz w:val="17"/>
                      </w:rPr>
                      <w:t>71:2462–2467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3056">
              <wp:simplePos x="0" y="0"/>
              <wp:positionH relativeFrom="page">
                <wp:posOffset>627252</wp:posOffset>
              </wp:positionH>
              <wp:positionV relativeFrom="page">
                <wp:posOffset>405702</wp:posOffset>
              </wp:positionV>
              <wp:extent cx="2364740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647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Journal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Molecular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Neuroscience</w:t>
                          </w:r>
                          <w:r>
                            <w:rPr>
                              <w:rFonts w:ascii="Arial" w:hAnsi="Arial"/>
                              <w:spacing w:val="24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(2021)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sz w:val="17"/>
                            </w:rPr>
                            <w:t>71:2462–2467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389999pt;margin-top:31.945065pt;width:186.2pt;height:10.5pt;mso-position-horizontal-relative:page;mso-position-vertical-relative:page;z-index:-16423424" type="#_x0000_t202" id="docshape2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85"/>
                        <w:sz w:val="17"/>
                      </w:rPr>
                      <w:t>Journal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Molecular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Neuroscience</w:t>
                    </w:r>
                    <w:r>
                      <w:rPr>
                        <w:rFonts w:ascii="Arial" w:hAnsi="Arial"/>
                        <w:spacing w:val="2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(2021)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85"/>
                        <w:sz w:val="17"/>
                      </w:rPr>
                      <w:t>71:2462–2467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3568">
              <wp:simplePos x="0" y="0"/>
              <wp:positionH relativeFrom="page">
                <wp:posOffset>6671309</wp:posOffset>
              </wp:positionH>
              <wp:positionV relativeFrom="page">
                <wp:posOffset>405702</wp:posOffset>
              </wp:positionV>
              <wp:extent cx="294005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400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t>2463</w: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299988pt;margin-top:31.945065pt;width:23.15pt;height:10.5pt;mso-position-horizontal-relative:page;mso-position-vertical-relative:page;z-index:-16422912" type="#_x0000_t202" id="docshape3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t>2463</w: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5104">
              <wp:simplePos x="0" y="0"/>
              <wp:positionH relativeFrom="page">
                <wp:posOffset>647999</wp:posOffset>
              </wp:positionH>
              <wp:positionV relativeFrom="page">
                <wp:posOffset>572526</wp:posOffset>
              </wp:positionV>
              <wp:extent cx="626427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6264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4275" h="0">
                            <a:moveTo>
                              <a:pt x="0" y="0"/>
                            </a:moveTo>
                            <a:lnTo>
                              <a:pt x="6263995" y="0"/>
                            </a:lnTo>
                          </a:path>
                        </a:pathLst>
                      </a:custGeom>
                      <a:ln w="1259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21376" from="51.023602pt,45.080811pt" to="544.251598pt,45.080811pt" stroked="true" strokeweight=".992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609853</wp:posOffset>
              </wp:positionH>
              <wp:positionV relativeFrom="page">
                <wp:posOffset>405702</wp:posOffset>
              </wp:positionV>
              <wp:extent cx="294005" cy="13335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9400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t>2464</w: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019997pt;margin-top:31.945066pt;width:23.15pt;height:10.5pt;mso-position-horizontal-relative:page;mso-position-vertical-relative:page;z-index:-16420864" type="#_x0000_t202" id="docshape9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t>2464</w: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4562475</wp:posOffset>
              </wp:positionH>
              <wp:positionV relativeFrom="page">
                <wp:posOffset>405702</wp:posOffset>
              </wp:positionV>
              <wp:extent cx="2364740" cy="13335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647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Journal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Molecular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Neuroscience</w:t>
                          </w:r>
                          <w:r>
                            <w:rPr>
                              <w:rFonts w:ascii="Arial" w:hAnsi="Arial"/>
                              <w:spacing w:val="24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(2021)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sz w:val="17"/>
                            </w:rPr>
                            <w:t>71:2462–2467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25pt;margin-top:31.945066pt;width:186.2pt;height:10.5pt;mso-position-horizontal-relative:page;mso-position-vertical-relative:page;z-index:-16420352" type="#_x0000_t202" id="docshape10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85"/>
                        <w:sz w:val="17"/>
                      </w:rPr>
                      <w:t>Journal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Molecular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Neuroscience</w:t>
                    </w:r>
                    <w:r>
                      <w:rPr>
                        <w:rFonts w:ascii="Arial" w:hAnsi="Arial"/>
                        <w:spacing w:val="2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(2021)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85"/>
                        <w:sz w:val="17"/>
                      </w:rPr>
                      <w:t>71:2462–2467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627253</wp:posOffset>
              </wp:positionH>
              <wp:positionV relativeFrom="page">
                <wp:posOffset>405702</wp:posOffset>
              </wp:positionV>
              <wp:extent cx="2364740" cy="13335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647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Journal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Molecular</w:t>
                          </w:r>
                          <w:r>
                            <w:rPr>
                              <w:rFonts w:ascii="Arial" w:hAnsi="Arial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Neuroscience</w:t>
                          </w:r>
                          <w:r>
                            <w:rPr>
                              <w:rFonts w:ascii="Arial" w:hAnsi="Arial"/>
                              <w:spacing w:val="24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w w:val="85"/>
                              <w:sz w:val="17"/>
                            </w:rPr>
                            <w:t>(2021)</w:t>
                          </w:r>
                          <w:r>
                            <w:rPr>
                              <w:rFonts w:ascii="Arial" w:hAnsi="Arial"/>
                              <w:spacing w:val="-4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sz w:val="17"/>
                            </w:rPr>
                            <w:t>71:2462–2467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390026pt;margin-top:31.945065pt;width:186.2pt;height:10.5pt;mso-position-horizontal-relative:page;mso-position-vertical-relative:page;z-index:-16419840" type="#_x0000_t202" id="docshape11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85"/>
                        <w:sz w:val="17"/>
                      </w:rPr>
                      <w:t>Journal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Molecular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Neuroscience</w:t>
                    </w:r>
                    <w:r>
                      <w:rPr>
                        <w:rFonts w:ascii="Arial" w:hAnsi="Arial"/>
                        <w:spacing w:val="2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(2021)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85"/>
                        <w:sz w:val="17"/>
                      </w:rPr>
                      <w:t>71:2462–2467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7152">
              <wp:simplePos x="0" y="0"/>
              <wp:positionH relativeFrom="page">
                <wp:posOffset>6671309</wp:posOffset>
              </wp:positionH>
              <wp:positionV relativeFrom="page">
                <wp:posOffset>405702</wp:posOffset>
              </wp:positionV>
              <wp:extent cx="294005" cy="13335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9400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t>2465</w:t>
                          </w:r>
                          <w:r>
                            <w:rPr>
                              <w:rFonts w:ascii="Arial"/>
                              <w:spacing w:val="-4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299988pt;margin-top:31.945065pt;width:23.15pt;height:10.5pt;mso-position-horizontal-relative:page;mso-position-vertical-relative:page;z-index:-16419328" type="#_x0000_t202" id="docshape12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t>2465</w:t>
                    </w:r>
                    <w:r>
                      <w:rPr>
                        <w:rFonts w:ascii="Arial"/>
                        <w:spacing w:val="-4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left="28" w:right="558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7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crossmark.crossref.org/dialog/?doi=10.1007/s12031-021-01831-9&amp;domain=pdf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orcid.org/0000-0001-7199-2578" TargetMode="External"/><Relationship Id="rId12" Type="http://schemas.openxmlformats.org/officeDocument/2006/relationships/image" Target="media/image2.png"/><Relationship Id="rId13" Type="http://schemas.openxmlformats.org/officeDocument/2006/relationships/hyperlink" Target="mailto:lingjingjin@163.com" TargetMode="External"/><Relationship Id="rId14" Type="http://schemas.openxmlformats.org/officeDocument/2006/relationships/hyperlink" Target="https://pubmed.ncbi.nlm.nih.gov/" TargetMode="External"/><Relationship Id="rId15" Type="http://schemas.openxmlformats.org/officeDocument/2006/relationships/hyperlink" Target="https://www.cnki.net/" TargetMode="External"/><Relationship Id="rId16" Type="http://schemas.openxmlformats.org/officeDocument/2006/relationships/hyperlink" Target="http://www.wanfangdata.com.cn/" TargetMode="External"/><Relationship Id="rId17" Type="http://schemas.openxmlformats.org/officeDocument/2006/relationships/image" Target="media/image3.jpe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hyperlink" Target="https://doi.org/10.1007/s12031-021-01831-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Li-Xi Li</dc:creator>
  <cp:keywords>Sensory ataxic neuropathy,dysarthria,and ophthalmoparesis (SANDO),Mutation,Phenotype</cp:keywords>
  <dc:subject>Journal of Molecular Neuroscience, https://doi.org/10.1007/s12031-021-01831-9</dc:subject>
  <dc:title>Clinical and Molecular Features of POLG-Related Sensory Ataxic Neuropathy with Dysarthria and Ophthalmoparesis</dc:title>
  <dcterms:created xsi:type="dcterms:W3CDTF">2025-07-04T18:25:33Z</dcterms:created>
  <dcterms:modified xsi:type="dcterms:W3CDTF">2025-07-04T18:25:33Z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InDesign 15.0 (Windows)</vt:lpwstr>
  </property>
  <property fmtid="{D5CDD505-2E9C-101B-9397-08002B2CF9AE}" pid="4" name="CrossMarkDomains[1]">
    <vt:lpwstr>springer.com</vt:lpwstr>
  </property>
  <property fmtid="{D5CDD505-2E9C-101B-9397-08002B2CF9AE}" pid="5" name="CrossMarkDomains[2]">
    <vt:lpwstr>springerlink.com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LastSaved">
    <vt:filetime>2025-07-04T00:00:00Z</vt:filetime>
  </property>
  <property fmtid="{D5CDD505-2E9C-101B-9397-08002B2CF9AE}" pid="9" name="Producer">
    <vt:lpwstr>Acrobat Distiller 9.0.0 (Windows)</vt:lpwstr>
  </property>
  <property fmtid="{D5CDD505-2E9C-101B-9397-08002B2CF9AE}" pid="10" name="doi">
    <vt:lpwstr>10.1007/s12031-021-01831-9</vt:lpwstr>
  </property>
  <property fmtid="{D5CDD505-2E9C-101B-9397-08002B2CF9AE}" pid="11" name="robots">
    <vt:lpwstr>noindex</vt:lpwstr>
  </property>
</Properties>
</file>