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45"/>
        <w:ind w:left="28" w:right="0" w:firstLine="0"/>
        <w:jc w:val="left"/>
        <w:rPr>
          <w:rFonts w:ascii="Arial" w:hAnsi="Arial"/>
          <w:sz w:val="17"/>
        </w:rPr>
      </w:pPr>
      <w:bookmarkStart w:name="Novel biallelic mutations in POLG gene: " w:id="1"/>
      <w:bookmarkEnd w:id="1"/>
      <w:r>
        <w:rPr/>
      </w:r>
      <w:r>
        <w:rPr>
          <w:rFonts w:ascii="Arial" w:hAnsi="Arial"/>
          <w:w w:val="80"/>
          <w:sz w:val="17"/>
        </w:rPr>
        <w:t>Neurological</w:t>
      </w:r>
      <w:r>
        <w:rPr>
          <w:rFonts w:ascii="Arial" w:hAnsi="Arial"/>
          <w:spacing w:val="13"/>
          <w:sz w:val="17"/>
        </w:rPr>
        <w:t> </w:t>
      </w:r>
      <w:r>
        <w:rPr>
          <w:rFonts w:ascii="Arial" w:hAnsi="Arial"/>
          <w:w w:val="80"/>
          <w:sz w:val="17"/>
        </w:rPr>
        <w:t>Sciences</w:t>
      </w:r>
      <w:r>
        <w:rPr>
          <w:rFonts w:ascii="Arial" w:hAnsi="Arial"/>
          <w:spacing w:val="14"/>
          <w:sz w:val="17"/>
        </w:rPr>
        <w:t> </w:t>
      </w:r>
      <w:r>
        <w:rPr>
          <w:rFonts w:ascii="Arial" w:hAnsi="Arial"/>
          <w:w w:val="80"/>
          <w:sz w:val="17"/>
        </w:rPr>
        <w:t>(2021)</w:t>
      </w:r>
      <w:r>
        <w:rPr>
          <w:rFonts w:ascii="Arial" w:hAnsi="Arial"/>
          <w:spacing w:val="13"/>
          <w:sz w:val="17"/>
        </w:rPr>
        <w:t> </w:t>
      </w:r>
      <w:r>
        <w:rPr>
          <w:rFonts w:ascii="Arial" w:hAnsi="Arial"/>
          <w:spacing w:val="-2"/>
          <w:w w:val="80"/>
          <w:sz w:val="17"/>
        </w:rPr>
        <w:t>42:4271–4280</w:t>
      </w:r>
    </w:p>
    <w:p>
      <w:pPr>
        <w:spacing w:before="25"/>
        <w:ind w:left="28" w:right="0" w:firstLine="0"/>
        <w:jc w:val="left"/>
        <w:rPr>
          <w:rFonts w:ascii="Arial"/>
          <w:sz w:val="17"/>
        </w:rPr>
      </w:pPr>
      <w:r>
        <w:rPr>
          <w:rFonts w:ascii="Arial"/>
          <w:spacing w:val="-2"/>
          <w:w w:val="85"/>
          <w:sz w:val="17"/>
        </w:rPr>
        <w:t>https://doi.org/10.1007/s10072-021-05380-</w:t>
      </w:r>
      <w:r>
        <w:rPr>
          <w:rFonts w:ascii="Arial"/>
          <w:spacing w:val="-10"/>
          <w:w w:val="85"/>
          <w:sz w:val="17"/>
        </w:rPr>
        <w:t>2</w:t>
      </w:r>
    </w:p>
    <w:p>
      <w:pPr>
        <w:pStyle w:val="BodyText"/>
        <w:spacing w:before="4"/>
        <w:rPr>
          <w:rFonts w:ascii="Arial"/>
          <w:sz w:val="9"/>
        </w:rPr>
      </w:pPr>
      <w:r>
        <w:rPr>
          <w:rFonts w:ascii="Arial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648004</wp:posOffset>
                </wp:positionH>
                <wp:positionV relativeFrom="paragraph">
                  <wp:posOffset>83993</wp:posOffset>
                </wp:positionV>
                <wp:extent cx="6264910" cy="447675"/>
                <wp:effectExtent l="0" t="0" r="0" b="0"/>
                <wp:wrapTopAndBottom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6264910" cy="447675"/>
                          <a:chExt cx="6264910" cy="447675"/>
                        </a:xfrm>
                      </wpg:grpSpPr>
                      <wps:wsp>
                        <wps:cNvPr id="4" name="Textbox 4"/>
                        <wps:cNvSpPr txBox="1"/>
                        <wps:spPr>
                          <a:xfrm>
                            <a:off x="0" y="723"/>
                            <a:ext cx="3024505" cy="252095"/>
                          </a:xfrm>
                          <a:prstGeom prst="rect">
                            <a:avLst/>
                          </a:prstGeom>
                          <a:solidFill>
                            <a:srgbClr val="C3C4C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83"/>
                                <w:ind w:left="113" w:right="0" w:firstLine="0"/>
                                <w:jc w:val="left"/>
                                <w:rPr>
                                  <w:rFonts w:ascii="Arial"/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131413"/>
                                  <w:w w:val="85"/>
                                  <w:sz w:val="19"/>
                                </w:rPr>
                                <w:t>ORIGINAL</w:t>
                              </w:r>
                              <w:r>
                                <w:rPr>
                                  <w:rFonts w:ascii="Arial"/>
                                  <w:color w:val="131413"/>
                                  <w:spacing w:val="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31413"/>
                                  <w:spacing w:val="-2"/>
                                  <w:w w:val="95"/>
                                  <w:sz w:val="19"/>
                                </w:rPr>
                                <w:t>ARTICLE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723"/>
                            <a:ext cx="302450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252095">
                                <a:moveTo>
                                  <a:pt x="3023997" y="251993"/>
                                </a:moveTo>
                                <a:lnTo>
                                  <a:pt x="0" y="251993"/>
                                </a:lnTo>
                                <a:lnTo>
                                  <a:pt x="0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251993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C3C4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2642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4275" h="12700">
                                <a:moveTo>
                                  <a:pt x="6263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42"/>
                                </a:lnTo>
                                <a:lnTo>
                                  <a:pt x="6263995" y="12242"/>
                                </a:lnTo>
                                <a:lnTo>
                                  <a:pt x="6263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4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2642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4275" h="12700">
                                <a:moveTo>
                                  <a:pt x="0" y="0"/>
                                </a:moveTo>
                                <a:lnTo>
                                  <a:pt x="6263995" y="0"/>
                                </a:lnTo>
                                <a:lnTo>
                                  <a:pt x="6263995" y="12242"/>
                                </a:lnTo>
                                <a:lnTo>
                                  <a:pt x="0" y="12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1314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>
                            <a:hlinkClick r:id="rId8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4712" y="87109"/>
                            <a:ext cx="360006" cy="3599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23998pt;margin-top:6.613647pt;width:493.3pt;height:35.25pt;mso-position-horizontal-relative:page;mso-position-vertical-relative:paragraph;z-index:-15728640;mso-wrap-distance-left:0;mso-wrap-distance-right:0" id="docshapegroup1" coordorigin="1020,132" coordsize="9866,705"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020;top:133;width:4763;height:397" type="#_x0000_t202" id="docshape2" filled="true" fillcolor="#c3c4c4" stroked="false">
                  <v:textbox inset="0,0,0,0">
                    <w:txbxContent>
                      <w:p>
                        <w:pPr>
                          <w:spacing w:before="83"/>
                          <w:ind w:left="113" w:right="0" w:firstLine="0"/>
                          <w:jc w:val="left"/>
                          <w:rPr>
                            <w:rFonts w:ascii="Arial"/>
                            <w:color w:val="000000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131413"/>
                            <w:w w:val="85"/>
                            <w:sz w:val="19"/>
                          </w:rPr>
                          <w:t>ORIGINAL</w:t>
                        </w:r>
                        <w:r>
                          <w:rPr>
                            <w:rFonts w:ascii="Arial"/>
                            <w:color w:val="131413"/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131413"/>
                            <w:spacing w:val="-2"/>
                            <w:w w:val="95"/>
                            <w:sz w:val="19"/>
                          </w:rPr>
                          <w:t>ARTICLE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020;top:133;width:4763;height:397" id="docshape3" filled="false" stroked="true" strokeweight="0pt" strokecolor="#c3c4c4">
                  <v:stroke dashstyle="solid"/>
                </v:rect>
                <v:rect style="position:absolute;left:1020;top:132;width:9865;height:20" id="docshape4" filled="true" fillcolor="#131413" stroked="false">
                  <v:fill type="solid"/>
                </v:rect>
                <v:rect style="position:absolute;left:1020;top:132;width:9865;height:20" id="docshape5" filled="false" stroked="true" strokeweight="0pt" strokecolor="#131413">
                  <v:stroke dashstyle="solid"/>
                </v:rect>
                <v:shape style="position:absolute;left:10319;top:269;width:567;height:567" type="#_x0000_t75" id="docshape6" href="http://crossmark.crossref.org/dialog/?doi=10.1007/s10072-021-05380-2&amp;domain=pdf" stroked="false">
                  <v:imagedata r:id="rId7" o:title=""/>
                </v:shape>
                <w10:wrap type="topAndBottom"/>
              </v:group>
            </w:pict>
          </mc:Fallback>
        </mc:AlternateContent>
      </w:r>
    </w:p>
    <w:p>
      <w:pPr>
        <w:pStyle w:val="Title"/>
        <w:spacing w:line="232" w:lineRule="auto"/>
      </w:pPr>
      <w:r>
        <w:rPr>
          <w:color w:val="131413"/>
          <w:spacing w:val="-2"/>
          <w:w w:val="90"/>
        </w:rPr>
        <w:t>Novel</w:t>
      </w:r>
      <w:r>
        <w:rPr>
          <w:color w:val="131413"/>
          <w:spacing w:val="-6"/>
          <w:w w:val="90"/>
        </w:rPr>
        <w:t> </w:t>
      </w:r>
      <w:r>
        <w:rPr>
          <w:color w:val="131413"/>
          <w:spacing w:val="-2"/>
          <w:w w:val="90"/>
        </w:rPr>
        <w:t>biallelic</w:t>
      </w:r>
      <w:r>
        <w:rPr>
          <w:color w:val="131413"/>
          <w:spacing w:val="-6"/>
          <w:w w:val="90"/>
        </w:rPr>
        <w:t> </w:t>
      </w:r>
      <w:r>
        <w:rPr>
          <w:color w:val="131413"/>
          <w:spacing w:val="-2"/>
          <w:w w:val="90"/>
        </w:rPr>
        <w:t>mutations</w:t>
      </w:r>
      <w:r>
        <w:rPr>
          <w:color w:val="131413"/>
          <w:spacing w:val="-5"/>
          <w:w w:val="90"/>
        </w:rPr>
        <w:t> </w:t>
      </w:r>
      <w:r>
        <w:rPr>
          <w:color w:val="131413"/>
          <w:spacing w:val="-2"/>
          <w:w w:val="90"/>
        </w:rPr>
        <w:t>in</w:t>
      </w:r>
      <w:r>
        <w:rPr>
          <w:color w:val="131413"/>
          <w:spacing w:val="-5"/>
          <w:w w:val="90"/>
        </w:rPr>
        <w:t> </w:t>
      </w:r>
      <w:r>
        <w:rPr>
          <w:i/>
          <w:color w:val="131413"/>
          <w:spacing w:val="-2"/>
          <w:w w:val="90"/>
        </w:rPr>
        <w:t>POLG</w:t>
      </w:r>
      <w:r>
        <w:rPr>
          <w:i/>
          <w:color w:val="131413"/>
          <w:spacing w:val="-4"/>
          <w:w w:val="90"/>
        </w:rPr>
        <w:t> </w:t>
      </w:r>
      <w:r>
        <w:rPr>
          <w:color w:val="131413"/>
          <w:spacing w:val="-2"/>
          <w:w w:val="90"/>
        </w:rPr>
        <w:t>gene:</w:t>
      </w:r>
      <w:r>
        <w:rPr>
          <w:color w:val="131413"/>
          <w:spacing w:val="-5"/>
          <w:w w:val="90"/>
        </w:rPr>
        <w:t> </w:t>
      </w:r>
      <w:r>
        <w:rPr>
          <w:color w:val="131413"/>
          <w:spacing w:val="-2"/>
          <w:w w:val="90"/>
        </w:rPr>
        <w:t>large</w:t>
      </w:r>
      <w:r>
        <w:rPr>
          <w:color w:val="131413"/>
          <w:spacing w:val="-4"/>
          <w:w w:val="90"/>
        </w:rPr>
        <w:t> </w:t>
      </w:r>
      <w:r>
        <w:rPr>
          <w:color w:val="131413"/>
          <w:spacing w:val="-2"/>
          <w:w w:val="90"/>
        </w:rPr>
        <w:t>deletion</w:t>
      </w:r>
      <w:r>
        <w:rPr>
          <w:color w:val="131413"/>
          <w:spacing w:val="-6"/>
          <w:w w:val="90"/>
        </w:rPr>
        <w:t> </w:t>
      </w:r>
      <w:r>
        <w:rPr>
          <w:color w:val="131413"/>
          <w:spacing w:val="-2"/>
          <w:w w:val="90"/>
        </w:rPr>
        <w:t>and</w:t>
      </w:r>
      <w:r>
        <w:rPr>
          <w:color w:val="131413"/>
          <w:spacing w:val="-5"/>
          <w:w w:val="90"/>
        </w:rPr>
        <w:t> </w:t>
      </w:r>
      <w:r>
        <w:rPr>
          <w:color w:val="131413"/>
          <w:spacing w:val="-2"/>
          <w:w w:val="90"/>
        </w:rPr>
        <w:t>missense </w:t>
      </w:r>
      <w:r>
        <w:rPr>
          <w:color w:val="131413"/>
          <w:w w:val="90"/>
        </w:rPr>
        <w:t>variant associated with PEO</w:t>
      </w:r>
    </w:p>
    <w:p>
      <w:pPr>
        <w:pStyle w:val="BodyText"/>
        <w:spacing w:before="341"/>
        <w:ind w:left="28"/>
        <w:rPr>
          <w:rFonts w:ascii="Arial" w:hAnsi="Arial"/>
          <w:sz w:val="16"/>
        </w:rPr>
      </w:pPr>
      <w:r>
        <w:rPr>
          <w:rFonts w:ascii="Arial" w:hAnsi="Arial"/>
          <w:color w:val="131413"/>
          <w:spacing w:val="-2"/>
        </w:rPr>
        <w:t>Yan</w:t>
      </w:r>
      <w:r>
        <w:rPr>
          <w:rFonts w:ascii="Arial" w:hAnsi="Arial"/>
          <w:color w:val="131413"/>
          <w:spacing w:val="-12"/>
        </w:rPr>
        <w:t> </w:t>
      </w:r>
      <w:r>
        <w:rPr>
          <w:rFonts w:ascii="Arial" w:hAnsi="Arial"/>
          <w:color w:val="131413"/>
          <w:spacing w:val="-2"/>
        </w:rPr>
        <w:t>Lin</w:t>
      </w:r>
      <w:r>
        <w:rPr>
          <w:rFonts w:ascii="Arial" w:hAnsi="Arial"/>
          <w:color w:val="131413"/>
          <w:spacing w:val="-38"/>
        </w:rPr>
        <w:t> </w:t>
      </w:r>
      <w:r>
        <w:rPr>
          <w:rFonts w:ascii="Arial" w:hAnsi="Arial"/>
          <w:color w:val="131413"/>
          <w:spacing w:val="-2"/>
          <w:vertAlign w:val="superscript"/>
        </w:rPr>
        <w:t>1</w:t>
      </w:r>
      <w:r>
        <w:rPr>
          <w:rFonts w:ascii="Arial" w:hAnsi="Arial"/>
          <w:color w:val="131413"/>
          <w:spacing w:val="-12"/>
          <w:vertAlign w:val="baseline"/>
        </w:rPr>
        <w:t> </w:t>
      </w:r>
      <w:r>
        <w:rPr>
          <w:rFonts w:ascii="Arial" w:hAnsi="Arial"/>
          <w:color w:val="131413"/>
          <w:spacing w:val="-2"/>
          <w:sz w:val="16"/>
          <w:vertAlign w:val="baseline"/>
        </w:rPr>
        <w:t>• </w:t>
      </w:r>
      <w:r>
        <w:rPr>
          <w:rFonts w:ascii="Arial" w:hAnsi="Arial"/>
          <w:color w:val="131413"/>
          <w:spacing w:val="-2"/>
          <w:vertAlign w:val="baseline"/>
        </w:rPr>
        <w:t>Jixiang</w:t>
      </w:r>
      <w:r>
        <w:rPr>
          <w:rFonts w:ascii="Arial" w:hAnsi="Arial"/>
          <w:color w:val="131413"/>
          <w:spacing w:val="-10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Du</w:t>
      </w:r>
      <w:r>
        <w:rPr>
          <w:rFonts w:ascii="Arial" w:hAnsi="Arial"/>
          <w:color w:val="131413"/>
          <w:spacing w:val="-2"/>
          <w:vertAlign w:val="superscript"/>
        </w:rPr>
        <w:t>1</w:t>
      </w:r>
      <w:r>
        <w:rPr>
          <w:rFonts w:ascii="Arial" w:hAnsi="Arial"/>
          <w:color w:val="131413"/>
          <w:spacing w:val="-11"/>
          <w:vertAlign w:val="baseline"/>
        </w:rPr>
        <w:t> </w:t>
      </w:r>
      <w:r>
        <w:rPr>
          <w:rFonts w:ascii="Arial" w:hAnsi="Arial"/>
          <w:color w:val="131413"/>
          <w:spacing w:val="-2"/>
          <w:sz w:val="16"/>
          <w:vertAlign w:val="baseline"/>
        </w:rPr>
        <w:t>•</w:t>
      </w:r>
      <w:r>
        <w:rPr>
          <w:rFonts w:ascii="Arial" w:hAnsi="Arial"/>
          <w:color w:val="131413"/>
          <w:spacing w:val="3"/>
          <w:sz w:val="16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Wei</w:t>
      </w:r>
      <w:r>
        <w:rPr>
          <w:rFonts w:ascii="Arial" w:hAnsi="Arial"/>
          <w:color w:val="131413"/>
          <w:spacing w:val="-10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Wang</w:t>
      </w:r>
      <w:r>
        <w:rPr>
          <w:rFonts w:ascii="Arial" w:hAnsi="Arial"/>
          <w:color w:val="131413"/>
          <w:spacing w:val="-2"/>
          <w:vertAlign w:val="superscript"/>
        </w:rPr>
        <w:t>1</w:t>
      </w:r>
      <w:r>
        <w:rPr>
          <w:rFonts w:ascii="Arial" w:hAnsi="Arial"/>
          <w:color w:val="131413"/>
          <w:spacing w:val="-12"/>
          <w:vertAlign w:val="baseline"/>
        </w:rPr>
        <w:t> </w:t>
      </w:r>
      <w:r>
        <w:rPr>
          <w:rFonts w:ascii="Arial" w:hAnsi="Arial"/>
          <w:color w:val="131413"/>
          <w:spacing w:val="-2"/>
          <w:sz w:val="16"/>
          <w:vertAlign w:val="baseline"/>
        </w:rPr>
        <w:t>•</w:t>
      </w:r>
      <w:r>
        <w:rPr>
          <w:rFonts w:ascii="Arial" w:hAnsi="Arial"/>
          <w:color w:val="131413"/>
          <w:spacing w:val="4"/>
          <w:sz w:val="16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Hong</w:t>
      </w:r>
      <w:r>
        <w:rPr>
          <w:rFonts w:ascii="Arial" w:hAnsi="Arial"/>
          <w:color w:val="131413"/>
          <w:spacing w:val="-10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Ren</w:t>
      </w:r>
      <w:r>
        <w:rPr>
          <w:rFonts w:ascii="Arial" w:hAnsi="Arial"/>
          <w:color w:val="131413"/>
          <w:spacing w:val="-38"/>
          <w:vertAlign w:val="baseline"/>
        </w:rPr>
        <w:t> </w:t>
      </w:r>
      <w:r>
        <w:rPr>
          <w:rFonts w:ascii="Arial" w:hAnsi="Arial"/>
          <w:color w:val="131413"/>
          <w:spacing w:val="-2"/>
          <w:vertAlign w:val="superscript"/>
        </w:rPr>
        <w:t>1</w:t>
      </w:r>
      <w:r>
        <w:rPr>
          <w:rFonts w:ascii="Arial" w:hAnsi="Arial"/>
          <w:color w:val="131413"/>
          <w:spacing w:val="-12"/>
          <w:vertAlign w:val="baseline"/>
        </w:rPr>
        <w:t> </w:t>
      </w:r>
      <w:r>
        <w:rPr>
          <w:rFonts w:ascii="Arial" w:hAnsi="Arial"/>
          <w:color w:val="131413"/>
          <w:spacing w:val="-2"/>
          <w:sz w:val="16"/>
          <w:vertAlign w:val="baseline"/>
        </w:rPr>
        <w:t>•</w:t>
      </w:r>
      <w:r>
        <w:rPr>
          <w:rFonts w:ascii="Arial" w:hAnsi="Arial"/>
          <w:color w:val="131413"/>
          <w:spacing w:val="3"/>
          <w:sz w:val="16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Dandan</w:t>
      </w:r>
      <w:r>
        <w:rPr>
          <w:rFonts w:ascii="Arial" w:hAnsi="Arial"/>
          <w:color w:val="131413"/>
          <w:spacing w:val="-11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Zhao</w:t>
      </w:r>
      <w:r>
        <w:rPr>
          <w:rFonts w:ascii="Arial" w:hAnsi="Arial"/>
          <w:color w:val="131413"/>
          <w:spacing w:val="-2"/>
          <w:vertAlign w:val="superscript"/>
        </w:rPr>
        <w:t>1</w:t>
      </w:r>
      <w:r>
        <w:rPr>
          <w:rFonts w:ascii="Arial" w:hAnsi="Arial"/>
          <w:color w:val="131413"/>
          <w:spacing w:val="-12"/>
          <w:vertAlign w:val="baseline"/>
        </w:rPr>
        <w:t> </w:t>
      </w:r>
      <w:r>
        <w:rPr>
          <w:rFonts w:ascii="Arial" w:hAnsi="Arial"/>
          <w:color w:val="131413"/>
          <w:spacing w:val="-2"/>
          <w:sz w:val="16"/>
          <w:vertAlign w:val="baseline"/>
        </w:rPr>
        <w:t>•</w:t>
      </w:r>
      <w:r>
        <w:rPr>
          <w:rFonts w:ascii="Arial" w:hAnsi="Arial"/>
          <w:color w:val="131413"/>
          <w:spacing w:val="4"/>
          <w:sz w:val="16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Fuchen</w:t>
      </w:r>
      <w:r>
        <w:rPr>
          <w:rFonts w:ascii="Arial" w:hAnsi="Arial"/>
          <w:color w:val="131413"/>
          <w:spacing w:val="-10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Liu</w:t>
      </w:r>
      <w:r>
        <w:rPr>
          <w:rFonts w:ascii="Arial" w:hAnsi="Arial"/>
          <w:color w:val="131413"/>
          <w:spacing w:val="-2"/>
          <w:vertAlign w:val="superscript"/>
        </w:rPr>
        <w:t>1</w:t>
      </w:r>
      <w:r>
        <w:rPr>
          <w:rFonts w:ascii="Arial" w:hAnsi="Arial"/>
          <w:color w:val="131413"/>
          <w:spacing w:val="-12"/>
          <w:vertAlign w:val="baseline"/>
        </w:rPr>
        <w:t> </w:t>
      </w:r>
      <w:r>
        <w:rPr>
          <w:rFonts w:ascii="Arial" w:hAnsi="Arial"/>
          <w:color w:val="131413"/>
          <w:spacing w:val="-2"/>
          <w:sz w:val="16"/>
          <w:vertAlign w:val="baseline"/>
        </w:rPr>
        <w:t>•</w:t>
      </w:r>
      <w:r>
        <w:rPr>
          <w:rFonts w:ascii="Arial" w:hAnsi="Arial"/>
          <w:color w:val="131413"/>
          <w:spacing w:val="4"/>
          <w:sz w:val="16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Pengfei</w:t>
      </w:r>
      <w:r>
        <w:rPr>
          <w:rFonts w:ascii="Arial" w:hAnsi="Arial"/>
          <w:color w:val="131413"/>
          <w:spacing w:val="-12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Lin</w:t>
      </w:r>
      <w:r>
        <w:rPr>
          <w:rFonts w:ascii="Arial" w:hAnsi="Arial"/>
          <w:color w:val="131413"/>
          <w:spacing w:val="-2"/>
          <w:vertAlign w:val="superscript"/>
        </w:rPr>
        <w:t>1</w:t>
      </w:r>
      <w:r>
        <w:rPr>
          <w:rFonts w:ascii="Arial" w:hAnsi="Arial"/>
          <w:color w:val="131413"/>
          <w:spacing w:val="-11"/>
          <w:vertAlign w:val="baseline"/>
        </w:rPr>
        <w:t> </w:t>
      </w:r>
      <w:r>
        <w:rPr>
          <w:rFonts w:ascii="Arial" w:hAnsi="Arial"/>
          <w:color w:val="131413"/>
          <w:spacing w:val="-2"/>
          <w:sz w:val="16"/>
          <w:vertAlign w:val="baseline"/>
        </w:rPr>
        <w:t>•</w:t>
      </w:r>
      <w:r>
        <w:rPr>
          <w:rFonts w:ascii="Arial" w:hAnsi="Arial"/>
          <w:color w:val="131413"/>
          <w:spacing w:val="3"/>
          <w:sz w:val="16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Kunqian</w:t>
      </w:r>
      <w:r>
        <w:rPr>
          <w:rFonts w:ascii="Arial" w:hAnsi="Arial"/>
          <w:color w:val="131413"/>
          <w:spacing w:val="-9"/>
          <w:vertAlign w:val="baseline"/>
        </w:rPr>
        <w:t> </w:t>
      </w:r>
      <w:r>
        <w:rPr>
          <w:rFonts w:ascii="Arial" w:hAnsi="Arial"/>
          <w:color w:val="131413"/>
          <w:spacing w:val="-2"/>
          <w:vertAlign w:val="baseline"/>
        </w:rPr>
        <w:t>Ji</w:t>
      </w:r>
      <w:r>
        <w:rPr>
          <w:rFonts w:ascii="Arial" w:hAnsi="Arial"/>
          <w:color w:val="131413"/>
          <w:spacing w:val="-2"/>
          <w:vertAlign w:val="superscript"/>
        </w:rPr>
        <w:t>1</w:t>
      </w:r>
      <w:r>
        <w:rPr>
          <w:rFonts w:ascii="Arial" w:hAnsi="Arial"/>
          <w:color w:val="131413"/>
          <w:spacing w:val="-12"/>
          <w:vertAlign w:val="baseline"/>
        </w:rPr>
        <w:t> </w:t>
      </w:r>
      <w:r>
        <w:rPr>
          <w:rFonts w:ascii="Arial" w:hAnsi="Arial"/>
          <w:color w:val="131413"/>
          <w:spacing w:val="-10"/>
          <w:sz w:val="16"/>
          <w:vertAlign w:val="baseline"/>
        </w:rPr>
        <w:t>•</w:t>
      </w:r>
    </w:p>
    <w:p>
      <w:pPr>
        <w:pStyle w:val="BodyText"/>
        <w:spacing w:before="20"/>
        <w:ind w:left="28"/>
        <w:rPr>
          <w:rFonts w:ascii="Arial" w:hAnsi="Arial"/>
          <w:position w:val="-3"/>
        </w:rPr>
      </w:pPr>
      <w:r>
        <w:rPr>
          <w:rFonts w:ascii="Arial" w:hAnsi="Arial"/>
          <w:color w:val="131413"/>
          <w:spacing w:val="-4"/>
        </w:rPr>
        <w:t>Yuying</w:t>
      </w:r>
      <w:r>
        <w:rPr>
          <w:rFonts w:ascii="Arial" w:hAnsi="Arial"/>
          <w:color w:val="131413"/>
          <w:spacing w:val="-10"/>
        </w:rPr>
        <w:t> </w:t>
      </w:r>
      <w:r>
        <w:rPr>
          <w:rFonts w:ascii="Arial" w:hAnsi="Arial"/>
          <w:color w:val="131413"/>
          <w:spacing w:val="-4"/>
        </w:rPr>
        <w:t>Zhao</w:t>
      </w:r>
      <w:r>
        <w:rPr>
          <w:rFonts w:ascii="Arial" w:hAnsi="Arial"/>
          <w:color w:val="131413"/>
          <w:spacing w:val="-4"/>
          <w:vertAlign w:val="superscript"/>
        </w:rPr>
        <w:t>1</w:t>
      </w:r>
      <w:r>
        <w:rPr>
          <w:rFonts w:ascii="Arial" w:hAnsi="Arial"/>
          <w:color w:val="131413"/>
          <w:spacing w:val="-10"/>
          <w:vertAlign w:val="baseline"/>
        </w:rPr>
        <w:t> </w:t>
      </w:r>
      <w:r>
        <w:rPr>
          <w:rFonts w:ascii="Arial" w:hAnsi="Arial"/>
          <w:color w:val="131413"/>
          <w:spacing w:val="-4"/>
          <w:sz w:val="16"/>
          <w:vertAlign w:val="baseline"/>
        </w:rPr>
        <w:t>•</w:t>
      </w:r>
      <w:r>
        <w:rPr>
          <w:rFonts w:ascii="Arial" w:hAnsi="Arial"/>
          <w:color w:val="131413"/>
          <w:spacing w:val="-7"/>
          <w:sz w:val="16"/>
          <w:vertAlign w:val="baseline"/>
        </w:rPr>
        <w:t> </w:t>
      </w:r>
      <w:r>
        <w:rPr>
          <w:rFonts w:ascii="Arial" w:hAnsi="Arial"/>
          <w:color w:val="131413"/>
          <w:spacing w:val="-4"/>
          <w:vertAlign w:val="baseline"/>
        </w:rPr>
        <w:t>Chuanzhu</w:t>
      </w:r>
      <w:r>
        <w:rPr>
          <w:rFonts w:ascii="Arial" w:hAnsi="Arial"/>
          <w:color w:val="131413"/>
          <w:spacing w:val="-10"/>
          <w:vertAlign w:val="baseline"/>
        </w:rPr>
        <w:t> </w:t>
      </w:r>
      <w:r>
        <w:rPr>
          <w:rFonts w:ascii="Arial" w:hAnsi="Arial"/>
          <w:color w:val="131413"/>
          <w:spacing w:val="-4"/>
          <w:vertAlign w:val="baseline"/>
        </w:rPr>
        <w:t>Yan</w:t>
      </w:r>
      <w:r>
        <w:rPr>
          <w:rFonts w:ascii="Arial" w:hAnsi="Arial"/>
          <w:color w:val="131413"/>
          <w:spacing w:val="-38"/>
          <w:vertAlign w:val="baseline"/>
        </w:rPr>
        <w:t> </w:t>
      </w:r>
      <w:r>
        <w:rPr>
          <w:rFonts w:ascii="Arial" w:hAnsi="Arial"/>
          <w:color w:val="131413"/>
          <w:spacing w:val="-4"/>
          <w:vertAlign w:val="superscript"/>
        </w:rPr>
        <w:t>1,2,3</w:t>
      </w:r>
      <w:r>
        <w:rPr>
          <w:rFonts w:ascii="Arial" w:hAnsi="Arial"/>
          <w:color w:val="131413"/>
          <w:spacing w:val="16"/>
          <w:position w:val="-3"/>
          <w:vertAlign w:val="baseline"/>
        </w:rPr>
        <w:drawing>
          <wp:inline distT="0" distB="0" distL="0" distR="0">
            <wp:extent cx="112217" cy="112204"/>
            <wp:effectExtent l="0" t="0" r="0" b="0"/>
            <wp:docPr id="9" name="Image 9">
              <a:hlinkClick r:id="rId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>
                      <a:hlinkClick r:id="rId9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17" cy="1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131413"/>
          <w:spacing w:val="16"/>
          <w:position w:val="-3"/>
          <w:vertAlign w:val="baseline"/>
        </w:rPr>
      </w:r>
    </w:p>
    <w:p>
      <w:pPr>
        <w:pStyle w:val="BodyText"/>
        <w:spacing w:before="177"/>
        <w:rPr>
          <w:rFonts w:ascii="Arial"/>
          <w:sz w:val="17"/>
        </w:rPr>
      </w:pPr>
    </w:p>
    <w:p>
      <w:pPr>
        <w:spacing w:line="193" w:lineRule="exact" w:before="1"/>
        <w:ind w:left="28" w:right="0" w:firstLine="0"/>
        <w:jc w:val="left"/>
        <w:rPr>
          <w:rFonts w:ascii="Arial"/>
          <w:sz w:val="17"/>
        </w:rPr>
      </w:pPr>
      <w:bookmarkStart w:name="Abstract" w:id="2"/>
      <w:bookmarkEnd w:id="2"/>
      <w:r>
        <w:rPr/>
      </w:r>
      <w:r>
        <w:rPr>
          <w:rFonts w:ascii="Arial"/>
          <w:color w:val="131413"/>
          <w:spacing w:val="-2"/>
          <w:w w:val="85"/>
          <w:position w:val="1"/>
          <w:sz w:val="17"/>
        </w:rPr>
        <w:t>Received:</w:t>
      </w:r>
      <w:r>
        <w:rPr>
          <w:rFonts w:ascii="Arial"/>
          <w:color w:val="131413"/>
          <w:position w:val="1"/>
          <w:sz w:val="17"/>
        </w:rPr>
        <w:t> </w:t>
      </w:r>
      <w:r>
        <w:rPr>
          <w:rFonts w:ascii="Arial"/>
          <w:color w:val="131413"/>
          <w:spacing w:val="-2"/>
          <w:w w:val="85"/>
          <w:position w:val="1"/>
          <w:sz w:val="17"/>
        </w:rPr>
        <w:t>6</w:t>
      </w:r>
      <w:r>
        <w:rPr>
          <w:rFonts w:ascii="Arial"/>
          <w:color w:val="131413"/>
          <w:spacing w:val="-1"/>
          <w:position w:val="1"/>
          <w:sz w:val="17"/>
        </w:rPr>
        <w:t> </w:t>
      </w:r>
      <w:r>
        <w:rPr>
          <w:rFonts w:ascii="Arial"/>
          <w:color w:val="131413"/>
          <w:spacing w:val="-2"/>
          <w:w w:val="85"/>
          <w:position w:val="1"/>
          <w:sz w:val="17"/>
        </w:rPr>
        <w:t>April</w:t>
      </w:r>
      <w:r>
        <w:rPr>
          <w:rFonts w:ascii="Arial"/>
          <w:color w:val="131413"/>
          <w:position w:val="1"/>
          <w:sz w:val="17"/>
        </w:rPr>
        <w:t> </w:t>
      </w:r>
      <w:r>
        <w:rPr>
          <w:rFonts w:ascii="Arial"/>
          <w:color w:val="131413"/>
          <w:spacing w:val="-2"/>
          <w:w w:val="85"/>
          <w:position w:val="1"/>
          <w:sz w:val="17"/>
        </w:rPr>
        <w:t>2021</w:t>
      </w:r>
      <w:r>
        <w:rPr>
          <w:rFonts w:ascii="Arial"/>
          <w:color w:val="131413"/>
          <w:spacing w:val="-7"/>
          <w:position w:val="1"/>
          <w:sz w:val="17"/>
        </w:rPr>
        <w:t> </w:t>
      </w:r>
      <w:r>
        <w:rPr>
          <w:rFonts w:ascii="Arial"/>
          <w:color w:val="131413"/>
          <w:spacing w:val="-2"/>
          <w:w w:val="85"/>
          <w:position w:val="1"/>
          <w:sz w:val="17"/>
        </w:rPr>
        <w:t>/</w:t>
      </w:r>
      <w:r>
        <w:rPr>
          <w:rFonts w:ascii="Arial"/>
          <w:color w:val="131413"/>
          <w:spacing w:val="-21"/>
          <w:w w:val="85"/>
          <w:position w:val="1"/>
          <w:sz w:val="17"/>
        </w:rPr>
        <w:t> </w:t>
      </w:r>
      <w:r>
        <w:rPr>
          <w:rFonts w:ascii="Arial"/>
          <w:color w:val="131413"/>
          <w:spacing w:val="-2"/>
          <w:w w:val="85"/>
          <w:position w:val="1"/>
          <w:sz w:val="17"/>
        </w:rPr>
        <w:t>Accepted:</w:t>
      </w:r>
      <w:r>
        <w:rPr>
          <w:rFonts w:ascii="Arial"/>
          <w:color w:val="131413"/>
          <w:position w:val="1"/>
          <w:sz w:val="17"/>
        </w:rPr>
        <w:t> </w:t>
      </w:r>
      <w:r>
        <w:rPr>
          <w:rFonts w:ascii="Arial"/>
          <w:color w:val="131413"/>
          <w:spacing w:val="-2"/>
          <w:w w:val="85"/>
          <w:position w:val="1"/>
          <w:sz w:val="17"/>
        </w:rPr>
        <w:t>3</w:t>
      </w:r>
      <w:r>
        <w:rPr>
          <w:rFonts w:ascii="Arial"/>
          <w:color w:val="131413"/>
          <w:spacing w:val="-1"/>
          <w:position w:val="1"/>
          <w:sz w:val="17"/>
        </w:rPr>
        <w:t> </w:t>
      </w:r>
      <w:r>
        <w:rPr>
          <w:rFonts w:ascii="Arial"/>
          <w:color w:val="131413"/>
          <w:spacing w:val="-2"/>
          <w:w w:val="85"/>
          <w:position w:val="1"/>
          <w:sz w:val="17"/>
        </w:rPr>
        <w:t>June</w:t>
      </w:r>
      <w:r>
        <w:rPr>
          <w:rFonts w:ascii="Arial"/>
          <w:color w:val="131413"/>
          <w:spacing w:val="-2"/>
          <w:position w:val="1"/>
          <w:sz w:val="17"/>
        </w:rPr>
        <w:t> </w:t>
      </w:r>
      <w:r>
        <w:rPr>
          <w:rFonts w:ascii="Arial"/>
          <w:color w:val="131413"/>
          <w:spacing w:val="-2"/>
          <w:w w:val="85"/>
          <w:position w:val="1"/>
          <w:sz w:val="17"/>
        </w:rPr>
        <w:t>2021</w:t>
      </w:r>
      <w:r>
        <w:rPr>
          <w:rFonts w:ascii="Arial"/>
          <w:color w:val="131413"/>
          <w:spacing w:val="-4"/>
          <w:position w:val="1"/>
          <w:sz w:val="17"/>
        </w:rPr>
        <w:t> </w:t>
      </w:r>
      <w:r>
        <w:rPr>
          <w:rFonts w:ascii="Arial"/>
          <w:spacing w:val="-2"/>
          <w:w w:val="85"/>
          <w:sz w:val="17"/>
        </w:rPr>
        <w:t>/</w:t>
      </w:r>
      <w:r>
        <w:rPr>
          <w:rFonts w:ascii="Arial"/>
          <w:spacing w:val="-5"/>
          <w:w w:val="85"/>
          <w:sz w:val="17"/>
        </w:rPr>
        <w:t> </w:t>
      </w:r>
      <w:r>
        <w:rPr>
          <w:rFonts w:ascii="Arial"/>
          <w:spacing w:val="-2"/>
          <w:w w:val="85"/>
          <w:sz w:val="17"/>
        </w:rPr>
        <w:t>Published</w:t>
      </w:r>
      <w:r>
        <w:rPr>
          <w:rFonts w:ascii="Arial"/>
          <w:spacing w:val="-4"/>
          <w:w w:val="85"/>
          <w:sz w:val="17"/>
        </w:rPr>
        <w:t> </w:t>
      </w:r>
      <w:r>
        <w:rPr>
          <w:rFonts w:ascii="Arial"/>
          <w:spacing w:val="-2"/>
          <w:w w:val="85"/>
          <w:sz w:val="17"/>
        </w:rPr>
        <w:t>online:</w:t>
      </w:r>
      <w:r>
        <w:rPr>
          <w:rFonts w:ascii="Arial"/>
          <w:spacing w:val="-5"/>
          <w:w w:val="85"/>
          <w:sz w:val="17"/>
        </w:rPr>
        <w:t> </w:t>
      </w:r>
      <w:r>
        <w:rPr>
          <w:rFonts w:ascii="Arial"/>
          <w:spacing w:val="-2"/>
          <w:w w:val="85"/>
          <w:sz w:val="17"/>
        </w:rPr>
        <w:t>29</w:t>
      </w:r>
      <w:r>
        <w:rPr>
          <w:rFonts w:ascii="Arial"/>
          <w:spacing w:val="-5"/>
          <w:w w:val="85"/>
          <w:sz w:val="17"/>
        </w:rPr>
        <w:t> </w:t>
      </w:r>
      <w:r>
        <w:rPr>
          <w:rFonts w:ascii="Arial"/>
          <w:spacing w:val="-2"/>
          <w:w w:val="85"/>
          <w:sz w:val="17"/>
        </w:rPr>
        <w:t>June</w:t>
      </w:r>
      <w:r>
        <w:rPr>
          <w:rFonts w:ascii="Arial"/>
          <w:spacing w:val="-5"/>
          <w:w w:val="85"/>
          <w:sz w:val="17"/>
        </w:rPr>
        <w:t> </w:t>
      </w:r>
      <w:r>
        <w:rPr>
          <w:rFonts w:ascii="Arial"/>
          <w:spacing w:val="-4"/>
          <w:w w:val="85"/>
          <w:sz w:val="17"/>
        </w:rPr>
        <w:t>2021</w:t>
      </w:r>
    </w:p>
    <w:p>
      <w:pPr>
        <w:spacing w:line="203" w:lineRule="exact" w:before="0"/>
        <w:ind w:left="28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color w:val="131413"/>
          <w:w w:val="85"/>
          <w:position w:val="2"/>
          <w:sz w:val="17"/>
        </w:rPr>
        <w:t>#</w:t>
      </w:r>
      <w:r>
        <w:rPr>
          <w:rFonts w:ascii="Arial" w:hAnsi="Arial"/>
          <w:color w:val="131413"/>
          <w:spacing w:val="-1"/>
          <w:position w:val="2"/>
          <w:sz w:val="17"/>
        </w:rPr>
        <w:t> </w:t>
      </w:r>
      <w:r>
        <w:rPr>
          <w:rFonts w:ascii="Arial" w:hAnsi="Arial"/>
          <w:color w:val="131413"/>
          <w:w w:val="85"/>
          <w:sz w:val="17"/>
        </w:rPr>
        <w:t>Fondazione</w:t>
      </w:r>
      <w:r>
        <w:rPr>
          <w:rFonts w:ascii="Arial" w:hAnsi="Arial"/>
          <w:color w:val="131413"/>
          <w:spacing w:val="-4"/>
          <w:sz w:val="17"/>
        </w:rPr>
        <w:t> </w:t>
      </w:r>
      <w:r>
        <w:rPr>
          <w:rFonts w:ascii="Arial" w:hAnsi="Arial"/>
          <w:color w:val="131413"/>
          <w:w w:val="85"/>
          <w:sz w:val="17"/>
        </w:rPr>
        <w:t>Società</w:t>
      </w:r>
      <w:r>
        <w:rPr>
          <w:rFonts w:ascii="Arial" w:hAnsi="Arial"/>
          <w:color w:val="131413"/>
          <w:spacing w:val="-4"/>
          <w:sz w:val="17"/>
        </w:rPr>
        <w:t> </w:t>
      </w:r>
      <w:r>
        <w:rPr>
          <w:rFonts w:ascii="Arial" w:hAnsi="Arial"/>
          <w:color w:val="131413"/>
          <w:w w:val="85"/>
          <w:sz w:val="17"/>
        </w:rPr>
        <w:t>Italiana</w:t>
      </w:r>
      <w:r>
        <w:rPr>
          <w:rFonts w:ascii="Arial" w:hAnsi="Arial"/>
          <w:color w:val="131413"/>
          <w:spacing w:val="-4"/>
          <w:sz w:val="17"/>
        </w:rPr>
        <w:t> </w:t>
      </w:r>
      <w:r>
        <w:rPr>
          <w:rFonts w:ascii="Arial" w:hAnsi="Arial"/>
          <w:color w:val="131413"/>
          <w:w w:val="85"/>
          <w:sz w:val="17"/>
        </w:rPr>
        <w:t>di</w:t>
      </w:r>
      <w:r>
        <w:rPr>
          <w:rFonts w:ascii="Arial" w:hAnsi="Arial"/>
          <w:color w:val="131413"/>
          <w:spacing w:val="-1"/>
          <w:sz w:val="17"/>
        </w:rPr>
        <w:t> </w:t>
      </w:r>
      <w:r>
        <w:rPr>
          <w:rFonts w:ascii="Arial" w:hAnsi="Arial"/>
          <w:color w:val="131413"/>
          <w:w w:val="85"/>
          <w:sz w:val="17"/>
        </w:rPr>
        <w:t>Neurologia</w:t>
      </w:r>
      <w:r>
        <w:rPr>
          <w:rFonts w:ascii="Arial" w:hAnsi="Arial"/>
          <w:color w:val="131413"/>
          <w:spacing w:val="-3"/>
          <w:sz w:val="17"/>
        </w:rPr>
        <w:t> </w:t>
      </w:r>
      <w:r>
        <w:rPr>
          <w:rFonts w:ascii="Arial" w:hAnsi="Arial"/>
          <w:color w:val="131413"/>
          <w:spacing w:val="-4"/>
          <w:w w:val="85"/>
          <w:sz w:val="17"/>
        </w:rPr>
        <w:t>2021</w:t>
      </w:r>
    </w:p>
    <w:p>
      <w:pPr>
        <w:pStyle w:val="BodyText"/>
        <w:spacing w:before="69"/>
        <w:rPr>
          <w:rFonts w:ascii="Arial"/>
          <w:sz w:val="17"/>
        </w:rPr>
      </w:pPr>
    </w:p>
    <w:p>
      <w:pPr>
        <w:pStyle w:val="BodyText"/>
        <w:ind w:left="28"/>
        <w:rPr>
          <w:rFonts w:ascii="Arial"/>
        </w:rPr>
      </w:pPr>
      <w:bookmarkStart w:name="Abstract" w:id="3"/>
      <w:bookmarkEnd w:id="3"/>
      <w:r>
        <w:rPr/>
      </w:r>
      <w:r>
        <w:rPr>
          <w:rFonts w:ascii="Arial"/>
          <w:color w:val="131413"/>
          <w:spacing w:val="-2"/>
          <w:w w:val="105"/>
        </w:rPr>
        <w:t>Abstract</w:t>
      </w:r>
    </w:p>
    <w:p>
      <w:pPr>
        <w:pStyle w:val="BodyText"/>
        <w:spacing w:line="259" w:lineRule="auto" w:before="10"/>
        <w:ind w:left="28" w:right="24"/>
        <w:jc w:val="both"/>
      </w:pPr>
      <w:r>
        <w:rPr>
          <w:rFonts w:ascii="Arial" w:hAnsi="Arial"/>
          <w:color w:val="131413"/>
          <w:spacing w:val="-4"/>
        </w:rPr>
        <w:t>Background</w:t>
      </w:r>
      <w:r>
        <w:rPr>
          <w:rFonts w:ascii="Arial" w:hAnsi="Arial"/>
          <w:color w:val="131413"/>
          <w:spacing w:val="24"/>
        </w:rPr>
        <w:t> </w:t>
      </w:r>
      <w:r>
        <w:rPr>
          <w:color w:val="131413"/>
          <w:spacing w:val="-4"/>
        </w:rPr>
        <w:t>Mitochondrial disorders are clinically heterogeneous diseases associated with impaired oxidative phosphorylation </w:t>
      </w:r>
      <w:r>
        <w:rPr>
          <w:color w:val="131413"/>
        </w:rPr>
        <w:t>(OXPHOS)</w:t>
      </w:r>
      <w:r>
        <w:rPr>
          <w:color w:val="131413"/>
          <w:spacing w:val="-4"/>
        </w:rPr>
        <w:t> </w:t>
      </w:r>
      <w:r>
        <w:rPr>
          <w:color w:val="131413"/>
        </w:rPr>
        <w:t>activity.</w:t>
      </w:r>
      <w:r>
        <w:rPr>
          <w:color w:val="131413"/>
          <w:spacing w:val="-4"/>
        </w:rPr>
        <w:t> </w:t>
      </w:r>
      <w:r>
        <w:rPr>
          <w:i/>
          <w:color w:val="131413"/>
        </w:rPr>
        <w:t>POLG</w:t>
      </w:r>
      <w:r>
        <w:rPr>
          <w:color w:val="131413"/>
        </w:rPr>
        <w:t>,</w:t>
      </w:r>
      <w:r>
        <w:rPr>
          <w:color w:val="131413"/>
          <w:spacing w:val="-4"/>
        </w:rPr>
        <w:t> </w:t>
      </w:r>
      <w:r>
        <w:rPr>
          <w:color w:val="131413"/>
        </w:rPr>
        <w:t>which</w:t>
      </w:r>
      <w:r>
        <w:rPr>
          <w:color w:val="131413"/>
          <w:spacing w:val="-5"/>
        </w:rPr>
        <w:t> </w:t>
      </w:r>
      <w:r>
        <w:rPr>
          <w:color w:val="131413"/>
        </w:rPr>
        <w:t>encodes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DNA</w:t>
      </w:r>
      <w:r>
        <w:rPr>
          <w:color w:val="131413"/>
          <w:spacing w:val="-4"/>
        </w:rPr>
        <w:t> </w:t>
      </w:r>
      <w:r>
        <w:rPr>
          <w:color w:val="131413"/>
        </w:rPr>
        <w:t>polymerase-</w:t>
      </w:r>
      <w:r>
        <w:rPr>
          <w:rFonts w:ascii="Arial" w:hAnsi="Arial"/>
          <w:color w:val="131413"/>
        </w:rPr>
        <w:t>γ</w:t>
      </w:r>
      <w:r>
        <w:rPr>
          <w:rFonts w:ascii="Arial" w:hAnsi="Arial"/>
          <w:color w:val="131413"/>
          <w:spacing w:val="-10"/>
        </w:rPr>
        <w:t> </w:t>
      </w:r>
      <w:r>
        <w:rPr>
          <w:color w:val="131413"/>
        </w:rPr>
        <w:t>(Pol</w:t>
      </w:r>
      <w:r>
        <w:rPr>
          <w:rFonts w:ascii="Arial" w:hAnsi="Arial"/>
          <w:color w:val="131413"/>
        </w:rPr>
        <w:t>γ</w:t>
      </w:r>
      <w:r>
        <w:rPr>
          <w:color w:val="131413"/>
        </w:rPr>
        <w:t>)</w:t>
      </w:r>
      <w:r>
        <w:rPr>
          <w:color w:val="131413"/>
          <w:spacing w:val="-4"/>
        </w:rPr>
        <w:t> </w:t>
      </w:r>
      <w:r>
        <w:rPr>
          <w:color w:val="131413"/>
        </w:rPr>
        <w:t>catalytic</w:t>
      </w:r>
      <w:r>
        <w:rPr>
          <w:color w:val="131413"/>
          <w:spacing w:val="-4"/>
        </w:rPr>
        <w:t> </w:t>
      </w:r>
      <w:r>
        <w:rPr>
          <w:color w:val="131413"/>
        </w:rPr>
        <w:t>subunit,</w:t>
      </w:r>
      <w:r>
        <w:rPr>
          <w:color w:val="131413"/>
          <w:spacing w:val="-5"/>
        </w:rPr>
        <w:t> </w:t>
      </w:r>
      <w:r>
        <w:rPr>
          <w:color w:val="131413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most</w:t>
      </w:r>
      <w:r>
        <w:rPr>
          <w:color w:val="131413"/>
          <w:spacing w:val="-4"/>
        </w:rPr>
        <w:t> </w:t>
      </w:r>
      <w:r>
        <w:rPr>
          <w:color w:val="131413"/>
        </w:rPr>
        <w:t>commonly</w:t>
      </w:r>
      <w:r>
        <w:rPr>
          <w:color w:val="131413"/>
          <w:spacing w:val="-4"/>
        </w:rPr>
        <w:t> </w:t>
      </w:r>
      <w:r>
        <w:rPr>
          <w:color w:val="131413"/>
        </w:rPr>
        <w:t>mutated </w:t>
      </w:r>
      <w:bookmarkStart w:name="Abstract" w:id="4"/>
      <w:bookmarkEnd w:id="4"/>
      <w:r>
        <w:rPr>
          <w:color w:val="131413"/>
        </w:rPr>
        <w:t>n</w:t>
      </w:r>
      <w:r>
        <w:rPr>
          <w:color w:val="131413"/>
        </w:rPr>
        <w:t>uclear gene associated with mitochondrial disorders.</w:t>
      </w:r>
    </w:p>
    <w:p>
      <w:pPr>
        <w:pStyle w:val="BodyText"/>
        <w:spacing w:line="259" w:lineRule="auto"/>
        <w:ind w:left="28" w:right="25"/>
        <w:jc w:val="both"/>
      </w:pPr>
      <w:r>
        <w:rPr>
          <w:rFonts w:ascii="Arial"/>
          <w:color w:val="131413"/>
        </w:rPr>
        <w:t>Methods </w:t>
      </w:r>
      <w:r>
        <w:rPr>
          <w:color w:val="131413"/>
        </w:rPr>
        <w:t>We carried out whole-exome sequencing (WES) to identify the gene associated with progressive external </w:t>
      </w:r>
      <w:r>
        <w:rPr>
          <w:color w:val="131413"/>
          <w:spacing w:val="-4"/>
        </w:rPr>
        <w:t>ophthalmoplegia (PEO). We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then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performed histopathological analyses, assessed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mitochondrial biology,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and executed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functional </w:t>
      </w:r>
      <w:bookmarkStart w:name="Abstract" w:id="5"/>
      <w:bookmarkEnd w:id="5"/>
      <w:r>
        <w:rPr>
          <w:color w:val="131413"/>
        </w:rPr>
        <w:t>s</w:t>
      </w:r>
      <w:r>
        <w:rPr>
          <w:color w:val="131413"/>
        </w:rPr>
        <w:t>tudies</w:t>
      </w:r>
      <w:r>
        <w:rPr>
          <w:color w:val="131413"/>
          <w:spacing w:val="-4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evaluate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potential</w:t>
      </w:r>
      <w:r>
        <w:rPr>
          <w:color w:val="131413"/>
          <w:spacing w:val="-4"/>
        </w:rPr>
        <w:t> </w:t>
      </w:r>
      <w:r>
        <w:rPr>
          <w:color w:val="131413"/>
        </w:rPr>
        <w:t>pathogenicity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identified</w:t>
      </w:r>
      <w:r>
        <w:rPr>
          <w:color w:val="131413"/>
          <w:spacing w:val="-5"/>
        </w:rPr>
        <w:t> </w:t>
      </w:r>
      <w:r>
        <w:rPr>
          <w:color w:val="131413"/>
        </w:rPr>
        <w:t>genetic</w:t>
      </w:r>
      <w:r>
        <w:rPr>
          <w:color w:val="131413"/>
          <w:spacing w:val="-4"/>
        </w:rPr>
        <w:t> </w:t>
      </w:r>
      <w:r>
        <w:rPr>
          <w:color w:val="131413"/>
        </w:rPr>
        <w:t>mutations.</w:t>
      </w:r>
    </w:p>
    <w:p>
      <w:pPr>
        <w:pStyle w:val="BodyText"/>
        <w:spacing w:line="259" w:lineRule="auto"/>
        <w:ind w:left="28" w:right="25"/>
        <w:jc w:val="both"/>
      </w:pPr>
      <w:r>
        <w:rPr>
          <w:rFonts w:ascii="Arial" w:hAnsi="Arial"/>
          <w:color w:val="131413"/>
          <w:spacing w:val="-2"/>
        </w:rPr>
        <w:t>Results </w:t>
      </w:r>
      <w:r>
        <w:rPr>
          <w:color w:val="131413"/>
          <w:spacing w:val="-2"/>
        </w:rPr>
        <w:t>Novel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biallelic</w:t>
      </w:r>
      <w:r>
        <w:rPr>
          <w:color w:val="131413"/>
          <w:spacing w:val="-7"/>
        </w:rPr>
        <w:t> </w:t>
      </w:r>
      <w:r>
        <w:rPr>
          <w:i/>
          <w:color w:val="131413"/>
          <w:spacing w:val="-2"/>
        </w:rPr>
        <w:t>POLG</w:t>
      </w:r>
      <w:r>
        <w:rPr>
          <w:i/>
          <w:color w:val="131413"/>
          <w:spacing w:val="-6"/>
        </w:rPr>
        <w:t> </w:t>
      </w:r>
      <w:r>
        <w:rPr>
          <w:color w:val="131413"/>
          <w:spacing w:val="-2"/>
        </w:rPr>
        <w:t>mutations,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including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large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deletion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mutation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(exons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7</w:t>
      </w:r>
      <w:r>
        <w:rPr>
          <w:rFonts w:ascii="Arial" w:hAnsi="Arial"/>
          <w:color w:val="131413"/>
          <w:spacing w:val="-2"/>
        </w:rPr>
        <w:t>–</w:t>
      </w:r>
      <w:r>
        <w:rPr>
          <w:color w:val="131413"/>
          <w:spacing w:val="-2"/>
        </w:rPr>
        <w:t>21)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missense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variant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c.1796C&gt;T </w:t>
      </w:r>
      <w:r>
        <w:rPr>
          <w:color w:val="131413"/>
          <w:spacing w:val="-4"/>
        </w:rPr>
        <w:t>(p.Thr599Ile)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were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detected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the proband.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Histopathological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analysis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a biopsied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muscle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sample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from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patient revealed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the </w:t>
      </w:r>
      <w:r>
        <w:rPr>
          <w:color w:val="131413"/>
        </w:rPr>
        <w:t>presence of approximately 20% COX-negative fibers. Bioinformatics analyses confirmed that the detected mutations were </w:t>
      </w:r>
      <w:r>
        <w:rPr>
          <w:color w:val="131413"/>
          <w:spacing w:val="-2"/>
        </w:rPr>
        <w:t>pathogenic.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Furthermore,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levels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mitochondrial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complex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I,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II,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IV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subunit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protein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expressions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were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found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decreased </w:t>
      </w:r>
      <w:bookmarkStart w:name="Abstract" w:id="6"/>
      <w:bookmarkEnd w:id="6"/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proband,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marked</w:t>
      </w:r>
      <w:r>
        <w:rPr>
          <w:color w:val="131413"/>
          <w:spacing w:val="-8"/>
        </w:rPr>
        <w:t> </w:t>
      </w:r>
      <w:r>
        <w:rPr>
          <w:color w:val="131413"/>
        </w:rPr>
        <w:t>impairment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mitochondrial</w:t>
      </w:r>
      <w:r>
        <w:rPr>
          <w:color w:val="131413"/>
          <w:spacing w:val="-7"/>
        </w:rPr>
        <w:t> </w:t>
      </w:r>
      <w:r>
        <w:rPr>
          <w:color w:val="131413"/>
        </w:rPr>
        <w:t>respiration</w:t>
      </w:r>
      <w:r>
        <w:rPr>
          <w:color w:val="131413"/>
          <w:spacing w:val="-7"/>
        </w:rPr>
        <w:t> </w:t>
      </w:r>
      <w:r>
        <w:rPr>
          <w:color w:val="131413"/>
        </w:rPr>
        <w:t>was</w:t>
      </w:r>
      <w:r>
        <w:rPr>
          <w:color w:val="131413"/>
          <w:spacing w:val="-6"/>
        </w:rPr>
        <w:t> </w:t>
      </w:r>
      <w:r>
        <w:rPr>
          <w:color w:val="131413"/>
        </w:rPr>
        <w:t>evident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cells</w:t>
      </w:r>
      <w:r>
        <w:rPr>
          <w:color w:val="131413"/>
          <w:spacing w:val="-7"/>
        </w:rPr>
        <w:t> </w:t>
      </w:r>
      <w:r>
        <w:rPr>
          <w:color w:val="131413"/>
        </w:rPr>
        <w:t>harboring</w:t>
      </w:r>
      <w:r>
        <w:rPr>
          <w:color w:val="131413"/>
          <w:spacing w:val="-8"/>
        </w:rPr>
        <w:t> </w:t>
      </w:r>
      <w:r>
        <w:rPr>
          <w:color w:val="131413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</w:rPr>
        <w:t>mutations.</w:t>
      </w:r>
    </w:p>
    <w:p>
      <w:pPr>
        <w:pStyle w:val="BodyText"/>
        <w:spacing w:line="259" w:lineRule="auto"/>
        <w:ind w:left="28" w:right="26"/>
        <w:jc w:val="both"/>
      </w:pPr>
      <w:r>
        <w:rPr>
          <w:rFonts w:ascii="Arial"/>
          <w:color w:val="131413"/>
          <w:spacing w:val="-4"/>
        </w:rPr>
        <w:t>Conclusion</w:t>
      </w:r>
      <w:r>
        <w:rPr>
          <w:rFonts w:ascii="Arial"/>
          <w:color w:val="131413"/>
          <w:spacing w:val="12"/>
        </w:rPr>
        <w:t> </w:t>
      </w:r>
      <w:r>
        <w:rPr>
          <w:color w:val="131413"/>
          <w:spacing w:val="-4"/>
        </w:rPr>
        <w:t>This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study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expands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spectrum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known</w:t>
      </w:r>
      <w:r>
        <w:rPr>
          <w:color w:val="131413"/>
          <w:spacing w:val="-9"/>
        </w:rPr>
        <w:t> </w:t>
      </w:r>
      <w:r>
        <w:rPr>
          <w:i/>
          <w:color w:val="131413"/>
          <w:spacing w:val="-4"/>
        </w:rPr>
        <w:t>POLG</w:t>
      </w:r>
      <w:r>
        <w:rPr>
          <w:i/>
          <w:color w:val="131413"/>
          <w:spacing w:val="-8"/>
        </w:rPr>
        <w:t> </w:t>
      </w:r>
      <w:r>
        <w:rPr>
          <w:color w:val="131413"/>
          <w:spacing w:val="-4"/>
        </w:rPr>
        <w:t>variants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associated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with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PEO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advances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current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understanding </w:t>
      </w:r>
      <w:r>
        <w:rPr>
          <w:color w:val="131413"/>
        </w:rPr>
        <w:t>regarding the structural</w:t>
      </w:r>
      <w:r>
        <w:rPr>
          <w:color w:val="131413"/>
          <w:spacing w:val="-1"/>
        </w:rPr>
        <w:t> </w:t>
      </w:r>
      <w:r>
        <w:rPr>
          <w:color w:val="131413"/>
        </w:rPr>
        <w:t>and functional</w:t>
      </w:r>
      <w:r>
        <w:rPr>
          <w:color w:val="131413"/>
          <w:spacing w:val="-1"/>
        </w:rPr>
        <w:t> </w:t>
      </w:r>
      <w:r>
        <w:rPr>
          <w:color w:val="131413"/>
        </w:rPr>
        <w:t>impacts of</w:t>
      </w:r>
      <w:r>
        <w:rPr>
          <w:color w:val="131413"/>
          <w:spacing w:val="-1"/>
        </w:rPr>
        <w:t> </w:t>
      </w:r>
      <w:r>
        <w:rPr>
          <w:color w:val="131413"/>
        </w:rPr>
        <w:t>these mutations.</w:t>
      </w:r>
    </w:p>
    <w:p>
      <w:pPr>
        <w:pStyle w:val="BodyText"/>
        <w:spacing w:before="183"/>
        <w:ind w:left="28"/>
        <w:jc w:val="both"/>
      </w:pPr>
      <w:r>
        <w:rPr>
          <w:rFonts w:ascii="Arial"/>
          <w:color w:val="131413"/>
          <w:spacing w:val="-4"/>
        </w:rPr>
        <w:t>Keywords</w:t>
      </w:r>
      <w:r>
        <w:rPr>
          <w:rFonts w:ascii="Arial"/>
          <w:color w:val="131413"/>
          <w:spacing w:val="13"/>
        </w:rPr>
        <w:t> </w:t>
      </w:r>
      <w:r>
        <w:rPr>
          <w:color w:val="131413"/>
          <w:spacing w:val="-4"/>
        </w:rPr>
        <w:t>Mitochondrial</w:t>
      </w:r>
      <w:r>
        <w:rPr>
          <w:color w:val="131413"/>
          <w:spacing w:val="-15"/>
        </w:rPr>
        <w:t> </w:t>
      </w:r>
      <w:r>
        <w:rPr>
          <w:color w:val="131413"/>
          <w:spacing w:val="-4"/>
        </w:rPr>
        <w:t>disease</w:t>
      </w:r>
      <w:r>
        <w:rPr>
          <w:color w:val="131413"/>
          <w:spacing w:val="9"/>
        </w:rPr>
        <w:t> </w:t>
      </w:r>
      <w:r>
        <w:rPr>
          <w:color w:val="131413"/>
          <w:spacing w:val="-4"/>
          <w:position w:val="4"/>
        </w:rPr>
        <w:t>.</w:t>
      </w:r>
      <w:r>
        <w:rPr>
          <w:color w:val="131413"/>
          <w:spacing w:val="-14"/>
          <w:position w:val="4"/>
        </w:rPr>
        <w:t> </w:t>
      </w:r>
      <w:r>
        <w:rPr>
          <w:i/>
          <w:color w:val="131413"/>
          <w:spacing w:val="-4"/>
        </w:rPr>
        <w:t>POLG</w:t>
      </w:r>
      <w:r>
        <w:rPr>
          <w:i/>
          <w:color w:val="131413"/>
          <w:spacing w:val="9"/>
        </w:rPr>
        <w:t> </w:t>
      </w:r>
      <w:r>
        <w:rPr>
          <w:color w:val="131413"/>
          <w:spacing w:val="-4"/>
          <w:position w:val="4"/>
        </w:rPr>
        <w:t>.</w:t>
      </w:r>
      <w:r>
        <w:rPr>
          <w:color w:val="131413"/>
          <w:spacing w:val="-14"/>
          <w:position w:val="4"/>
        </w:rPr>
        <w:t> </w:t>
      </w:r>
      <w:r>
        <w:rPr>
          <w:color w:val="131413"/>
          <w:spacing w:val="-4"/>
        </w:rPr>
        <w:t>Large</w:t>
      </w:r>
      <w:r>
        <w:rPr>
          <w:color w:val="131413"/>
          <w:spacing w:val="-16"/>
        </w:rPr>
        <w:t> </w:t>
      </w:r>
      <w:r>
        <w:rPr>
          <w:color w:val="131413"/>
          <w:spacing w:val="-4"/>
        </w:rPr>
        <w:t>deletion</w:t>
      </w:r>
      <w:r>
        <w:rPr>
          <w:color w:val="131413"/>
          <w:spacing w:val="9"/>
        </w:rPr>
        <w:t> </w:t>
      </w:r>
      <w:r>
        <w:rPr>
          <w:color w:val="131413"/>
          <w:spacing w:val="-4"/>
          <w:position w:val="4"/>
        </w:rPr>
        <w:t>.</w:t>
      </w:r>
      <w:r>
        <w:rPr>
          <w:color w:val="131413"/>
          <w:spacing w:val="-15"/>
          <w:position w:val="4"/>
        </w:rPr>
        <w:t> </w:t>
      </w:r>
      <w:r>
        <w:rPr>
          <w:color w:val="131413"/>
          <w:spacing w:val="-4"/>
        </w:rPr>
        <w:t>Missense</w:t>
      </w:r>
      <w:r>
        <w:rPr>
          <w:color w:val="131413"/>
          <w:spacing w:val="-16"/>
        </w:rPr>
        <w:t> </w:t>
      </w:r>
      <w:r>
        <w:rPr>
          <w:color w:val="131413"/>
          <w:spacing w:val="-4"/>
        </w:rPr>
        <w:t>variant</w:t>
      </w:r>
      <w:r>
        <w:rPr>
          <w:color w:val="131413"/>
          <w:spacing w:val="10"/>
        </w:rPr>
        <w:t> </w:t>
      </w:r>
      <w:r>
        <w:rPr>
          <w:color w:val="131413"/>
          <w:spacing w:val="-4"/>
          <w:position w:val="4"/>
        </w:rPr>
        <w:t>.</w:t>
      </w:r>
      <w:r>
        <w:rPr>
          <w:color w:val="131413"/>
          <w:spacing w:val="-15"/>
          <w:position w:val="4"/>
        </w:rPr>
        <w:t> </w:t>
      </w:r>
      <w:r>
        <w:rPr>
          <w:color w:val="131413"/>
          <w:spacing w:val="-5"/>
        </w:rPr>
        <w:t>PEO</w:t>
      </w: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spacing w:after="0"/>
        <w:sectPr>
          <w:footerReference w:type="default" r:id="rId5"/>
          <w:footerReference w:type="even" r:id="rId6"/>
          <w:type w:val="continuous"/>
          <w:pgSz w:w="11910" w:h="15820"/>
          <w:pgMar w:header="0" w:footer="902" w:top="580" w:bottom="1100" w:left="992" w:right="992"/>
          <w:pgNumType w:start="4271"/>
        </w:sectPr>
      </w:pPr>
    </w:p>
    <w:p>
      <w:pPr>
        <w:pStyle w:val="Heading1"/>
        <w:spacing w:before="89"/>
      </w:pPr>
      <w:bookmarkStart w:name="Introduction" w:id="7"/>
      <w:bookmarkEnd w:id="7"/>
      <w:r>
        <w:rPr/>
      </w:r>
      <w:r>
        <w:rPr>
          <w:color w:val="131413"/>
          <w:spacing w:val="-2"/>
          <w:w w:val="110"/>
        </w:rPr>
        <w:t>Introduction</w:t>
      </w:r>
    </w:p>
    <w:p>
      <w:pPr>
        <w:pStyle w:val="BodyText"/>
        <w:spacing w:line="259" w:lineRule="auto" w:before="260"/>
        <w:ind w:left="28"/>
        <w:jc w:val="both"/>
      </w:pPr>
      <w:r>
        <w:rPr>
          <w:color w:val="131413"/>
        </w:rPr>
        <w:t>Mitochondrial</w:t>
      </w:r>
      <w:r>
        <w:rPr>
          <w:color w:val="131413"/>
          <w:spacing w:val="-10"/>
        </w:rPr>
        <w:t> </w:t>
      </w:r>
      <w:r>
        <w:rPr>
          <w:color w:val="131413"/>
        </w:rPr>
        <w:t>disorders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clinically</w:t>
      </w:r>
      <w:r>
        <w:rPr>
          <w:color w:val="131413"/>
          <w:spacing w:val="-11"/>
        </w:rPr>
        <w:t> </w:t>
      </w:r>
      <w:r>
        <w:rPr>
          <w:color w:val="131413"/>
        </w:rPr>
        <w:t>heterogeneous</w:t>
      </w:r>
      <w:r>
        <w:rPr>
          <w:color w:val="131413"/>
          <w:spacing w:val="-11"/>
        </w:rPr>
        <w:t> </w:t>
      </w:r>
      <w:r>
        <w:rPr>
          <w:color w:val="131413"/>
        </w:rPr>
        <w:t>condi- </w:t>
      </w:r>
      <w:r>
        <w:rPr>
          <w:color w:val="131413"/>
          <w:spacing w:val="-4"/>
        </w:rPr>
        <w:t>tions associated with dysfunctional cellular energy production </w:t>
      </w:r>
      <w:r>
        <w:rPr>
          <w:color w:val="131413"/>
        </w:rPr>
        <w:t>arising</w:t>
      </w:r>
      <w:r>
        <w:rPr>
          <w:color w:val="131413"/>
          <w:spacing w:val="53"/>
        </w:rPr>
        <w:t> </w:t>
      </w:r>
      <w:r>
        <w:rPr>
          <w:color w:val="131413"/>
        </w:rPr>
        <w:t>as</w:t>
      </w:r>
      <w:r>
        <w:rPr>
          <w:color w:val="131413"/>
          <w:spacing w:val="54"/>
        </w:rPr>
        <w:t> </w:t>
      </w:r>
      <w:r>
        <w:rPr>
          <w:color w:val="131413"/>
        </w:rPr>
        <w:t>a</w:t>
      </w:r>
      <w:r>
        <w:rPr>
          <w:color w:val="131413"/>
          <w:spacing w:val="53"/>
        </w:rPr>
        <w:t> </w:t>
      </w:r>
      <w:r>
        <w:rPr>
          <w:color w:val="131413"/>
        </w:rPr>
        <w:t>consequence</w:t>
      </w:r>
      <w:r>
        <w:rPr>
          <w:color w:val="131413"/>
          <w:spacing w:val="53"/>
        </w:rPr>
        <w:t> </w:t>
      </w:r>
      <w:r>
        <w:rPr>
          <w:color w:val="131413"/>
        </w:rPr>
        <w:t>of</w:t>
      </w:r>
      <w:r>
        <w:rPr>
          <w:color w:val="131413"/>
          <w:spacing w:val="54"/>
        </w:rPr>
        <w:t> </w:t>
      </w:r>
      <w:r>
        <w:rPr>
          <w:color w:val="131413"/>
        </w:rPr>
        <w:t>oxidative</w:t>
      </w:r>
      <w:r>
        <w:rPr>
          <w:color w:val="131413"/>
          <w:spacing w:val="53"/>
        </w:rPr>
        <w:t> </w:t>
      </w:r>
      <w:r>
        <w:rPr>
          <w:color w:val="131413"/>
          <w:spacing w:val="-2"/>
        </w:rPr>
        <w:t>phosphorylation</w:t>
      </w:r>
    </w:p>
    <w:p>
      <w:pPr>
        <w:pStyle w:val="BodyText"/>
        <w:spacing w:before="4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648004</wp:posOffset>
                </wp:positionH>
                <wp:positionV relativeFrom="paragraph">
                  <wp:posOffset>192268</wp:posOffset>
                </wp:positionV>
                <wp:extent cx="3024505" cy="6985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3024505" cy="6985"/>
                          <a:chExt cx="3024505" cy="698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30245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6985">
                                <a:moveTo>
                                  <a:pt x="3023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023997" y="6476"/>
                                </a:lnTo>
                                <a:lnTo>
                                  <a:pt x="3023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4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30245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6985">
                                <a:moveTo>
                                  <a:pt x="3023997" y="6476"/>
                                </a:moveTo>
                                <a:lnTo>
                                  <a:pt x="0" y="6476"/>
                                </a:lnTo>
                                <a:lnTo>
                                  <a:pt x="0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6476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1314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23998pt;margin-top:15.139276pt;width:238.15pt;height:.550pt;mso-position-horizontal-relative:page;mso-position-vertical-relative:paragraph;z-index:-15728128;mso-wrap-distance-left:0;mso-wrap-distance-right:0" id="docshapegroup7" coordorigin="1020,303" coordsize="4763,11">
                <v:rect style="position:absolute;left:1020;top:302;width:4763;height:11" id="docshape8" filled="true" fillcolor="#131413" stroked="false">
                  <v:fill type="solid"/>
                </v:rect>
                <v:rect style="position:absolute;left:1020;top:302;width:4763;height:11" id="docshape9" filled="false" stroked="true" strokeweight="0pt" strokecolor="#13141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before="39"/>
        <w:ind w:left="28" w:right="0" w:firstLine="0"/>
        <w:jc w:val="both"/>
        <w:rPr>
          <w:sz w:val="17"/>
        </w:rPr>
      </w:pPr>
      <w:r>
        <w:rPr>
          <w:color w:val="131413"/>
          <w:spacing w:val="-2"/>
          <w:sz w:val="17"/>
        </w:rPr>
        <w:t>Chuanzhu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Yan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Kunqian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Ji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contributed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equally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to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this</w:t>
      </w:r>
      <w:r>
        <w:rPr>
          <w:color w:val="131413"/>
          <w:spacing w:val="-4"/>
          <w:sz w:val="17"/>
        </w:rPr>
        <w:t> work.</w:t>
      </w:r>
    </w:p>
    <w:p>
      <w:pPr>
        <w:pStyle w:val="BodyText"/>
        <w:spacing w:before="7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648004</wp:posOffset>
                </wp:positionH>
                <wp:positionV relativeFrom="paragraph">
                  <wp:posOffset>49108</wp:posOffset>
                </wp:positionV>
                <wp:extent cx="3024505" cy="6985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024505" cy="6985"/>
                          <a:chExt cx="3024505" cy="698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30245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6985">
                                <a:moveTo>
                                  <a:pt x="3023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023997" y="6477"/>
                                </a:lnTo>
                                <a:lnTo>
                                  <a:pt x="3023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4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30245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6985">
                                <a:moveTo>
                                  <a:pt x="3023997" y="6477"/>
                                </a:moveTo>
                                <a:lnTo>
                                  <a:pt x="0" y="6477"/>
                                </a:lnTo>
                                <a:lnTo>
                                  <a:pt x="0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6477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1314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23998pt;margin-top:3.86683pt;width:238.15pt;height:.550pt;mso-position-horizontal-relative:page;mso-position-vertical-relative:paragraph;z-index:-15727616;mso-wrap-distance-left:0;mso-wrap-distance-right:0" id="docshapegroup10" coordorigin="1020,77" coordsize="4763,11">
                <v:rect style="position:absolute;left:1020;top:77;width:4763;height:11" id="docshape11" filled="true" fillcolor="#131413" stroked="false">
                  <v:fill type="solid"/>
                </v:rect>
                <v:rect style="position:absolute;left:1020;top:77;width:4763;height:11" id="docshape12" filled="false" stroked="true" strokeweight="0pt" strokecolor="#13141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338" w:val="left" w:leader="none"/>
        </w:tabs>
        <w:spacing w:line="244" w:lineRule="auto" w:before="0" w:after="0"/>
        <w:ind w:left="338" w:right="3193" w:hanging="310"/>
        <w:jc w:val="left"/>
        <w:rPr>
          <w:sz w:val="17"/>
        </w:rPr>
      </w:pPr>
      <w:r>
        <w:rPr>
          <w:color w:val="131413"/>
          <w:sz w:val="17"/>
        </w:rPr>
        <w:t>Kunqian Ji </w:t>
      </w:r>
      <w:hyperlink r:id="rId11">
        <w:r>
          <w:rPr>
            <w:color w:val="131413"/>
            <w:spacing w:val="-4"/>
            <w:sz w:val="17"/>
          </w:rPr>
          <w:t>jikunqian@qq.com</w:t>
        </w:r>
      </w:hyperlink>
    </w:p>
    <w:p>
      <w:pPr>
        <w:pStyle w:val="ListParagraph"/>
        <w:numPr>
          <w:ilvl w:val="0"/>
          <w:numId w:val="1"/>
        </w:numPr>
        <w:tabs>
          <w:tab w:pos="337" w:val="left" w:leader="none"/>
        </w:tabs>
        <w:spacing w:line="240" w:lineRule="auto" w:before="98" w:after="0"/>
        <w:ind w:left="337" w:right="0" w:hanging="309"/>
        <w:jc w:val="left"/>
        <w:rPr>
          <w:sz w:val="17"/>
        </w:rPr>
      </w:pPr>
      <w:r>
        <w:rPr>
          <w:color w:val="131413"/>
          <w:spacing w:val="-2"/>
          <w:sz w:val="17"/>
        </w:rPr>
        <w:t>Chuanzhu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5"/>
          <w:sz w:val="17"/>
        </w:rPr>
        <w:t>Yan</w:t>
      </w:r>
    </w:p>
    <w:p>
      <w:pPr>
        <w:spacing w:before="4"/>
        <w:ind w:left="338" w:right="0" w:firstLine="0"/>
        <w:jc w:val="left"/>
        <w:rPr>
          <w:sz w:val="17"/>
        </w:rPr>
      </w:pPr>
      <w:hyperlink r:id="rId12">
        <w:r>
          <w:rPr>
            <w:color w:val="131413"/>
            <w:spacing w:val="-4"/>
            <w:sz w:val="17"/>
          </w:rPr>
          <w:t>czyan@sdu.edu.c</w:t>
        </w:r>
      </w:hyperlink>
      <w:r>
        <w:rPr>
          <w:color w:val="131413"/>
          <w:spacing w:val="-4"/>
          <w:sz w:val="17"/>
        </w:rPr>
        <w:t>n;</w:t>
      </w:r>
      <w:r>
        <w:rPr>
          <w:color w:val="131413"/>
          <w:spacing w:val="15"/>
          <w:sz w:val="17"/>
        </w:rPr>
        <w:t> </w:t>
      </w:r>
      <w:hyperlink r:id="rId13">
        <w:r>
          <w:rPr>
            <w:color w:val="131413"/>
            <w:spacing w:val="-2"/>
            <w:sz w:val="17"/>
          </w:rPr>
          <w:t>chuanzhuyan@163.com</w:t>
        </w:r>
      </w:hyperlink>
    </w:p>
    <w:p>
      <w:pPr>
        <w:pStyle w:val="BodyText"/>
        <w:spacing w:before="57"/>
        <w:rPr>
          <w:sz w:val="17"/>
        </w:rPr>
      </w:pPr>
    </w:p>
    <w:p>
      <w:pPr>
        <w:tabs>
          <w:tab w:pos="309" w:val="left" w:leader="none"/>
        </w:tabs>
        <w:spacing w:line="244" w:lineRule="auto" w:before="0"/>
        <w:ind w:left="309" w:right="53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1</w:t>
      </w:r>
      <w:r>
        <w:rPr>
          <w:color w:val="131413"/>
          <w:sz w:val="17"/>
          <w:vertAlign w:val="baseline"/>
        </w:rPr>
        <w:tab/>
        <w:t>Research</w:t>
      </w:r>
      <w:r>
        <w:rPr>
          <w:color w:val="131413"/>
          <w:spacing w:val="-1"/>
          <w:sz w:val="17"/>
          <w:vertAlign w:val="baseline"/>
        </w:rPr>
        <w:t> </w:t>
      </w:r>
      <w:r>
        <w:rPr>
          <w:color w:val="131413"/>
          <w:sz w:val="17"/>
          <w:vertAlign w:val="baseline"/>
        </w:rPr>
        <w:t>Institute of</w:t>
      </w:r>
      <w:r>
        <w:rPr>
          <w:color w:val="131413"/>
          <w:spacing w:val="-2"/>
          <w:sz w:val="17"/>
          <w:vertAlign w:val="baseline"/>
        </w:rPr>
        <w:t> </w:t>
      </w:r>
      <w:r>
        <w:rPr>
          <w:color w:val="131413"/>
          <w:sz w:val="17"/>
          <w:vertAlign w:val="baseline"/>
        </w:rPr>
        <w:t>Neuromuscular and</w:t>
      </w:r>
      <w:r>
        <w:rPr>
          <w:color w:val="131413"/>
          <w:spacing w:val="-2"/>
          <w:sz w:val="17"/>
          <w:vertAlign w:val="baseline"/>
        </w:rPr>
        <w:t> </w:t>
      </w:r>
      <w:r>
        <w:rPr>
          <w:color w:val="131413"/>
          <w:sz w:val="17"/>
          <w:vertAlign w:val="baseline"/>
        </w:rPr>
        <w:t>Neurodegenerative Diseases and Department of Neurology, Qilu Hospital Cheeloo </w:t>
      </w:r>
      <w:r>
        <w:rPr>
          <w:color w:val="131413"/>
          <w:spacing w:val="-2"/>
          <w:sz w:val="17"/>
          <w:vertAlign w:val="baseline"/>
        </w:rPr>
        <w:t>College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of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Medicine,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Shandong</w:t>
      </w:r>
      <w:r>
        <w:rPr>
          <w:color w:val="131413"/>
          <w:spacing w:val="-7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University,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No.</w:t>
      </w:r>
      <w:r>
        <w:rPr>
          <w:color w:val="131413"/>
          <w:spacing w:val="-6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107</w:t>
      </w:r>
      <w:r>
        <w:rPr>
          <w:color w:val="131413"/>
          <w:spacing w:val="-7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West</w:t>
      </w:r>
      <w:r>
        <w:rPr>
          <w:color w:val="131413"/>
          <w:spacing w:val="-6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Wenhua </w:t>
      </w:r>
      <w:r>
        <w:rPr>
          <w:color w:val="131413"/>
          <w:sz w:val="17"/>
          <w:vertAlign w:val="baseline"/>
        </w:rPr>
        <w:t>Road, Jinan 250012, Shandong, China</w:t>
      </w:r>
    </w:p>
    <w:p>
      <w:pPr>
        <w:tabs>
          <w:tab w:pos="309" w:val="left" w:leader="none"/>
        </w:tabs>
        <w:spacing w:line="244" w:lineRule="auto" w:before="100"/>
        <w:ind w:left="309" w:right="384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2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2"/>
          <w:sz w:val="17"/>
          <w:vertAlign w:val="baseline"/>
        </w:rPr>
        <w:t>Mitochondrial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Medicine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Laboratory,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Qilu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Hospital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(Qingdao), </w:t>
      </w:r>
      <w:r>
        <w:rPr>
          <w:color w:val="131413"/>
          <w:sz w:val="17"/>
          <w:vertAlign w:val="baseline"/>
        </w:rPr>
        <w:t>Shandong University, Qingdao 266035, Shandong, China</w:t>
      </w:r>
    </w:p>
    <w:p>
      <w:pPr>
        <w:tabs>
          <w:tab w:pos="309" w:val="left" w:leader="none"/>
        </w:tabs>
        <w:spacing w:line="244" w:lineRule="auto" w:before="100"/>
        <w:ind w:left="309" w:right="829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3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2"/>
          <w:sz w:val="17"/>
          <w:vertAlign w:val="baseline"/>
        </w:rPr>
        <w:t>Brain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Science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Research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Institute,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Shandong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University, </w:t>
      </w:r>
      <w:r>
        <w:rPr>
          <w:color w:val="131413"/>
          <w:sz w:val="17"/>
          <w:vertAlign w:val="baseline"/>
        </w:rPr>
        <w:t>Jinan 250012, Shandong, China</w:t>
      </w:r>
    </w:p>
    <w:p>
      <w:pPr>
        <w:pStyle w:val="BodyText"/>
        <w:spacing w:line="259" w:lineRule="auto" w:before="128"/>
        <w:ind w:left="28" w:right="25"/>
        <w:jc w:val="both"/>
      </w:pPr>
      <w:r>
        <w:rPr/>
        <w:br w:type="column"/>
      </w:r>
      <w:r>
        <w:rPr>
          <w:color w:val="131413"/>
          <w:spacing w:val="-2"/>
        </w:rPr>
        <w:t>(OXPHOS)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defects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[</w:t>
      </w:r>
      <w:hyperlink w:history="true" w:anchor="_bookmark5">
        <w:r>
          <w:rPr>
            <w:color w:val="0000FF"/>
            <w:spacing w:val="-2"/>
          </w:rPr>
          <w:t>1</w:t>
        </w:r>
      </w:hyperlink>
      <w:r>
        <w:rPr>
          <w:color w:val="131413"/>
          <w:spacing w:val="-2"/>
        </w:rPr>
        <w:t>,</w:t>
      </w:r>
      <w:r>
        <w:rPr>
          <w:color w:val="131413"/>
          <w:spacing w:val="-11"/>
        </w:rPr>
        <w:t> </w:t>
      </w:r>
      <w:hyperlink w:history="true" w:anchor="_bookmark6">
        <w:r>
          <w:rPr>
            <w:color w:val="0000FF"/>
            <w:spacing w:val="-2"/>
          </w:rPr>
          <w:t>2</w:t>
        </w:r>
      </w:hyperlink>
      <w:r>
        <w:rPr>
          <w:color w:val="131413"/>
          <w:spacing w:val="-2"/>
        </w:rPr>
        <w:t>].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These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disorders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can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originate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from mutated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nuclear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DNA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(nDNA)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maternally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inherited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mi- </w:t>
      </w:r>
      <w:r>
        <w:rPr>
          <w:color w:val="131413"/>
          <w:spacing w:val="-4"/>
        </w:rPr>
        <w:t>tochondrial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DNA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(mtDNA)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[</w:t>
      </w:r>
      <w:hyperlink w:history="true" w:anchor="_bookmark6">
        <w:r>
          <w:rPr>
            <w:color w:val="0000FF"/>
            <w:spacing w:val="-4"/>
          </w:rPr>
          <w:t>2</w:t>
        </w:r>
      </w:hyperlink>
      <w:r>
        <w:rPr>
          <w:color w:val="131413"/>
          <w:spacing w:val="-4"/>
        </w:rPr>
        <w:t>,</w:t>
      </w:r>
      <w:r>
        <w:rPr>
          <w:color w:val="131413"/>
          <w:spacing w:val="-7"/>
        </w:rPr>
        <w:t> </w:t>
      </w:r>
      <w:hyperlink w:history="true" w:anchor="_bookmark7">
        <w:r>
          <w:rPr>
            <w:color w:val="0000FF"/>
            <w:spacing w:val="-4"/>
          </w:rPr>
          <w:t>3</w:t>
        </w:r>
      </w:hyperlink>
      <w:r>
        <w:rPr>
          <w:color w:val="131413"/>
          <w:spacing w:val="-4"/>
        </w:rPr>
        <w:t>].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Over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1100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nDNA-encoded </w:t>
      </w:r>
      <w:r>
        <w:rPr>
          <w:color w:val="131413"/>
          <w:spacing w:val="-2"/>
        </w:rPr>
        <w:t>proteins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found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mitochondria,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including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OXPHOS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sub- units,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assembly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factors,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proteins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related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other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essential </w:t>
      </w:r>
      <w:r>
        <w:rPr>
          <w:color w:val="131413"/>
        </w:rPr>
        <w:t>mitochondrial functions [</w:t>
      </w:r>
      <w:hyperlink w:history="true" w:anchor="_bookmark8">
        <w:r>
          <w:rPr>
            <w:color w:val="0000FF"/>
          </w:rPr>
          <w:t>4</w:t>
        </w:r>
      </w:hyperlink>
      <w:r>
        <w:rPr>
          <w:color w:val="131413"/>
        </w:rPr>
        <w:t>].</w:t>
      </w:r>
    </w:p>
    <w:p>
      <w:pPr>
        <w:pStyle w:val="BodyText"/>
        <w:spacing w:line="259" w:lineRule="auto" w:before="3"/>
        <w:ind w:left="28" w:right="19" w:firstLine="226"/>
        <w:jc w:val="both"/>
      </w:pPr>
      <w:r>
        <w:rPr>
          <w:color w:val="131413"/>
          <w:spacing w:val="-2"/>
        </w:rPr>
        <w:t>mtDNA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polymerase</w:t>
      </w:r>
      <w:r>
        <w:rPr>
          <w:color w:val="131413"/>
          <w:spacing w:val="-9"/>
        </w:rPr>
        <w:t> </w:t>
      </w:r>
      <w:r>
        <w:rPr>
          <w:rFonts w:ascii="Arial" w:hAnsi="Arial"/>
          <w:color w:val="131413"/>
          <w:spacing w:val="-2"/>
        </w:rPr>
        <w:t>γ</w:t>
      </w:r>
      <w:r>
        <w:rPr>
          <w:rFonts w:ascii="Arial" w:hAnsi="Arial"/>
          <w:color w:val="131413"/>
          <w:spacing w:val="-12"/>
        </w:rPr>
        <w:t> </w:t>
      </w:r>
      <w:r>
        <w:rPr>
          <w:color w:val="131413"/>
          <w:spacing w:val="-2"/>
        </w:rPr>
        <w:t>(Pol</w:t>
      </w:r>
      <w:r>
        <w:rPr>
          <w:rFonts w:ascii="Arial" w:hAnsi="Arial"/>
          <w:color w:val="131413"/>
          <w:spacing w:val="-2"/>
        </w:rPr>
        <w:t>γ</w:t>
      </w:r>
      <w:r>
        <w:rPr>
          <w:color w:val="131413"/>
          <w:spacing w:val="-2"/>
        </w:rPr>
        <w:t>)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is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key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regulator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mtDNA </w:t>
      </w:r>
      <w:r>
        <w:rPr>
          <w:color w:val="131413"/>
        </w:rPr>
        <w:t>replication and homeostasis [</w:t>
      </w:r>
      <w:hyperlink w:history="true" w:anchor="_bookmark9">
        <w:r>
          <w:rPr>
            <w:color w:val="0000FF"/>
          </w:rPr>
          <w:t>5</w:t>
        </w:r>
      </w:hyperlink>
      <w:r>
        <w:rPr>
          <w:rFonts w:ascii="Arial" w:hAnsi="Arial"/>
          <w:color w:val="131413"/>
        </w:rPr>
        <w:t>–</w:t>
      </w:r>
      <w:hyperlink w:history="true" w:anchor="_bookmark10">
        <w:r>
          <w:rPr>
            <w:color w:val="0000FF"/>
          </w:rPr>
          <w:t>7</w:t>
        </w:r>
      </w:hyperlink>
      <w:r>
        <w:rPr>
          <w:color w:val="131413"/>
        </w:rPr>
        <w:t>]. Human Pol</w:t>
      </w:r>
      <w:r>
        <w:rPr>
          <w:rFonts w:ascii="Arial" w:hAnsi="Arial"/>
          <w:color w:val="131413"/>
        </w:rPr>
        <w:t>γ </w:t>
      </w:r>
      <w:r>
        <w:rPr>
          <w:color w:val="131413"/>
        </w:rPr>
        <w:t>is a heterotrimeric</w:t>
      </w:r>
      <w:r>
        <w:rPr>
          <w:color w:val="131413"/>
          <w:spacing w:val="-13"/>
        </w:rPr>
        <w:t> </w:t>
      </w:r>
      <w:r>
        <w:rPr>
          <w:color w:val="131413"/>
        </w:rPr>
        <w:t>protein</w:t>
      </w:r>
      <w:r>
        <w:rPr>
          <w:color w:val="131413"/>
          <w:spacing w:val="-12"/>
        </w:rPr>
        <w:t> </w:t>
      </w:r>
      <w:r>
        <w:rPr>
          <w:color w:val="131413"/>
        </w:rPr>
        <w:t>complex</w:t>
      </w:r>
      <w:r>
        <w:rPr>
          <w:color w:val="131413"/>
          <w:spacing w:val="-13"/>
        </w:rPr>
        <w:t> </w:t>
      </w:r>
      <w:r>
        <w:rPr>
          <w:color w:val="131413"/>
        </w:rPr>
        <w:t>containing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catalytic</w:t>
      </w:r>
      <w:r>
        <w:rPr>
          <w:color w:val="131413"/>
          <w:spacing w:val="-12"/>
        </w:rPr>
        <w:t> </w:t>
      </w:r>
      <w:r>
        <w:rPr>
          <w:color w:val="131413"/>
        </w:rPr>
        <w:t>140- kDa POLG subunit encoded by </w:t>
      </w:r>
      <w:r>
        <w:rPr>
          <w:i/>
          <w:color w:val="131413"/>
        </w:rPr>
        <w:t>POLG </w:t>
      </w:r>
      <w:r>
        <w:rPr>
          <w:color w:val="131413"/>
        </w:rPr>
        <w:t>(MIM 174763) on chromosome 15q25 and the 55-kDa accessory subunit POLG2</w:t>
      </w:r>
      <w:r>
        <w:rPr>
          <w:color w:val="131413"/>
          <w:spacing w:val="-12"/>
        </w:rPr>
        <w:t> </w:t>
      </w:r>
      <w:r>
        <w:rPr>
          <w:color w:val="131413"/>
        </w:rPr>
        <w:t>encoded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>
          <w:color w:val="131413"/>
          <w:spacing w:val="-12"/>
        </w:rPr>
        <w:t> </w:t>
      </w:r>
      <w:r>
        <w:rPr>
          <w:i/>
          <w:color w:val="131413"/>
        </w:rPr>
        <w:t>POLG2</w:t>
      </w:r>
      <w:r>
        <w:rPr>
          <w:i/>
          <w:color w:val="131413"/>
          <w:spacing w:val="-12"/>
        </w:rPr>
        <w:t> </w:t>
      </w:r>
      <w:r>
        <w:rPr>
          <w:color w:val="131413"/>
        </w:rPr>
        <w:t>(MIN</w:t>
      </w:r>
      <w:r>
        <w:rPr>
          <w:color w:val="131413"/>
          <w:spacing w:val="-12"/>
        </w:rPr>
        <w:t> </w:t>
      </w:r>
      <w:r>
        <w:rPr>
          <w:color w:val="131413"/>
        </w:rPr>
        <w:t>604983)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12"/>
        </w:rPr>
        <w:t> </w:t>
      </w:r>
      <w:r>
        <w:rPr>
          <w:color w:val="131413"/>
        </w:rPr>
        <w:t>chromosome </w:t>
      </w:r>
      <w:r>
        <w:rPr>
          <w:color w:val="131413"/>
          <w:spacing w:val="-2"/>
        </w:rPr>
        <w:t>17q24.1[</w:t>
      </w:r>
      <w:hyperlink w:history="true" w:anchor="_bookmark10">
        <w:r>
          <w:rPr>
            <w:color w:val="0000FF"/>
            <w:spacing w:val="-2"/>
          </w:rPr>
          <w:t>7</w:t>
        </w:r>
      </w:hyperlink>
      <w:r>
        <w:rPr>
          <w:color w:val="131413"/>
          <w:spacing w:val="-2"/>
        </w:rPr>
        <w:t>].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POLG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possesses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both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3</w:t>
      </w:r>
      <w:r>
        <w:rPr>
          <w:rFonts w:ascii="Arial" w:hAnsi="Arial"/>
          <w:color w:val="131413"/>
          <w:spacing w:val="-2"/>
        </w:rPr>
        <w:t>′</w:t>
      </w:r>
      <w:r>
        <w:rPr>
          <w:rFonts w:ascii="Arial" w:hAnsi="Arial"/>
          <w:color w:val="131413"/>
          <w:spacing w:val="-12"/>
        </w:rPr>
        <w:t> </w:t>
      </w:r>
      <w:r>
        <w:rPr>
          <w:color w:val="131413"/>
          <w:spacing w:val="-2"/>
        </w:rPr>
        <w:t>→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5</w:t>
      </w:r>
      <w:r>
        <w:rPr>
          <w:rFonts w:ascii="Arial" w:hAnsi="Arial"/>
          <w:color w:val="131413"/>
          <w:spacing w:val="-2"/>
        </w:rPr>
        <w:t>′</w:t>
      </w:r>
      <w:r>
        <w:rPr>
          <w:rFonts w:ascii="Arial" w:hAnsi="Arial"/>
          <w:color w:val="131413"/>
          <w:spacing w:val="-12"/>
        </w:rPr>
        <w:t> </w:t>
      </w:r>
      <w:r>
        <w:rPr>
          <w:color w:val="131413"/>
          <w:spacing w:val="-2"/>
        </w:rPr>
        <w:t>exonuclease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activ- </w:t>
      </w:r>
      <w:r>
        <w:rPr>
          <w:color w:val="131413"/>
        </w:rPr>
        <w:t>ity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5</w:t>
      </w:r>
      <w:r>
        <w:rPr>
          <w:rFonts w:ascii="Arial" w:hAnsi="Arial"/>
          <w:color w:val="131413"/>
        </w:rPr>
        <w:t>′</w:t>
      </w:r>
      <w:r>
        <w:rPr>
          <w:rFonts w:ascii="Arial" w:hAnsi="Arial"/>
          <w:color w:val="131413"/>
          <w:spacing w:val="-6"/>
        </w:rPr>
        <w:t> </w:t>
      </w:r>
      <w:r>
        <w:rPr>
          <w:color w:val="131413"/>
        </w:rPr>
        <w:t>→</w:t>
      </w:r>
      <w:r>
        <w:rPr>
          <w:color w:val="131413"/>
          <w:spacing w:val="-13"/>
        </w:rPr>
        <w:t> </w:t>
      </w:r>
      <w:r>
        <w:rPr>
          <w:color w:val="131413"/>
        </w:rPr>
        <w:t>3</w:t>
      </w:r>
      <w:r>
        <w:rPr>
          <w:rFonts w:ascii="Arial" w:hAnsi="Arial"/>
          <w:color w:val="131413"/>
        </w:rPr>
        <w:t>′</w:t>
      </w:r>
      <w:r>
        <w:rPr>
          <w:rFonts w:ascii="Arial" w:hAnsi="Arial"/>
          <w:color w:val="131413"/>
          <w:spacing w:val="-6"/>
        </w:rPr>
        <w:t> </w:t>
      </w:r>
      <w:r>
        <w:rPr>
          <w:color w:val="131413"/>
        </w:rPr>
        <w:t>polymerization</w:t>
      </w:r>
      <w:r>
        <w:rPr>
          <w:color w:val="131413"/>
          <w:spacing w:val="-3"/>
        </w:rPr>
        <w:t> </w:t>
      </w:r>
      <w:r>
        <w:rPr>
          <w:color w:val="131413"/>
        </w:rPr>
        <w:t>activity. </w:t>
      </w:r>
      <w:r>
        <w:rPr>
          <w:i/>
          <w:color w:val="131413"/>
        </w:rPr>
        <w:t>POLG </w:t>
      </w:r>
      <w:r>
        <w:rPr>
          <w:color w:val="131413"/>
        </w:rPr>
        <w:t>genetic vari- ants affect mtDNA stability and nucleotide metabolism, resulting</w:t>
      </w:r>
      <w:r>
        <w:rPr>
          <w:color w:val="131413"/>
          <w:spacing w:val="-5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mtDNA</w:t>
      </w:r>
      <w:r>
        <w:rPr>
          <w:color w:val="131413"/>
          <w:spacing w:val="-5"/>
        </w:rPr>
        <w:t> </w:t>
      </w:r>
      <w:r>
        <w:rPr>
          <w:color w:val="131413"/>
        </w:rPr>
        <w:t>defects</w:t>
      </w:r>
      <w:r>
        <w:rPr>
          <w:color w:val="131413"/>
          <w:spacing w:val="-5"/>
        </w:rPr>
        <w:t> </w:t>
      </w:r>
      <w:r>
        <w:rPr>
          <w:color w:val="131413"/>
        </w:rPr>
        <w:t>including</w:t>
      </w:r>
      <w:r>
        <w:rPr>
          <w:color w:val="131413"/>
          <w:spacing w:val="-5"/>
        </w:rPr>
        <w:t> </w:t>
      </w:r>
      <w:r>
        <w:rPr>
          <w:color w:val="131413"/>
        </w:rPr>
        <w:t>deletions,</w:t>
      </w:r>
      <w:r>
        <w:rPr>
          <w:color w:val="131413"/>
          <w:spacing w:val="-6"/>
        </w:rPr>
        <w:t> </w:t>
      </w:r>
      <w:r>
        <w:rPr>
          <w:color w:val="131413"/>
        </w:rPr>
        <w:t>depletions, </w:t>
      </w:r>
      <w:r>
        <w:rPr>
          <w:color w:val="131413"/>
          <w:spacing w:val="-4"/>
        </w:rPr>
        <w:t>base-pair substitutions, and rearrangements, which can in turn </w:t>
      </w:r>
      <w:r>
        <w:rPr>
          <w:color w:val="131413"/>
        </w:rPr>
        <w:t>give rise to mitochondrial diseases [</w:t>
      </w:r>
      <w:hyperlink w:history="true" w:anchor="_bookmark9">
        <w:r>
          <w:rPr>
            <w:color w:val="0000FF"/>
          </w:rPr>
          <w:t>5</w:t>
        </w:r>
      </w:hyperlink>
      <w:r>
        <w:rPr>
          <w:color w:val="131413"/>
        </w:rPr>
        <w:t>, </w:t>
      </w:r>
      <w:hyperlink w:history="true" w:anchor="_bookmark11">
        <w:r>
          <w:rPr>
            <w:color w:val="0000FF"/>
          </w:rPr>
          <w:t>8</w:t>
        </w:r>
      </w:hyperlink>
      <w:r>
        <w:rPr>
          <w:color w:val="131413"/>
        </w:rPr>
        <w:t>, </w:t>
      </w:r>
      <w:hyperlink w:history="true" w:anchor="_bookmark12">
        <w:r>
          <w:rPr>
            <w:color w:val="0000FF"/>
          </w:rPr>
          <w:t>9</w:t>
        </w:r>
      </w:hyperlink>
      <w:r>
        <w:rPr>
          <w:color w:val="131413"/>
        </w:rPr>
        <w:t>].</w:t>
      </w:r>
    </w:p>
    <w:p>
      <w:pPr>
        <w:pStyle w:val="BodyText"/>
        <w:spacing w:line="259" w:lineRule="auto" w:before="5"/>
        <w:ind w:left="28" w:right="27" w:firstLine="226"/>
        <w:jc w:val="both"/>
      </w:pPr>
      <w:r>
        <w:rPr>
          <w:i/>
          <w:color w:val="131413"/>
          <w:spacing w:val="-2"/>
        </w:rPr>
        <w:t>POLG</w:t>
      </w:r>
      <w:r>
        <w:rPr>
          <w:i/>
          <w:color w:val="131413"/>
          <w:spacing w:val="-8"/>
        </w:rPr>
        <w:t> </w:t>
      </w:r>
      <w:r>
        <w:rPr>
          <w:color w:val="131413"/>
          <w:spacing w:val="-2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nuclear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gene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most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often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mutated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the </w:t>
      </w:r>
      <w:r>
        <w:rPr>
          <w:color w:val="131413"/>
        </w:rPr>
        <w:t>context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mitochondrial</w:t>
      </w:r>
      <w:r>
        <w:rPr>
          <w:color w:val="131413"/>
          <w:spacing w:val="-5"/>
        </w:rPr>
        <w:t> </w:t>
      </w:r>
      <w:r>
        <w:rPr>
          <w:color w:val="131413"/>
        </w:rPr>
        <w:t>disorders.</w:t>
      </w:r>
      <w:r>
        <w:rPr>
          <w:color w:val="131413"/>
          <w:spacing w:val="-6"/>
        </w:rPr>
        <w:t> </w:t>
      </w:r>
      <w:r>
        <w:rPr>
          <w:color w:val="131413"/>
        </w:rPr>
        <w:t>Van</w:t>
      </w:r>
      <w:r>
        <w:rPr>
          <w:color w:val="131413"/>
          <w:spacing w:val="-5"/>
        </w:rPr>
        <w:t> </w:t>
      </w:r>
      <w:r>
        <w:rPr>
          <w:color w:val="131413"/>
        </w:rPr>
        <w:t>Goethem</w:t>
      </w:r>
      <w:r>
        <w:rPr>
          <w:color w:val="131413"/>
          <w:spacing w:val="-6"/>
        </w:rPr>
        <w:t> </w:t>
      </w:r>
      <w:r>
        <w:rPr>
          <w:color w:val="131413"/>
        </w:rPr>
        <w:t>et</w:t>
      </w:r>
      <w:r>
        <w:rPr>
          <w:color w:val="131413"/>
          <w:spacing w:val="-5"/>
        </w:rPr>
        <w:t> </w:t>
      </w:r>
      <w:r>
        <w:rPr>
          <w:color w:val="131413"/>
        </w:rPr>
        <w:t>al.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first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8" w:space="303"/>
            <w:col w:w="4825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after="0"/>
        <w:rPr>
          <w:sz w:val="11"/>
        </w:rPr>
        <w:sectPr>
          <w:headerReference w:type="even" r:id="rId14"/>
          <w:headerReference w:type="default" r:id="rId15"/>
          <w:pgSz w:w="11910" w:h="15820"/>
          <w:pgMar w:header="673" w:footer="0" w:top="900" w:bottom="1100" w:left="992" w:right="992"/>
          <w:pgNumType w:start="4272"/>
        </w:sectPr>
      </w:pPr>
    </w:p>
    <w:p>
      <w:pPr>
        <w:pStyle w:val="BodyText"/>
        <w:spacing w:line="259" w:lineRule="auto" w:before="102"/>
        <w:ind w:left="28"/>
        <w:jc w:val="both"/>
      </w:pPr>
      <w:r>
        <w:rPr>
          <w:color w:val="131413"/>
          <w:spacing w:val="-4"/>
        </w:rPr>
        <w:t>reported a </w:t>
      </w:r>
      <w:r>
        <w:rPr>
          <w:i/>
          <w:color w:val="131413"/>
          <w:spacing w:val="-4"/>
        </w:rPr>
        <w:t>POLG </w:t>
      </w:r>
      <w:r>
        <w:rPr>
          <w:color w:val="131413"/>
          <w:spacing w:val="-4"/>
        </w:rPr>
        <w:t>variant in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a Belgian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patient with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progressive </w:t>
      </w:r>
      <w:r>
        <w:rPr>
          <w:color w:val="131413"/>
        </w:rPr>
        <w:t>external ophthalmoplegia (PEO) in 2001 [</w:t>
      </w:r>
      <w:hyperlink w:history="true" w:anchor="_bookmark13">
        <w:r>
          <w:rPr>
            <w:color w:val="0000FF"/>
          </w:rPr>
          <w:t>10</w:t>
        </w:r>
      </w:hyperlink>
      <w:r>
        <w:rPr>
          <w:color w:val="131413"/>
        </w:rPr>
        <w:t>]. Since then, </w:t>
      </w:r>
      <w:r>
        <w:rPr>
          <w:i/>
          <w:color w:val="131413"/>
          <w:spacing w:val="-2"/>
        </w:rPr>
        <w:t>POLG</w:t>
      </w:r>
      <w:r>
        <w:rPr>
          <w:i/>
          <w:color w:val="131413"/>
          <w:spacing w:val="-11"/>
        </w:rPr>
        <w:t> </w:t>
      </w:r>
      <w:r>
        <w:rPr>
          <w:color w:val="131413"/>
          <w:spacing w:val="-2"/>
        </w:rPr>
        <w:t>has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been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focus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intensive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research.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To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date,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there are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approximately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300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related</w:t>
      </w:r>
      <w:r>
        <w:rPr>
          <w:color w:val="131413"/>
          <w:spacing w:val="-11"/>
        </w:rPr>
        <w:t> </w:t>
      </w:r>
      <w:r>
        <w:rPr>
          <w:i/>
          <w:color w:val="131413"/>
          <w:spacing w:val="-2"/>
        </w:rPr>
        <w:t>POLG</w:t>
      </w:r>
      <w:r>
        <w:rPr>
          <w:i/>
          <w:color w:val="131413"/>
          <w:spacing w:val="-8"/>
        </w:rPr>
        <w:t> </w:t>
      </w:r>
      <w:r>
        <w:rPr>
          <w:color w:val="131413"/>
          <w:spacing w:val="-2"/>
        </w:rPr>
        <w:t>variants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been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doc- </w:t>
      </w:r>
      <w:r>
        <w:rPr>
          <w:color w:val="131413"/>
        </w:rPr>
        <w:t>umented (</w:t>
      </w:r>
      <w:hyperlink r:id="rId16">
        <w:r>
          <w:rPr>
            <w:color w:val="0000FF"/>
          </w:rPr>
          <w:t>http://tools.niehs.nih</w:t>
        </w:r>
      </w:hyperlink>
      <w:r>
        <w:rPr>
          <w:color w:val="131413"/>
        </w:rPr>
        <w:t>. gov/polg/), the majority of which are point </w:t>
      </w:r>
      <w:r>
        <w:rPr>
          <w:color w:val="131413"/>
          <w:spacing w:val="10"/>
        </w:rPr>
        <w:t>mutations,</w:t>
      </w:r>
      <w:r>
        <w:rPr>
          <w:color w:val="131413"/>
          <w:spacing w:val="10"/>
        </w:rPr>
        <w:t> </w:t>
      </w:r>
      <w:r>
        <w:rPr>
          <w:color w:val="131413"/>
          <w:spacing w:val="9"/>
        </w:rPr>
        <w:t>whereas</w:t>
      </w:r>
      <w:r>
        <w:rPr>
          <w:color w:val="131413"/>
          <w:spacing w:val="9"/>
        </w:rPr>
        <w:t> </w:t>
      </w:r>
      <w:r>
        <w:rPr>
          <w:i/>
          <w:color w:val="131413"/>
        </w:rPr>
        <w:t>POLG </w:t>
      </w:r>
      <w:r>
        <w:rPr>
          <w:color w:val="131413"/>
          <w:spacing w:val="11"/>
        </w:rPr>
        <w:t>deletion </w:t>
      </w:r>
      <w:r>
        <w:rPr>
          <w:color w:val="131413"/>
        </w:rPr>
        <w:t>mutations are extremely rare and have been identified only sporadically.</w:t>
      </w:r>
      <w:r>
        <w:rPr>
          <w:color w:val="131413"/>
          <w:spacing w:val="-7"/>
        </w:rPr>
        <w:t> </w:t>
      </w:r>
      <w:r>
        <w:rPr>
          <w:i/>
          <w:color w:val="131413"/>
        </w:rPr>
        <w:t>POLG</w:t>
      </w:r>
      <w:r>
        <w:rPr>
          <w:i/>
          <w:color w:val="131413"/>
          <w:spacing w:val="-6"/>
        </w:rPr>
        <w:t> </w:t>
      </w:r>
      <w:r>
        <w:rPr>
          <w:color w:val="131413"/>
        </w:rPr>
        <w:t>variant-related</w:t>
      </w:r>
      <w:r>
        <w:rPr>
          <w:color w:val="131413"/>
          <w:spacing w:val="-7"/>
        </w:rPr>
        <w:t> </w:t>
      </w:r>
      <w:r>
        <w:rPr>
          <w:color w:val="131413"/>
        </w:rPr>
        <w:t>disorders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associated </w:t>
      </w:r>
      <w:r>
        <w:rPr>
          <w:color w:val="131413"/>
          <w:spacing w:val="-2"/>
        </w:rPr>
        <w:t>with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heterogeneous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array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pathogenic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mechanisms,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clini- cal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presentations,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outcomes.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Neurological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disorders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may </w:t>
      </w:r>
      <w:r>
        <w:rPr>
          <w:color w:val="131413"/>
        </w:rPr>
        <w:t>include devastating infantile disorders such as Alpers- </w:t>
      </w:r>
      <w:r>
        <w:rPr>
          <w:color w:val="131413"/>
          <w:spacing w:val="-2"/>
        </w:rPr>
        <w:t>Huttenlocher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syndrome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(AHS),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mitochondrial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recessive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atax- </w:t>
      </w:r>
      <w:r>
        <w:rPr>
          <w:color w:val="131413"/>
        </w:rPr>
        <w:t>ia syndrome (MIRAS), myocerebrohepatopathy spectrum </w:t>
      </w:r>
      <w:r>
        <w:rPr>
          <w:color w:val="131413"/>
          <w:spacing w:val="-2"/>
        </w:rPr>
        <w:t>(MCHS),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juvenile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adult-onset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myoclonic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epilepsy,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ataxia neuropathy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spectrum (ANS), sensory ataxia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neuropathy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dys- </w:t>
      </w:r>
      <w:r>
        <w:rPr>
          <w:color w:val="131413"/>
        </w:rPr>
        <w:t>arthria and ophthalmoplegia (SANDO), and mitochondrial neurogastrointestinal</w:t>
      </w:r>
      <w:r>
        <w:rPr>
          <w:color w:val="131413"/>
          <w:spacing w:val="-5"/>
        </w:rPr>
        <w:t> </w:t>
      </w:r>
      <w:r>
        <w:rPr>
          <w:color w:val="131413"/>
        </w:rPr>
        <w:t>encephalopathy</w:t>
      </w:r>
      <w:r>
        <w:rPr>
          <w:color w:val="131413"/>
          <w:spacing w:val="-4"/>
        </w:rPr>
        <w:t> </w:t>
      </w:r>
      <w:r>
        <w:rPr>
          <w:color w:val="131413"/>
        </w:rPr>
        <w:t>(MNGIE).</w:t>
      </w:r>
      <w:r>
        <w:rPr>
          <w:color w:val="131413"/>
          <w:spacing w:val="-4"/>
        </w:rPr>
        <w:t> </w:t>
      </w:r>
      <w:r>
        <w:rPr>
          <w:color w:val="131413"/>
        </w:rPr>
        <w:t>Such</w:t>
      </w:r>
      <w:r>
        <w:rPr>
          <w:color w:val="131413"/>
          <w:spacing w:val="-4"/>
        </w:rPr>
        <w:t> </w:t>
      </w:r>
      <w:r>
        <w:rPr>
          <w:color w:val="131413"/>
        </w:rPr>
        <w:t>vari- </w:t>
      </w:r>
      <w:r>
        <w:rPr>
          <w:color w:val="131413"/>
          <w:spacing w:val="-2"/>
        </w:rPr>
        <w:t>ants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can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also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cause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late-onset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disorders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including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myopathies </w:t>
      </w:r>
      <w:r>
        <w:rPr>
          <w:color w:val="131413"/>
        </w:rPr>
        <w:t>such as PEO and certain movement</w:t>
      </w:r>
      <w:r>
        <w:rPr>
          <w:color w:val="131413"/>
          <w:spacing w:val="-1"/>
        </w:rPr>
        <w:t> </w:t>
      </w:r>
      <w:r>
        <w:rPr>
          <w:color w:val="131413"/>
        </w:rPr>
        <w:t>disorder syndromes [</w:t>
      </w:r>
      <w:hyperlink w:history="true" w:anchor="_bookmark9">
        <w:r>
          <w:rPr>
            <w:color w:val="0000FF"/>
          </w:rPr>
          <w:t>5</w:t>
        </w:r>
      </w:hyperlink>
      <w:r>
        <w:rPr>
          <w:color w:val="131413"/>
        </w:rPr>
        <w:t>, </w:t>
      </w:r>
      <w:hyperlink w:history="true" w:anchor="_bookmark14">
        <w:r>
          <w:rPr>
            <w:color w:val="0000FF"/>
            <w:spacing w:val="-2"/>
          </w:rPr>
          <w:t>11</w:t>
        </w:r>
      </w:hyperlink>
      <w:r>
        <w:rPr>
          <w:rFonts w:ascii="Arial" w:hAnsi="Arial"/>
          <w:color w:val="131413"/>
          <w:spacing w:val="-2"/>
        </w:rPr>
        <w:t>–</w:t>
      </w:r>
      <w:hyperlink w:history="true" w:anchor="_bookmark15">
        <w:r>
          <w:rPr>
            <w:color w:val="0000FF"/>
            <w:spacing w:val="-2"/>
          </w:rPr>
          <w:t>15</w:t>
        </w:r>
      </w:hyperlink>
      <w:r>
        <w:rPr>
          <w:color w:val="131413"/>
          <w:spacing w:val="-2"/>
        </w:rPr>
        <w:t>].</w:t>
      </w:r>
    </w:p>
    <w:p>
      <w:pPr>
        <w:pStyle w:val="BodyText"/>
        <w:spacing w:line="259" w:lineRule="auto" w:before="12"/>
        <w:ind w:left="28" w:right="7" w:firstLine="226"/>
        <w:jc w:val="both"/>
      </w:pPr>
      <w:r>
        <w:rPr>
          <w:color w:val="131413"/>
        </w:rPr>
        <w:t>PEO,</w:t>
      </w:r>
      <w:r>
        <w:rPr>
          <w:color w:val="131413"/>
          <w:spacing w:val="-2"/>
        </w:rPr>
        <w:t> </w:t>
      </w:r>
      <w:r>
        <w:rPr>
          <w:color w:val="131413"/>
        </w:rPr>
        <w:t>which is</w:t>
      </w:r>
      <w:r>
        <w:rPr>
          <w:color w:val="131413"/>
          <w:spacing w:val="-2"/>
        </w:rPr>
        <w:t> </w:t>
      </w:r>
      <w:r>
        <w:rPr>
          <w:color w:val="131413"/>
        </w:rPr>
        <w:t>the most</w:t>
      </w:r>
      <w:r>
        <w:rPr>
          <w:color w:val="131413"/>
          <w:spacing w:val="-2"/>
        </w:rPr>
        <w:t> </w:t>
      </w:r>
      <w:r>
        <w:rPr>
          <w:color w:val="131413"/>
        </w:rPr>
        <w:t>prevalent form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mitochondrial </w:t>
      </w:r>
      <w:r>
        <w:rPr>
          <w:color w:val="131413"/>
          <w:spacing w:val="-2"/>
        </w:rPr>
        <w:t>myopathy, usually presents with progressive bilateral ptosis, diffuse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symmetric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ocular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motility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reductions,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exercise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in- tolerance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[</w:t>
      </w:r>
      <w:hyperlink w:history="true" w:anchor="_bookmark16">
        <w:r>
          <w:rPr>
            <w:color w:val="0000FF"/>
            <w:spacing w:val="-2"/>
          </w:rPr>
          <w:t>16</w:t>
        </w:r>
      </w:hyperlink>
      <w:r>
        <w:rPr>
          <w:color w:val="131413"/>
          <w:spacing w:val="-2"/>
        </w:rPr>
        <w:t>,</w:t>
      </w:r>
      <w:r>
        <w:rPr>
          <w:color w:val="131413"/>
          <w:spacing w:val="-7"/>
        </w:rPr>
        <w:t> </w:t>
      </w:r>
      <w:hyperlink w:history="true" w:anchor="_bookmark17">
        <w:r>
          <w:rPr>
            <w:color w:val="0000FF"/>
            <w:spacing w:val="-2"/>
          </w:rPr>
          <w:t>17</w:t>
        </w:r>
      </w:hyperlink>
      <w:r>
        <w:rPr>
          <w:color w:val="131413"/>
          <w:spacing w:val="-2"/>
        </w:rPr>
        <w:t>].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Approximately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half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all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PEO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cases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orig- </w:t>
      </w:r>
      <w:r>
        <w:rPr>
          <w:color w:val="131413"/>
        </w:rPr>
        <w:t>inate from nDNA mutations in genes like </w:t>
      </w:r>
      <w:r>
        <w:rPr>
          <w:i/>
          <w:color w:val="131413"/>
        </w:rPr>
        <w:t>POLG</w:t>
      </w:r>
      <w:r>
        <w:rPr>
          <w:color w:val="131413"/>
        </w:rPr>
        <w:t>, </w:t>
      </w:r>
      <w:r>
        <w:rPr>
          <w:i/>
          <w:color w:val="131413"/>
        </w:rPr>
        <w:t>POLG2</w:t>
      </w:r>
      <w:r>
        <w:rPr>
          <w:color w:val="131413"/>
        </w:rPr>
        <w:t>, </w:t>
      </w:r>
      <w:r>
        <w:rPr>
          <w:i/>
          <w:color w:val="131413"/>
        </w:rPr>
        <w:t>SLC25A4</w:t>
      </w:r>
      <w:r>
        <w:rPr>
          <w:color w:val="131413"/>
        </w:rPr>
        <w:t>,</w:t>
      </w:r>
      <w:r>
        <w:rPr>
          <w:color w:val="131413"/>
          <w:spacing w:val="35"/>
        </w:rPr>
        <w:t> </w:t>
      </w:r>
      <w:r>
        <w:rPr>
          <w:i/>
          <w:color w:val="131413"/>
        </w:rPr>
        <w:t>C10orf2</w:t>
      </w:r>
      <w:r>
        <w:rPr>
          <w:color w:val="131413"/>
        </w:rPr>
        <w:t>,</w:t>
      </w:r>
      <w:r>
        <w:rPr>
          <w:color w:val="131413"/>
          <w:spacing w:val="36"/>
        </w:rPr>
        <w:t> </w:t>
      </w:r>
      <w:r>
        <w:rPr>
          <w:i/>
          <w:color w:val="131413"/>
        </w:rPr>
        <w:t>TWINKLE</w:t>
      </w:r>
      <w:r>
        <w:rPr>
          <w:color w:val="131413"/>
        </w:rPr>
        <w:t>,</w:t>
      </w:r>
      <w:r>
        <w:rPr>
          <w:color w:val="131413"/>
          <w:spacing w:val="35"/>
        </w:rPr>
        <w:t> </w:t>
      </w:r>
      <w:r>
        <w:rPr>
          <w:i/>
          <w:color w:val="131413"/>
        </w:rPr>
        <w:t>PEO1</w:t>
      </w:r>
      <w:r>
        <w:rPr>
          <w:color w:val="131413"/>
        </w:rPr>
        <w:t>,</w:t>
      </w:r>
      <w:r>
        <w:rPr>
          <w:color w:val="131413"/>
          <w:spacing w:val="36"/>
        </w:rPr>
        <w:t> </w:t>
      </w:r>
      <w:r>
        <w:rPr>
          <w:i/>
          <w:color w:val="131413"/>
        </w:rPr>
        <w:t>RRM2B</w:t>
      </w:r>
      <w:r>
        <w:rPr>
          <w:color w:val="131413"/>
        </w:rPr>
        <w:t>,</w:t>
      </w:r>
      <w:r>
        <w:rPr>
          <w:color w:val="131413"/>
          <w:spacing w:val="36"/>
        </w:rPr>
        <w:t> </w:t>
      </w:r>
      <w:r>
        <w:rPr>
          <w:i/>
          <w:color w:val="131413"/>
        </w:rPr>
        <w:t>TK2</w:t>
      </w:r>
      <w:r>
        <w:rPr>
          <w:color w:val="131413"/>
        </w:rPr>
        <w:t>,</w:t>
      </w:r>
      <w:r>
        <w:rPr>
          <w:color w:val="131413"/>
          <w:spacing w:val="34"/>
        </w:rPr>
        <w:t> </w:t>
      </w:r>
      <w:r>
        <w:rPr>
          <w:color w:val="131413"/>
          <w:spacing w:val="-5"/>
        </w:rPr>
        <w:t>or</w:t>
      </w:r>
    </w:p>
    <w:p>
      <w:pPr>
        <w:pStyle w:val="BodyText"/>
        <w:spacing w:line="259" w:lineRule="auto" w:before="4"/>
        <w:ind w:left="28" w:right="7" w:hanging="1"/>
        <w:jc w:val="both"/>
      </w:pPr>
      <w:r>
        <w:rPr>
          <w:i/>
          <w:color w:val="131413"/>
        </w:rPr>
        <w:t>OPA1 </w:t>
      </w:r>
      <w:r>
        <w:rPr>
          <w:color w:val="131413"/>
        </w:rPr>
        <w:t>[</w:t>
      </w:r>
      <w:hyperlink w:history="true" w:anchor="_bookmark16">
        <w:r>
          <w:rPr>
            <w:color w:val="0000FF"/>
          </w:rPr>
          <w:t>16</w:t>
        </w:r>
      </w:hyperlink>
      <w:r>
        <w:rPr>
          <w:color w:val="131413"/>
        </w:rPr>
        <w:t>, </w:t>
      </w:r>
      <w:hyperlink w:history="true" w:anchor="_bookmark18">
        <w:r>
          <w:rPr>
            <w:color w:val="0000FF"/>
          </w:rPr>
          <w:t>18</w:t>
        </w:r>
      </w:hyperlink>
      <w:r>
        <w:rPr>
          <w:rFonts w:ascii="Arial" w:hAnsi="Arial"/>
          <w:color w:val="131413"/>
        </w:rPr>
        <w:t>–</w:t>
      </w:r>
      <w:hyperlink w:history="true" w:anchor="_bookmark19">
        <w:r>
          <w:rPr>
            <w:color w:val="0000FF"/>
          </w:rPr>
          <w:t>21</w:t>
        </w:r>
      </w:hyperlink>
      <w:r>
        <w:rPr>
          <w:color w:val="131413"/>
        </w:rPr>
        <w:t>]. The most prevalent </w:t>
      </w:r>
      <w:r>
        <w:rPr>
          <w:i/>
          <w:color w:val="131413"/>
        </w:rPr>
        <w:t>POLG </w:t>
      </w:r>
      <w:r>
        <w:rPr>
          <w:color w:val="131413"/>
        </w:rPr>
        <w:t>pathogenic variants include c.1399G&gt;A (p.A467T) and c.2344G&gt;C </w:t>
      </w:r>
      <w:r>
        <w:rPr>
          <w:color w:val="131413"/>
          <w:spacing w:val="-2"/>
        </w:rPr>
        <w:t>(p.W748S),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which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closely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related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autosomal-dominant </w:t>
      </w:r>
      <w:r>
        <w:rPr>
          <w:color w:val="131413"/>
        </w:rPr>
        <w:t>(AD) and/or autosomal-recessive(AR) PEO [</w:t>
      </w:r>
      <w:hyperlink w:history="true" w:anchor="_bookmark11">
        <w:r>
          <w:rPr>
            <w:color w:val="0000FF"/>
          </w:rPr>
          <w:t>8</w:t>
        </w:r>
      </w:hyperlink>
      <w:r>
        <w:rPr>
          <w:color w:val="131413"/>
        </w:rPr>
        <w:t>, </w:t>
      </w:r>
      <w:hyperlink w:history="true" w:anchor="_bookmark20">
        <w:r>
          <w:rPr>
            <w:color w:val="0000FF"/>
          </w:rPr>
          <w:t>22</w:t>
        </w:r>
      </w:hyperlink>
      <w:r>
        <w:rPr>
          <w:rFonts w:ascii="Arial" w:hAnsi="Arial"/>
          <w:color w:val="131413"/>
        </w:rPr>
        <w:t>–</w:t>
      </w:r>
      <w:hyperlink w:history="true" w:anchor="_bookmark22">
        <w:r>
          <w:rPr>
            <w:color w:val="0000FF"/>
          </w:rPr>
          <w:t>24</w:t>
        </w:r>
      </w:hyperlink>
      <w:r>
        <w:rPr>
          <w:color w:val="131413"/>
        </w:rPr>
        <w:t>].</w:t>
      </w:r>
    </w:p>
    <w:p>
      <w:pPr>
        <w:pStyle w:val="BodyText"/>
        <w:spacing w:line="259" w:lineRule="auto" w:before="1"/>
        <w:ind w:left="27" w:right="7" w:firstLine="226"/>
        <w:jc w:val="both"/>
      </w:pPr>
      <w:r>
        <w:rPr>
          <w:color w:val="131413"/>
          <w:spacing w:val="-2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our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study,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report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case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33-year-old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male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with </w:t>
      </w:r>
      <w:r>
        <w:rPr>
          <w:color w:val="131413"/>
        </w:rPr>
        <w:t>PEO</w:t>
      </w:r>
      <w:r>
        <w:rPr>
          <w:color w:val="131413"/>
          <w:spacing w:val="-7"/>
        </w:rPr>
        <w:t> </w:t>
      </w:r>
      <w:r>
        <w:rPr>
          <w:color w:val="131413"/>
        </w:rPr>
        <w:t>harboring</w:t>
      </w:r>
      <w:r>
        <w:rPr>
          <w:color w:val="131413"/>
          <w:spacing w:val="-7"/>
        </w:rPr>
        <w:t> </w:t>
      </w:r>
      <w:r>
        <w:rPr>
          <w:color w:val="131413"/>
        </w:rPr>
        <w:t>novel</w:t>
      </w:r>
      <w:r>
        <w:rPr>
          <w:color w:val="131413"/>
          <w:spacing w:val="-7"/>
        </w:rPr>
        <w:t> </w:t>
      </w:r>
      <w:r>
        <w:rPr>
          <w:color w:val="131413"/>
        </w:rPr>
        <w:t>biallelic</w:t>
      </w:r>
      <w:r>
        <w:rPr>
          <w:color w:val="131413"/>
          <w:spacing w:val="-7"/>
        </w:rPr>
        <w:t> </w:t>
      </w:r>
      <w:r>
        <w:rPr>
          <w:color w:val="131413"/>
        </w:rPr>
        <w:t>mutations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i/>
          <w:color w:val="131413"/>
        </w:rPr>
        <w:t>POLG</w:t>
      </w:r>
      <w:r>
        <w:rPr>
          <w:i/>
          <w:color w:val="131413"/>
          <w:spacing w:val="-7"/>
        </w:rPr>
        <w:t> </w:t>
      </w:r>
      <w:r>
        <w:rPr>
          <w:color w:val="131413"/>
        </w:rPr>
        <w:t>gene, including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large</w:t>
      </w:r>
      <w:r>
        <w:rPr>
          <w:color w:val="131413"/>
          <w:spacing w:val="-7"/>
        </w:rPr>
        <w:t> </w:t>
      </w:r>
      <w:r>
        <w:rPr>
          <w:color w:val="131413"/>
        </w:rPr>
        <w:t>deletion</w:t>
      </w:r>
      <w:r>
        <w:rPr>
          <w:color w:val="131413"/>
          <w:spacing w:val="-9"/>
        </w:rPr>
        <w:t> </w:t>
      </w:r>
      <w:r>
        <w:rPr>
          <w:color w:val="131413"/>
        </w:rPr>
        <w:t>mutation</w:t>
      </w:r>
      <w:r>
        <w:rPr>
          <w:color w:val="131413"/>
          <w:spacing w:val="-9"/>
        </w:rPr>
        <w:t> </w:t>
      </w:r>
      <w:r>
        <w:rPr>
          <w:color w:val="131413"/>
        </w:rPr>
        <w:t>(exons</w:t>
      </w:r>
      <w:r>
        <w:rPr>
          <w:color w:val="131413"/>
          <w:spacing w:val="-9"/>
        </w:rPr>
        <w:t> </w:t>
      </w:r>
      <w:r>
        <w:rPr>
          <w:color w:val="131413"/>
        </w:rPr>
        <w:t>7</w:t>
      </w:r>
      <w:r>
        <w:rPr>
          <w:rFonts w:ascii="Arial" w:hAnsi="Arial"/>
          <w:color w:val="131413"/>
        </w:rPr>
        <w:t>–</w:t>
      </w:r>
      <w:r>
        <w:rPr>
          <w:color w:val="131413"/>
        </w:rPr>
        <w:t>21)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mis- sense variant c.1796C&gt;T (p.Thr599Ile). We confirmed </w:t>
      </w:r>
      <w:r>
        <w:rPr>
          <w:color w:val="131413"/>
        </w:rPr>
        <w:t>the pathogenicity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these</w:t>
      </w:r>
      <w:r>
        <w:rPr>
          <w:color w:val="131413"/>
          <w:spacing w:val="-4"/>
        </w:rPr>
        <w:t> </w:t>
      </w:r>
      <w:r>
        <w:rPr>
          <w:color w:val="131413"/>
        </w:rPr>
        <w:t>mutations</w:t>
      </w:r>
      <w:r>
        <w:rPr>
          <w:color w:val="131413"/>
          <w:spacing w:val="-4"/>
        </w:rPr>
        <w:t> </w:t>
      </w:r>
      <w:r>
        <w:rPr>
          <w:color w:val="131413"/>
        </w:rPr>
        <w:t>based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combination</w:t>
      </w:r>
      <w:r>
        <w:rPr>
          <w:color w:val="131413"/>
          <w:spacing w:val="-5"/>
        </w:rPr>
        <w:t> </w:t>
      </w:r>
      <w:r>
        <w:rPr>
          <w:color w:val="131413"/>
        </w:rPr>
        <w:t>of clinical, genetical, and biochemical investigations.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</w:pPr>
      <w:bookmarkStart w:name="Materials and methods" w:id="8"/>
      <w:bookmarkEnd w:id="8"/>
      <w:r>
        <w:rPr/>
      </w:r>
      <w:r>
        <w:rPr>
          <w:color w:val="131413"/>
        </w:rPr>
        <w:t>Materials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methods</w:t>
      </w:r>
    </w:p>
    <w:p>
      <w:pPr>
        <w:pStyle w:val="Heading2"/>
        <w:spacing w:before="240"/>
      </w:pPr>
      <w:bookmarkStart w:name="Subject" w:id="9"/>
      <w:bookmarkEnd w:id="9"/>
      <w:r>
        <w:rPr/>
      </w:r>
      <w:r>
        <w:rPr>
          <w:color w:val="131413"/>
          <w:spacing w:val="-2"/>
        </w:rPr>
        <w:t>Subject</w:t>
      </w:r>
    </w:p>
    <w:p>
      <w:pPr>
        <w:pStyle w:val="BodyText"/>
        <w:spacing w:before="13"/>
        <w:rPr>
          <w:rFonts w:ascii="Arial"/>
          <w:sz w:val="22"/>
        </w:rPr>
      </w:pPr>
    </w:p>
    <w:p>
      <w:pPr>
        <w:pStyle w:val="BodyText"/>
        <w:spacing w:line="259" w:lineRule="auto"/>
        <w:ind w:left="28" w:right="7"/>
        <w:jc w:val="both"/>
      </w:pPr>
      <w:r>
        <w:rPr>
          <w:color w:val="131413"/>
        </w:rPr>
        <w:t>This 33-year-old male was the only child born to a non- consanguineous healthy couple. The patient first presented with strabismus and ptosis 9 months ago, accompanied by the gradual development of ophthalmoplegia. Aside from </w:t>
      </w:r>
      <w:r>
        <w:rPr>
          <w:color w:val="131413"/>
          <w:spacing w:val="-2"/>
        </w:rPr>
        <w:t>these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ocular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complaints,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did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not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report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any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other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clinically </w:t>
      </w:r>
      <w:r>
        <w:rPr>
          <w:color w:val="131413"/>
        </w:rPr>
        <w:t>relevant symptoms. The patient had no family history of known</w:t>
      </w:r>
      <w:r>
        <w:rPr>
          <w:color w:val="131413"/>
          <w:spacing w:val="-13"/>
        </w:rPr>
        <w:t> </w:t>
      </w:r>
      <w:r>
        <w:rPr>
          <w:color w:val="131413"/>
        </w:rPr>
        <w:t>mitochondrial</w:t>
      </w:r>
      <w:r>
        <w:rPr>
          <w:color w:val="131413"/>
          <w:spacing w:val="-12"/>
        </w:rPr>
        <w:t> </w:t>
      </w:r>
      <w:r>
        <w:rPr>
          <w:color w:val="131413"/>
        </w:rPr>
        <w:t>disease.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</w:rPr>
        <w:t>neurologic</w:t>
      </w:r>
      <w:r>
        <w:rPr>
          <w:color w:val="131413"/>
          <w:spacing w:val="-13"/>
        </w:rPr>
        <w:t> </w:t>
      </w:r>
      <w:r>
        <w:rPr>
          <w:color w:val="131413"/>
        </w:rPr>
        <w:t>examination</w:t>
      </w:r>
      <w:r>
        <w:rPr>
          <w:color w:val="131413"/>
          <w:spacing w:val="-12"/>
        </w:rPr>
        <w:t> </w:t>
      </w:r>
      <w:r>
        <w:rPr>
          <w:color w:val="131413"/>
        </w:rPr>
        <w:t>re- </w:t>
      </w:r>
      <w:r>
        <w:rPr>
          <w:color w:val="131413"/>
          <w:spacing w:val="-2"/>
        </w:rPr>
        <w:t>vealed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bilateral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ptosis,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left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exotropia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(20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prism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diopters),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and </w:t>
      </w:r>
      <w:r>
        <w:rPr>
          <w:color w:val="131413"/>
          <w:spacing w:val="-4"/>
        </w:rPr>
        <w:t>ophthalmoparesis associated with mildly restricted eye move- </w:t>
      </w:r>
      <w:r>
        <w:rPr>
          <w:color w:val="131413"/>
          <w:spacing w:val="-2"/>
        </w:rPr>
        <w:t>ment.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Reflexes,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strength,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sensation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examinations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were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all </w:t>
      </w:r>
      <w:r>
        <w:rPr>
          <w:color w:val="131413"/>
        </w:rPr>
        <w:t>normal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this</w:t>
      </w:r>
      <w:r>
        <w:rPr>
          <w:color w:val="131413"/>
          <w:spacing w:val="-8"/>
        </w:rPr>
        <w:t> </w:t>
      </w:r>
      <w:r>
        <w:rPr>
          <w:color w:val="131413"/>
        </w:rPr>
        <w:t>patient.</w:t>
      </w:r>
      <w:r>
        <w:rPr>
          <w:color w:val="131413"/>
          <w:spacing w:val="-10"/>
        </w:rPr>
        <w:t> </w:t>
      </w:r>
      <w:r>
        <w:rPr>
          <w:color w:val="131413"/>
        </w:rPr>
        <w:t>Magnetic</w:t>
      </w:r>
      <w:r>
        <w:rPr>
          <w:color w:val="131413"/>
          <w:spacing w:val="-8"/>
        </w:rPr>
        <w:t> </w:t>
      </w:r>
      <w:r>
        <w:rPr>
          <w:color w:val="131413"/>
        </w:rPr>
        <w:t>resonance</w:t>
      </w:r>
      <w:r>
        <w:rPr>
          <w:color w:val="131413"/>
          <w:spacing w:val="-8"/>
        </w:rPr>
        <w:t> </w:t>
      </w:r>
      <w:r>
        <w:rPr>
          <w:color w:val="131413"/>
        </w:rPr>
        <w:t>imaging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(MRI),</w:t>
      </w:r>
    </w:p>
    <w:p>
      <w:pPr>
        <w:pStyle w:val="BodyText"/>
        <w:spacing w:line="259" w:lineRule="auto" w:before="102"/>
        <w:ind w:left="28" w:right="26"/>
        <w:jc w:val="both"/>
      </w:pPr>
      <w:r>
        <w:rPr/>
        <w:br w:type="column"/>
      </w:r>
      <w:r>
        <w:rPr>
          <w:color w:val="131413"/>
          <w:spacing w:val="-4"/>
        </w:rPr>
        <w:t>electromyography (EMG), blood testing, and electroencepha- </w:t>
      </w:r>
      <w:r>
        <w:rPr>
          <w:color w:val="131413"/>
        </w:rPr>
        <w:t>lography</w:t>
      </w:r>
      <w:r>
        <w:rPr>
          <w:color w:val="131413"/>
          <w:spacing w:val="-11"/>
        </w:rPr>
        <w:t> </w:t>
      </w:r>
      <w:r>
        <w:rPr>
          <w:color w:val="131413"/>
        </w:rPr>
        <w:t>(EEG)</w:t>
      </w:r>
      <w:r>
        <w:rPr>
          <w:color w:val="131413"/>
          <w:spacing w:val="-10"/>
        </w:rPr>
        <w:t> </w:t>
      </w:r>
      <w:r>
        <w:rPr>
          <w:color w:val="131413"/>
        </w:rPr>
        <w:t>findings</w:t>
      </w:r>
      <w:r>
        <w:rPr>
          <w:color w:val="131413"/>
          <w:spacing w:val="-11"/>
        </w:rPr>
        <w:t> </w:t>
      </w:r>
      <w:r>
        <w:rPr>
          <w:color w:val="131413"/>
        </w:rPr>
        <w:t>were</w:t>
      </w:r>
      <w:r>
        <w:rPr>
          <w:color w:val="131413"/>
          <w:spacing w:val="-10"/>
        </w:rPr>
        <w:t> </w:t>
      </w:r>
      <w:r>
        <w:rPr>
          <w:color w:val="131413"/>
        </w:rPr>
        <w:t>all</w:t>
      </w:r>
      <w:r>
        <w:rPr>
          <w:color w:val="131413"/>
          <w:spacing w:val="-9"/>
        </w:rPr>
        <w:t> </w:t>
      </w:r>
      <w:r>
        <w:rPr>
          <w:color w:val="131413"/>
        </w:rPr>
        <w:t>normal.</w:t>
      </w:r>
      <w:r>
        <w:rPr>
          <w:color w:val="131413"/>
          <w:spacing w:val="-10"/>
        </w:rPr>
        <w:t> </w:t>
      </w:r>
      <w:r>
        <w:rPr>
          <w:color w:val="131413"/>
        </w:rPr>
        <w:t>Informed</w:t>
      </w:r>
      <w:r>
        <w:rPr>
          <w:color w:val="131413"/>
          <w:spacing w:val="-11"/>
        </w:rPr>
        <w:t> </w:t>
      </w:r>
      <w:r>
        <w:rPr>
          <w:color w:val="131413"/>
        </w:rPr>
        <w:t>consent for</w:t>
      </w:r>
      <w:r>
        <w:rPr>
          <w:color w:val="131413"/>
          <w:spacing w:val="-10"/>
        </w:rPr>
        <w:t> </w:t>
      </w:r>
      <w:r>
        <w:rPr>
          <w:color w:val="131413"/>
        </w:rPr>
        <w:t>diagnosis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research</w:t>
      </w:r>
      <w:r>
        <w:rPr>
          <w:color w:val="131413"/>
          <w:spacing w:val="-12"/>
        </w:rPr>
        <w:t> </w:t>
      </w:r>
      <w:r>
        <w:rPr>
          <w:color w:val="131413"/>
        </w:rPr>
        <w:t>studies</w:t>
      </w:r>
      <w:r>
        <w:rPr>
          <w:color w:val="131413"/>
          <w:spacing w:val="-11"/>
        </w:rPr>
        <w:t> </w:t>
      </w:r>
      <w:r>
        <w:rPr>
          <w:color w:val="131413"/>
        </w:rPr>
        <w:t>was</w:t>
      </w:r>
      <w:r>
        <w:rPr>
          <w:color w:val="131413"/>
          <w:spacing w:val="-11"/>
        </w:rPr>
        <w:t> </w:t>
      </w:r>
      <w:r>
        <w:rPr>
          <w:color w:val="131413"/>
        </w:rPr>
        <w:t>received</w:t>
      </w:r>
      <w:r>
        <w:rPr>
          <w:color w:val="131413"/>
          <w:spacing w:val="-13"/>
        </w:rPr>
        <w:t> </w:t>
      </w:r>
      <w:r>
        <w:rPr>
          <w:color w:val="131413"/>
        </w:rPr>
        <w:t>from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pa- </w:t>
      </w:r>
      <w:r>
        <w:rPr>
          <w:color w:val="131413"/>
          <w:spacing w:val="-2"/>
        </w:rPr>
        <w:t>tient.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study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protocol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was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agreed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upon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ethics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commit- </w:t>
      </w:r>
      <w:r>
        <w:rPr>
          <w:color w:val="131413"/>
        </w:rPr>
        <w:t>tee of Qilu Hospital.</w:t>
      </w:r>
    </w:p>
    <w:p>
      <w:pPr>
        <w:pStyle w:val="BodyText"/>
        <w:spacing w:before="3"/>
      </w:pPr>
    </w:p>
    <w:p>
      <w:pPr>
        <w:pStyle w:val="Heading2"/>
      </w:pPr>
      <w:bookmarkStart w:name="Genomic analysis" w:id="10"/>
      <w:bookmarkEnd w:id="10"/>
      <w:r>
        <w:rPr/>
      </w:r>
      <w:r>
        <w:rPr>
          <w:color w:val="131413"/>
          <w:spacing w:val="-2"/>
          <w:w w:val="90"/>
        </w:rPr>
        <w:t>Genomic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analysis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 w:right="14"/>
        <w:jc w:val="both"/>
      </w:pPr>
      <w:r>
        <w:rPr>
          <w:color w:val="131413"/>
        </w:rPr>
        <w:t>After informed consent was provided, total genomic DNA </w:t>
      </w:r>
      <w:r>
        <w:rPr>
          <w:color w:val="131413"/>
          <w:spacing w:val="-2"/>
        </w:rPr>
        <w:t>was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isolated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from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peripheral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blood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and/or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biopsied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skele- </w:t>
      </w:r>
      <w:r>
        <w:rPr>
          <w:color w:val="131413"/>
        </w:rPr>
        <w:t>tal</w:t>
      </w:r>
      <w:r>
        <w:rPr>
          <w:color w:val="131413"/>
          <w:spacing w:val="-8"/>
        </w:rPr>
        <w:t> </w:t>
      </w:r>
      <w:r>
        <w:rPr>
          <w:color w:val="131413"/>
        </w:rPr>
        <w:t>muscle</w:t>
      </w:r>
      <w:r>
        <w:rPr>
          <w:color w:val="131413"/>
          <w:spacing w:val="-9"/>
        </w:rPr>
        <w:t> </w:t>
      </w:r>
      <w:r>
        <w:rPr>
          <w:color w:val="131413"/>
        </w:rPr>
        <w:t>samples</w:t>
      </w:r>
      <w:r>
        <w:rPr>
          <w:color w:val="131413"/>
          <w:spacing w:val="-8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proband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his</w:t>
      </w:r>
      <w:r>
        <w:rPr>
          <w:color w:val="131413"/>
          <w:spacing w:val="-9"/>
        </w:rPr>
        <w:t> </w:t>
      </w:r>
      <w:r>
        <w:rPr>
          <w:color w:val="131413"/>
        </w:rPr>
        <w:t>parents</w:t>
      </w:r>
      <w:r>
        <w:rPr>
          <w:color w:val="131413"/>
          <w:spacing w:val="-9"/>
        </w:rPr>
        <w:t> </w:t>
      </w:r>
      <w:r>
        <w:rPr>
          <w:color w:val="131413"/>
        </w:rPr>
        <w:t>using</w:t>
      </w:r>
      <w:r>
        <w:rPr>
          <w:color w:val="131413"/>
          <w:spacing w:val="-8"/>
        </w:rPr>
        <w:t> </w:t>
      </w:r>
      <w:r>
        <w:rPr>
          <w:color w:val="131413"/>
        </w:rPr>
        <w:t>a DNA </w:t>
      </w:r>
      <w:r>
        <w:rPr>
          <w:color w:val="131413"/>
          <w:spacing w:val="9"/>
        </w:rPr>
        <w:t>Isolation</w:t>
      </w:r>
      <w:r>
        <w:rPr>
          <w:color w:val="131413"/>
          <w:spacing w:val="9"/>
        </w:rPr>
        <w:t> </w:t>
      </w:r>
      <w:r>
        <w:rPr>
          <w:color w:val="131413"/>
        </w:rPr>
        <w:t>Kit </w:t>
      </w:r>
      <w:r>
        <w:rPr>
          <w:color w:val="131413"/>
          <w:spacing w:val="9"/>
        </w:rPr>
        <w:t>(Blood</w:t>
      </w:r>
      <w:r>
        <w:rPr>
          <w:color w:val="131413"/>
          <w:spacing w:val="9"/>
        </w:rPr>
        <w:t> </w:t>
      </w:r>
      <w:r>
        <w:rPr>
          <w:color w:val="131413"/>
        </w:rPr>
        <w:t>DNA Kit V2, </w:t>
      </w:r>
      <w:r>
        <w:rPr>
          <w:color w:val="131413"/>
          <w:spacing w:val="11"/>
        </w:rPr>
        <w:t>CW2553). </w:t>
      </w:r>
      <w:r>
        <w:rPr>
          <w:color w:val="131413"/>
        </w:rPr>
        <w:t>Purification was then performed with Agencourt AMPure XP magnetic beads (Beckman Coulter), and targeted DNA samples were sequenced via whole-exome sequencing (WES) according to standard Illumina protocols using a Novaseq 6000 platform. The Burrows-Wheeler Alignment (BWA) Tool was used to align paired-end 200-bp reads to </w:t>
      </w:r>
      <w:r>
        <w:rPr>
          <w:color w:val="131413"/>
          <w:spacing w:val="-4"/>
        </w:rPr>
        <w:t>the human reference genome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(hg19).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were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then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collected </w:t>
      </w:r>
      <w:r>
        <w:rPr>
          <w:color w:val="131413"/>
          <w:spacing w:val="-2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subjected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bioinformatics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analyses,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candidate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vari- </w:t>
      </w:r>
      <w:r>
        <w:rPr>
          <w:color w:val="131413"/>
        </w:rPr>
        <w:t>ants were analyzed based upon American College Medical Genetics and Genomics (ACMG) guidelines. Traditional </w:t>
      </w:r>
      <w:r>
        <w:rPr>
          <w:color w:val="131413"/>
          <w:spacing w:val="-2"/>
        </w:rPr>
        <w:t>Sanger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sequencing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was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employed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for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confirmation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the </w:t>
      </w:r>
      <w:r>
        <w:rPr>
          <w:color w:val="131413"/>
        </w:rPr>
        <w:t>identified variants and to test the carrier status of clinically unaffected family members.</w:t>
      </w:r>
    </w:p>
    <w:p>
      <w:pPr>
        <w:pStyle w:val="BodyText"/>
        <w:spacing w:before="11"/>
      </w:pPr>
    </w:p>
    <w:p>
      <w:pPr>
        <w:pStyle w:val="Heading2"/>
        <w:spacing w:before="1"/>
      </w:pPr>
      <w:bookmarkStart w:name="mtDNA deletion analysis" w:id="11"/>
      <w:bookmarkEnd w:id="11"/>
      <w:r>
        <w:rPr/>
      </w:r>
      <w:r>
        <w:rPr>
          <w:color w:val="131413"/>
          <w:spacing w:val="-8"/>
        </w:rPr>
        <w:t>mtDNA deletion</w:t>
      </w:r>
      <w:r>
        <w:rPr>
          <w:color w:val="131413"/>
          <w:spacing w:val="-5"/>
        </w:rPr>
        <w:t> </w:t>
      </w:r>
      <w:r>
        <w:rPr>
          <w:color w:val="131413"/>
          <w:spacing w:val="-8"/>
        </w:rPr>
        <w:t>analysis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 w:right="25"/>
        <w:jc w:val="both"/>
      </w:pPr>
      <w:r>
        <w:rPr>
          <w:color w:val="131413"/>
          <w:spacing w:val="-4"/>
        </w:rPr>
        <w:t>DNA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was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obtained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muscle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biopsies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peripheral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blood </w:t>
      </w:r>
      <w:r>
        <w:rPr>
          <w:color w:val="131413"/>
        </w:rPr>
        <w:t>samples from the proband according to standard protocols. The entire mitochondrial genome was screened via whole- exome</w:t>
      </w:r>
      <w:r>
        <w:rPr>
          <w:color w:val="131413"/>
          <w:spacing w:val="-11"/>
        </w:rPr>
        <w:t> </w:t>
      </w:r>
      <w:r>
        <w:rPr>
          <w:color w:val="131413"/>
        </w:rPr>
        <w:t>sequencing</w:t>
      </w:r>
      <w:r>
        <w:rPr>
          <w:color w:val="131413"/>
          <w:spacing w:val="-12"/>
        </w:rPr>
        <w:t> </w:t>
      </w:r>
      <w:r>
        <w:rPr>
          <w:color w:val="131413"/>
        </w:rPr>
        <w:t>(WES)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long-range</w:t>
      </w:r>
      <w:r>
        <w:rPr>
          <w:color w:val="131413"/>
          <w:spacing w:val="-13"/>
        </w:rPr>
        <w:t> </w:t>
      </w:r>
      <w:r>
        <w:rPr>
          <w:color w:val="131413"/>
        </w:rPr>
        <w:t>polymerase</w:t>
      </w:r>
      <w:r>
        <w:rPr>
          <w:color w:val="131413"/>
          <w:spacing w:val="-12"/>
        </w:rPr>
        <w:t> </w:t>
      </w:r>
      <w:r>
        <w:rPr>
          <w:color w:val="131413"/>
        </w:rPr>
        <w:t>chain reaction (PCR).</w:t>
      </w:r>
    </w:p>
    <w:p>
      <w:pPr>
        <w:pStyle w:val="BodyText"/>
        <w:spacing w:before="3"/>
      </w:pPr>
    </w:p>
    <w:p>
      <w:pPr>
        <w:pStyle w:val="Heading2"/>
      </w:pPr>
      <w:bookmarkStart w:name="Identification of pathogenic POLG varian" w:id="12"/>
      <w:bookmarkEnd w:id="12"/>
      <w:r>
        <w:rPr/>
      </w:r>
      <w:r>
        <w:rPr>
          <w:color w:val="131413"/>
          <w:w w:val="90"/>
        </w:rPr>
        <w:t>Identification</w:t>
      </w:r>
      <w:r>
        <w:rPr>
          <w:color w:val="131413"/>
          <w:spacing w:val="10"/>
        </w:rPr>
        <w:t> </w:t>
      </w:r>
      <w:r>
        <w:rPr>
          <w:color w:val="131413"/>
          <w:w w:val="90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w w:val="90"/>
        </w:rPr>
        <w:t>pathogenic</w:t>
      </w:r>
      <w:r>
        <w:rPr>
          <w:color w:val="131413"/>
          <w:spacing w:val="11"/>
        </w:rPr>
        <w:t> </w:t>
      </w:r>
      <w:r>
        <w:rPr>
          <w:color w:val="131413"/>
          <w:w w:val="90"/>
        </w:rPr>
        <w:t>POLG</w:t>
      </w:r>
      <w:r>
        <w:rPr>
          <w:color w:val="131413"/>
          <w:spacing w:val="9"/>
        </w:rPr>
        <w:t> </w:t>
      </w:r>
      <w:r>
        <w:rPr>
          <w:color w:val="131413"/>
          <w:spacing w:val="-2"/>
          <w:w w:val="90"/>
        </w:rPr>
        <w:t>variants</w:t>
      </w:r>
    </w:p>
    <w:p>
      <w:pPr>
        <w:pStyle w:val="BodyText"/>
        <w:spacing w:before="12"/>
        <w:rPr>
          <w:rFonts w:ascii="Arial"/>
          <w:sz w:val="22"/>
        </w:rPr>
      </w:pPr>
    </w:p>
    <w:p>
      <w:pPr>
        <w:pStyle w:val="BodyText"/>
        <w:spacing w:line="259" w:lineRule="auto" w:before="1"/>
        <w:ind w:left="27" w:right="16"/>
        <w:jc w:val="both"/>
      </w:pPr>
      <w:r>
        <w:rPr>
          <w:color w:val="131413"/>
        </w:rPr>
        <w:t>The pathogenicity of novel missense variants was assessed based</w:t>
      </w:r>
      <w:r>
        <w:rPr>
          <w:color w:val="131413"/>
          <w:spacing w:val="-13"/>
        </w:rPr>
        <w:t> </w:t>
      </w:r>
      <w:r>
        <w:rPr>
          <w:color w:val="131413"/>
        </w:rPr>
        <w:t>on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following</w:t>
      </w:r>
      <w:r>
        <w:rPr>
          <w:color w:val="131413"/>
          <w:spacing w:val="-12"/>
        </w:rPr>
        <w:t> </w:t>
      </w:r>
      <w:r>
        <w:rPr>
          <w:color w:val="131413"/>
        </w:rPr>
        <w:t>criteria:</w:t>
      </w:r>
      <w:r>
        <w:rPr>
          <w:color w:val="131413"/>
          <w:spacing w:val="-13"/>
        </w:rPr>
        <w:t> </w:t>
      </w:r>
      <w:r>
        <w:rPr>
          <w:color w:val="131413"/>
        </w:rPr>
        <w:t>(1)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variants</w:t>
      </w:r>
      <w:r>
        <w:rPr>
          <w:color w:val="131413"/>
          <w:spacing w:val="-12"/>
        </w:rPr>
        <w:t> </w:t>
      </w:r>
      <w:r>
        <w:rPr>
          <w:color w:val="131413"/>
        </w:rPr>
        <w:t>exhibited</w:t>
      </w:r>
      <w:r>
        <w:rPr>
          <w:color w:val="131413"/>
          <w:spacing w:val="-13"/>
        </w:rPr>
        <w:t> </w:t>
      </w:r>
      <w:r>
        <w:rPr>
          <w:color w:val="131413"/>
        </w:rPr>
        <w:t>full </w:t>
      </w:r>
      <w:r>
        <w:rPr>
          <w:color w:val="131413"/>
          <w:spacing w:val="-4"/>
        </w:rPr>
        <w:t>disease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phenotype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co-segregation;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(2)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involved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amino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acid </w:t>
      </w:r>
      <w:r>
        <w:rPr>
          <w:color w:val="131413"/>
        </w:rPr>
        <w:t>residue</w:t>
      </w:r>
      <w:r>
        <w:rPr>
          <w:color w:val="131413"/>
          <w:spacing w:val="-6"/>
        </w:rPr>
        <w:t> </w:t>
      </w:r>
      <w:r>
        <w:rPr>
          <w:color w:val="131413"/>
        </w:rPr>
        <w:t>was</w:t>
      </w:r>
      <w:r>
        <w:rPr>
          <w:color w:val="131413"/>
          <w:spacing w:val="-6"/>
        </w:rPr>
        <w:t> </w:t>
      </w:r>
      <w:r>
        <w:rPr>
          <w:color w:val="131413"/>
        </w:rPr>
        <w:t>conserved;</w:t>
      </w:r>
      <w:r>
        <w:rPr>
          <w:color w:val="131413"/>
          <w:spacing w:val="-7"/>
        </w:rPr>
        <w:t> </w:t>
      </w:r>
      <w:r>
        <w:rPr>
          <w:color w:val="131413"/>
        </w:rPr>
        <w:t>(3)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mutation</w:t>
      </w:r>
      <w:r>
        <w:rPr>
          <w:color w:val="131413"/>
          <w:spacing w:val="-7"/>
        </w:rPr>
        <w:t> </w:t>
      </w:r>
      <w:r>
        <w:rPr>
          <w:color w:val="131413"/>
        </w:rPr>
        <w:t>was</w:t>
      </w:r>
      <w:r>
        <w:rPr>
          <w:color w:val="131413"/>
          <w:spacing w:val="-6"/>
        </w:rPr>
        <w:t> </w:t>
      </w:r>
      <w:r>
        <w:rPr>
          <w:color w:val="131413"/>
        </w:rPr>
        <w:t>predicted</w:t>
      </w:r>
      <w:r>
        <w:rPr>
          <w:color w:val="131413"/>
          <w:spacing w:val="-6"/>
        </w:rPr>
        <w:t> </w:t>
      </w:r>
      <w:r>
        <w:rPr>
          <w:color w:val="131413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be associated</w:t>
      </w:r>
      <w:r>
        <w:rPr>
          <w:color w:val="131413"/>
          <w:spacing w:val="-13"/>
        </w:rPr>
        <w:t> </w:t>
      </w:r>
      <w:r>
        <w:rPr>
          <w:color w:val="131413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</w:rPr>
        <w:t>functional</w:t>
      </w:r>
      <w:r>
        <w:rPr>
          <w:color w:val="131413"/>
          <w:spacing w:val="-13"/>
        </w:rPr>
        <w:t> </w:t>
      </w:r>
      <w:r>
        <w:rPr>
          <w:color w:val="131413"/>
        </w:rPr>
        <w:t>consequences</w:t>
      </w:r>
      <w:r>
        <w:rPr>
          <w:color w:val="131413"/>
          <w:spacing w:val="-12"/>
        </w:rPr>
        <w:t> </w:t>
      </w:r>
      <w:r>
        <w:rPr>
          <w:color w:val="131413"/>
        </w:rPr>
        <w:t>according</w:t>
      </w:r>
      <w:r>
        <w:rPr>
          <w:color w:val="131413"/>
          <w:spacing w:val="-13"/>
        </w:rPr>
        <w:t> </w:t>
      </w:r>
      <w:r>
        <w:rPr>
          <w:color w:val="131413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analy- ses conducted using SIFT (</w:t>
      </w:r>
      <w:hyperlink r:id="rId17">
        <w:r>
          <w:rPr>
            <w:color w:val="0000FF"/>
          </w:rPr>
          <w:t>http://www.sift.jcvi.org/</w:t>
        </w:r>
      </w:hyperlink>
      <w:r>
        <w:rPr>
          <w:color w:val="131413"/>
        </w:rPr>
        <w:t>), </w:t>
      </w:r>
      <w:r>
        <w:rPr>
          <w:color w:val="131413"/>
          <w:spacing w:val="9"/>
        </w:rPr>
        <w:t>MutationTaster</w:t>
      </w:r>
      <w:r>
        <w:rPr>
          <w:color w:val="131413"/>
          <w:spacing w:val="9"/>
        </w:rPr>
        <w:t> (</w:t>
      </w:r>
      <w:hyperlink r:id="rId18">
        <w:r>
          <w:rPr>
            <w:color w:val="0000FF"/>
            <w:spacing w:val="9"/>
          </w:rPr>
          <w:t>http://www.mutationtaster.org</w:t>
        </w:r>
      </w:hyperlink>
      <w:r>
        <w:rPr>
          <w:color w:val="131413"/>
          <w:spacing w:val="9"/>
        </w:rPr>
        <w:t>),</w:t>
      </w:r>
      <w:r>
        <w:rPr>
          <w:color w:val="131413"/>
          <w:spacing w:val="9"/>
        </w:rPr>
        <w:t> </w:t>
      </w:r>
      <w:r>
        <w:rPr>
          <w:color w:val="131413"/>
          <w:spacing w:val="10"/>
        </w:rPr>
        <w:t>and </w:t>
      </w:r>
      <w:r>
        <w:rPr>
          <w:color w:val="131413"/>
        </w:rPr>
        <w:t>PolyPhen</w:t>
      </w:r>
      <w:r>
        <w:rPr>
          <w:color w:val="131413"/>
          <w:spacing w:val="-7"/>
        </w:rPr>
        <w:t> </w:t>
      </w:r>
      <w:r>
        <w:rPr>
          <w:color w:val="131413"/>
        </w:rPr>
        <w:t>(</w:t>
      </w:r>
      <w:r>
        <w:rPr>
          <w:color w:val="0000FF"/>
        </w:rPr>
        <w:t>http://www.genetics</w:t>
      </w:r>
      <w:r>
        <w:rPr>
          <w:color w:val="131413"/>
        </w:rPr>
        <w:t>.</w:t>
      </w:r>
      <w:r>
        <w:rPr>
          <w:color w:val="131413"/>
          <w:spacing w:val="-7"/>
        </w:rPr>
        <w:t> </w:t>
      </w:r>
      <w:r>
        <w:rPr>
          <w:color w:val="131413"/>
        </w:rPr>
        <w:t>bwh.harvard.edu/pph/);</w:t>
      </w:r>
      <w:r>
        <w:rPr>
          <w:color w:val="131413"/>
          <w:spacing w:val="-7"/>
        </w:rPr>
        <w:t> </w:t>
      </w:r>
      <w:r>
        <w:rPr>
          <w:color w:val="131413"/>
        </w:rPr>
        <w:t>(4) the</w:t>
      </w:r>
      <w:r>
        <w:rPr>
          <w:color w:val="131413"/>
          <w:spacing w:val="-2"/>
        </w:rPr>
        <w:t> </w:t>
      </w:r>
      <w:r>
        <w:rPr>
          <w:color w:val="131413"/>
        </w:rPr>
        <w:t>affected</w:t>
      </w:r>
      <w:r>
        <w:rPr>
          <w:color w:val="131413"/>
          <w:spacing w:val="-3"/>
        </w:rPr>
        <w:t> </w:t>
      </w:r>
      <w:r>
        <w:rPr>
          <w:color w:val="131413"/>
        </w:rPr>
        <w:t>amino</w:t>
      </w:r>
      <w:r>
        <w:rPr>
          <w:color w:val="131413"/>
          <w:spacing w:val="-2"/>
        </w:rPr>
        <w:t> </w:t>
      </w:r>
      <w:r>
        <w:rPr>
          <w:color w:val="131413"/>
        </w:rPr>
        <w:t>acid</w:t>
      </w:r>
      <w:r>
        <w:rPr>
          <w:color w:val="131413"/>
          <w:spacing w:val="-3"/>
        </w:rPr>
        <w:t> </w:t>
      </w:r>
      <w:r>
        <w:rPr>
          <w:color w:val="131413"/>
        </w:rPr>
        <w:t>was</w:t>
      </w:r>
      <w:r>
        <w:rPr>
          <w:color w:val="131413"/>
          <w:spacing w:val="-2"/>
        </w:rPr>
        <w:t> </w:t>
      </w:r>
      <w:r>
        <w:rPr>
          <w:color w:val="131413"/>
        </w:rPr>
        <w:t>located</w:t>
      </w:r>
      <w:r>
        <w:rPr>
          <w:color w:val="131413"/>
          <w:spacing w:val="-2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important</w:t>
      </w:r>
      <w:r>
        <w:rPr>
          <w:color w:val="131413"/>
          <w:spacing w:val="-2"/>
        </w:rPr>
        <w:t> </w:t>
      </w:r>
      <w:r>
        <w:rPr>
          <w:color w:val="131413"/>
        </w:rPr>
        <w:t>functional domains;</w:t>
      </w:r>
      <w:r>
        <w:rPr>
          <w:color w:val="131413"/>
          <w:spacing w:val="-13"/>
        </w:rPr>
        <w:t> </w:t>
      </w:r>
      <w:r>
        <w:rPr>
          <w:color w:val="131413"/>
        </w:rPr>
        <w:t>(5)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</w:rPr>
        <w:t>distinct</w:t>
      </w:r>
      <w:r>
        <w:rPr>
          <w:color w:val="131413"/>
          <w:spacing w:val="-12"/>
        </w:rPr>
        <w:t> </w:t>
      </w:r>
      <w:r>
        <w:rPr>
          <w:color w:val="131413"/>
        </w:rPr>
        <w:t>disease-causing</w:t>
      </w:r>
      <w:r>
        <w:rPr>
          <w:color w:val="131413"/>
          <w:spacing w:val="-13"/>
        </w:rPr>
        <w:t> </w:t>
      </w:r>
      <w:r>
        <w:rPr>
          <w:color w:val="131413"/>
        </w:rPr>
        <w:t>variant</w:t>
      </w:r>
      <w:r>
        <w:rPr>
          <w:color w:val="131413"/>
          <w:spacing w:val="-12"/>
        </w:rPr>
        <w:t> </w:t>
      </w:r>
      <w:r>
        <w:rPr>
          <w:color w:val="131413"/>
        </w:rPr>
        <w:t>was</w:t>
      </w:r>
      <w:r>
        <w:rPr>
          <w:color w:val="131413"/>
          <w:spacing w:val="-13"/>
        </w:rPr>
        <w:t> </w:t>
      </w:r>
      <w:r>
        <w:rPr>
          <w:color w:val="131413"/>
        </w:rPr>
        <w:t>known</w:t>
      </w:r>
      <w:r>
        <w:rPr>
          <w:color w:val="131413"/>
          <w:spacing w:val="-12"/>
        </w:rPr>
        <w:t> </w:t>
      </w:r>
      <w:r>
        <w:rPr>
          <w:color w:val="131413"/>
        </w:rPr>
        <w:t>to exist at the same position; and (6) the variant was absent in 100 normal controls.</w:t>
      </w:r>
    </w:p>
    <w:p>
      <w:pPr>
        <w:pStyle w:val="BodyText"/>
        <w:spacing w:before="6"/>
      </w:pPr>
    </w:p>
    <w:p>
      <w:pPr>
        <w:pStyle w:val="Heading2"/>
        <w:spacing w:before="1"/>
      </w:pPr>
      <w:bookmarkStart w:name="Crystal structure determination" w:id="13"/>
      <w:bookmarkEnd w:id="13"/>
      <w:r>
        <w:rPr/>
      </w:r>
      <w:r>
        <w:rPr>
          <w:color w:val="131413"/>
          <w:w w:val="90"/>
        </w:rPr>
        <w:t>Crystal</w:t>
      </w:r>
      <w:r>
        <w:rPr>
          <w:color w:val="131413"/>
          <w:spacing w:val="2"/>
        </w:rPr>
        <w:t> </w:t>
      </w:r>
      <w:r>
        <w:rPr>
          <w:color w:val="131413"/>
          <w:w w:val="90"/>
        </w:rPr>
        <w:t>structure</w:t>
      </w:r>
      <w:r>
        <w:rPr>
          <w:color w:val="131413"/>
          <w:spacing w:val="4"/>
        </w:rPr>
        <w:t> </w:t>
      </w:r>
      <w:r>
        <w:rPr>
          <w:color w:val="131413"/>
          <w:spacing w:val="-2"/>
          <w:w w:val="90"/>
        </w:rPr>
        <w:t>determination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 w:right="25" w:hanging="1"/>
        <w:jc w:val="both"/>
      </w:pP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structural</w:t>
      </w:r>
      <w:r>
        <w:rPr>
          <w:color w:val="131413"/>
          <w:spacing w:val="-3"/>
        </w:rPr>
        <w:t> </w:t>
      </w:r>
      <w:r>
        <w:rPr>
          <w:color w:val="131413"/>
        </w:rPr>
        <w:t>impact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i/>
          <w:color w:val="131413"/>
        </w:rPr>
        <w:t>POLG</w:t>
      </w:r>
      <w:r>
        <w:rPr>
          <w:i/>
          <w:color w:val="131413"/>
          <w:spacing w:val="-1"/>
        </w:rPr>
        <w:t> </w:t>
      </w:r>
      <w:r>
        <w:rPr>
          <w:color w:val="131413"/>
        </w:rPr>
        <w:t>variants</w:t>
      </w:r>
      <w:r>
        <w:rPr>
          <w:color w:val="131413"/>
          <w:spacing w:val="-3"/>
        </w:rPr>
        <w:t> </w:t>
      </w:r>
      <w:r>
        <w:rPr>
          <w:color w:val="131413"/>
        </w:rPr>
        <w:t>was</w:t>
      </w:r>
      <w:r>
        <w:rPr>
          <w:color w:val="131413"/>
          <w:spacing w:val="-1"/>
        </w:rPr>
        <w:t> </w:t>
      </w:r>
      <w:r>
        <w:rPr>
          <w:color w:val="131413"/>
        </w:rPr>
        <w:t>visualized</w:t>
      </w:r>
      <w:r>
        <w:rPr>
          <w:color w:val="131413"/>
          <w:spacing w:val="-3"/>
        </w:rPr>
        <w:t> </w:t>
      </w:r>
      <w:r>
        <w:rPr>
          <w:color w:val="131413"/>
        </w:rPr>
        <w:t>and analyzed</w:t>
      </w:r>
      <w:r>
        <w:rPr>
          <w:color w:val="131413"/>
          <w:spacing w:val="11"/>
        </w:rPr>
        <w:t> </w:t>
      </w:r>
      <w:r>
        <w:rPr>
          <w:color w:val="131413"/>
        </w:rPr>
        <w:t>using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holoenzyme</w:t>
      </w:r>
      <w:r>
        <w:rPr>
          <w:color w:val="131413"/>
          <w:spacing w:val="12"/>
        </w:rPr>
        <w:t> </w:t>
      </w:r>
      <w:r>
        <w:rPr>
          <w:color w:val="131413"/>
        </w:rPr>
        <w:t>coordinate</w:t>
      </w:r>
      <w:r>
        <w:rPr>
          <w:color w:val="131413"/>
          <w:spacing w:val="12"/>
        </w:rPr>
        <w:t> </w:t>
      </w:r>
      <w:r>
        <w:rPr>
          <w:color w:val="131413"/>
        </w:rPr>
        <w:t>sets</w:t>
      </w:r>
      <w:r>
        <w:rPr>
          <w:color w:val="131413"/>
          <w:spacing w:val="11"/>
        </w:rPr>
        <w:t> </w:t>
      </w:r>
      <w:r>
        <w:rPr>
          <w:color w:val="131413"/>
        </w:rPr>
        <w:t>(pdb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code: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673" w:footer="0" w:top="580" w:bottom="1100" w:left="992" w:right="992"/>
          <w:cols w:num="2" w:equalWidth="0">
            <w:col w:w="4802" w:space="301"/>
            <w:col w:w="4823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after="0"/>
        <w:rPr>
          <w:sz w:val="11"/>
        </w:rPr>
        <w:sectPr>
          <w:footerReference w:type="default" r:id="rId19"/>
          <w:footerReference w:type="even" r:id="rId20"/>
          <w:pgSz w:w="11910" w:h="15820"/>
          <w:pgMar w:header="0" w:footer="902" w:top="900" w:bottom="1100" w:left="992" w:right="992"/>
        </w:sectPr>
      </w:pPr>
    </w:p>
    <w:p>
      <w:pPr>
        <w:pStyle w:val="BodyText"/>
        <w:spacing w:line="259" w:lineRule="auto" w:before="102"/>
        <w:ind w:left="28" w:right="6"/>
        <w:jc w:val="both"/>
      </w:pPr>
      <w:r>
        <w:rPr>
          <w:color w:val="131413"/>
        </w:rPr>
        <w:t>5c53)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PyMOL</w:t>
      </w:r>
      <w:r>
        <w:rPr>
          <w:color w:val="131413"/>
          <w:spacing w:val="-7"/>
        </w:rPr>
        <w:t> </w:t>
      </w:r>
      <w:r>
        <w:rPr>
          <w:color w:val="131413"/>
        </w:rPr>
        <w:t>(v2.0.6).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point</w:t>
      </w:r>
      <w:r>
        <w:rPr>
          <w:color w:val="131413"/>
          <w:spacing w:val="-7"/>
        </w:rPr>
        <w:t> </w:t>
      </w:r>
      <w:r>
        <w:rPr>
          <w:color w:val="131413"/>
        </w:rPr>
        <w:t>variant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7"/>
        </w:rPr>
        <w:t> </w:t>
      </w:r>
      <w:r>
        <w:rPr>
          <w:color w:val="131413"/>
        </w:rPr>
        <w:t>was</w:t>
      </w:r>
      <w:r>
        <w:rPr>
          <w:color w:val="131413"/>
          <w:spacing w:val="-8"/>
        </w:rPr>
        <w:t> </w:t>
      </w:r>
      <w:r>
        <w:rPr>
          <w:color w:val="131413"/>
        </w:rPr>
        <w:t>pro- </w:t>
      </w:r>
      <w:r>
        <w:rPr>
          <w:color w:val="131413"/>
          <w:spacing w:val="-4"/>
        </w:rPr>
        <w:t>duced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UCSF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chimera.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large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deletion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predictive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model </w:t>
      </w:r>
      <w:r>
        <w:rPr>
          <w:color w:val="131413"/>
        </w:rPr>
        <w:t>was generated using the I-Tasser, Phyre2, and SWISS- MODEL programs [</w:t>
      </w:r>
      <w:hyperlink w:history="true" w:anchor="_bookmark23">
        <w:r>
          <w:rPr>
            <w:color w:val="0000FF"/>
          </w:rPr>
          <w:t>25</w:t>
        </w:r>
      </w:hyperlink>
      <w:r>
        <w:rPr>
          <w:rFonts w:ascii="Arial" w:hAnsi="Arial"/>
          <w:color w:val="131413"/>
        </w:rPr>
        <w:t>–</w:t>
      </w:r>
      <w:hyperlink w:history="true" w:anchor="_bookmark24">
        <w:r>
          <w:rPr>
            <w:color w:val="0000FF"/>
          </w:rPr>
          <w:t>27</w:t>
        </w:r>
      </w:hyperlink>
      <w:r>
        <w:rPr>
          <w:color w:val="131413"/>
        </w:rPr>
        <w:t>].</w:t>
      </w:r>
    </w:p>
    <w:p>
      <w:pPr>
        <w:pStyle w:val="BodyText"/>
        <w:spacing w:before="1"/>
      </w:pPr>
    </w:p>
    <w:p>
      <w:pPr>
        <w:pStyle w:val="Heading2"/>
      </w:pPr>
      <w:bookmarkStart w:name="Histopathological examination" w:id="14"/>
      <w:bookmarkEnd w:id="14"/>
      <w:r>
        <w:rPr/>
      </w:r>
      <w:r>
        <w:rPr>
          <w:color w:val="131413"/>
          <w:spacing w:val="-8"/>
        </w:rPr>
        <w:t>Histopathological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examination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/>
        <w:jc w:val="both"/>
      </w:pP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left</w:t>
      </w:r>
      <w:r>
        <w:rPr>
          <w:color w:val="131413"/>
          <w:spacing w:val="-7"/>
        </w:rPr>
        <w:t> </w:t>
      </w:r>
      <w:r>
        <w:rPr>
          <w:color w:val="131413"/>
        </w:rPr>
        <w:t>biceps</w:t>
      </w:r>
      <w:r>
        <w:rPr>
          <w:color w:val="131413"/>
          <w:spacing w:val="-7"/>
        </w:rPr>
        <w:t> </w:t>
      </w:r>
      <w:r>
        <w:rPr>
          <w:color w:val="131413"/>
        </w:rPr>
        <w:t>brachii</w:t>
      </w:r>
      <w:r>
        <w:rPr>
          <w:color w:val="131413"/>
          <w:spacing w:val="-5"/>
        </w:rPr>
        <w:t> </w:t>
      </w:r>
      <w:r>
        <w:rPr>
          <w:color w:val="131413"/>
        </w:rPr>
        <w:t>biopsy</w:t>
      </w:r>
      <w:r>
        <w:rPr>
          <w:color w:val="131413"/>
          <w:spacing w:val="-7"/>
        </w:rPr>
        <w:t> </w:t>
      </w:r>
      <w:r>
        <w:rPr>
          <w:color w:val="131413"/>
        </w:rPr>
        <w:t>sample</w:t>
      </w:r>
      <w:r>
        <w:rPr>
          <w:color w:val="131413"/>
          <w:spacing w:val="-7"/>
        </w:rPr>
        <w:t> </w:t>
      </w:r>
      <w:r>
        <w:rPr>
          <w:color w:val="131413"/>
        </w:rPr>
        <w:t>was</w:t>
      </w:r>
      <w:r>
        <w:rPr>
          <w:color w:val="131413"/>
          <w:spacing w:val="-5"/>
        </w:rPr>
        <w:t> </w:t>
      </w:r>
      <w:r>
        <w:rPr>
          <w:color w:val="131413"/>
        </w:rPr>
        <w:t>taken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pro- band, with serial 10-</w:t>
      </w:r>
      <w:r>
        <w:rPr>
          <w:rFonts w:ascii="Arial" w:hAnsi="Arial"/>
          <w:color w:val="131413"/>
        </w:rPr>
        <w:t>μ</w:t>
      </w:r>
      <w:r>
        <w:rPr>
          <w:color w:val="131413"/>
        </w:rPr>
        <w:t>m-thick cryosections being stained based on conventional histological protocols [</w:t>
      </w:r>
      <w:hyperlink w:history="true" w:anchor="_bookmark25">
        <w:r>
          <w:rPr>
            <w:color w:val="0000FF"/>
          </w:rPr>
          <w:t>28</w:t>
        </w:r>
      </w:hyperlink>
      <w:r>
        <w:rPr>
          <w:color w:val="131413"/>
        </w:rPr>
        <w:t>]. Staining approaches used were as follows: hematoxylin and eosin </w:t>
      </w:r>
      <w:r>
        <w:rPr>
          <w:color w:val="131413"/>
          <w:spacing w:val="-2"/>
        </w:rPr>
        <w:t>(H&amp;E)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staining,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NADH-tetrazolium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reductase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staining,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cyto- </w:t>
      </w:r>
      <w:r>
        <w:rPr>
          <w:color w:val="131413"/>
        </w:rPr>
        <w:t>chrome </w:t>
      </w:r>
      <w:r>
        <w:rPr>
          <w:i/>
          <w:color w:val="131413"/>
        </w:rPr>
        <w:t>c </w:t>
      </w:r>
      <w:r>
        <w:rPr>
          <w:color w:val="131413"/>
        </w:rPr>
        <w:t>oxidase (COX) staining, modified </w:t>
      </w:r>
      <w:r>
        <w:rPr>
          <w:color w:val="131413"/>
          <w:spacing w:val="10"/>
        </w:rPr>
        <w:t>Gomori </w:t>
      </w:r>
      <w:r>
        <w:rPr>
          <w:color w:val="131413"/>
        </w:rPr>
        <w:t>trichrome</w:t>
      </w:r>
      <w:r>
        <w:rPr>
          <w:color w:val="131413"/>
          <w:spacing w:val="-6"/>
        </w:rPr>
        <w:t> </w:t>
      </w:r>
      <w:r>
        <w:rPr>
          <w:color w:val="131413"/>
        </w:rPr>
        <w:t>(MGT)</w:t>
      </w:r>
      <w:r>
        <w:rPr>
          <w:color w:val="131413"/>
          <w:spacing w:val="-7"/>
        </w:rPr>
        <w:t> </w:t>
      </w:r>
      <w:r>
        <w:rPr>
          <w:color w:val="131413"/>
        </w:rPr>
        <w:t>staining,</w:t>
      </w:r>
      <w:r>
        <w:rPr>
          <w:color w:val="131413"/>
          <w:spacing w:val="-8"/>
        </w:rPr>
        <w:t> </w:t>
      </w:r>
      <w:r>
        <w:rPr>
          <w:color w:val="131413"/>
        </w:rPr>
        <w:t>succinate</w:t>
      </w:r>
      <w:r>
        <w:rPr>
          <w:color w:val="131413"/>
          <w:spacing w:val="-6"/>
        </w:rPr>
        <w:t> </w:t>
      </w:r>
      <w:r>
        <w:rPr>
          <w:color w:val="131413"/>
        </w:rPr>
        <w:t>dehydrogenase</w:t>
      </w:r>
      <w:r>
        <w:rPr>
          <w:color w:val="131413"/>
          <w:spacing w:val="-6"/>
        </w:rPr>
        <w:t> </w:t>
      </w:r>
      <w:r>
        <w:rPr>
          <w:color w:val="131413"/>
        </w:rPr>
        <w:t>(SDH) </w:t>
      </w:r>
      <w:r>
        <w:rPr>
          <w:color w:val="131413"/>
          <w:spacing w:val="-4"/>
        </w:rPr>
        <w:t>staining, and SDH-COX double staining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following incubation </w:t>
      </w:r>
      <w:r>
        <w:rPr>
          <w:color w:val="131413"/>
        </w:rPr>
        <w:t>at a pH of 4.3 and 10.4.</w:t>
      </w:r>
    </w:p>
    <w:p>
      <w:pPr>
        <w:pStyle w:val="BodyText"/>
        <w:spacing w:before="5"/>
      </w:pPr>
    </w:p>
    <w:p>
      <w:pPr>
        <w:pStyle w:val="Heading2"/>
        <w:spacing w:before="1"/>
      </w:pPr>
      <w:bookmarkStart w:name="Cell culture and cell line generation" w:id="15"/>
      <w:bookmarkEnd w:id="15"/>
      <w:r>
        <w:rPr/>
      </w:r>
      <w:r>
        <w:rPr>
          <w:color w:val="131413"/>
          <w:spacing w:val="-8"/>
        </w:rPr>
        <w:t>Cell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culture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cell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line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generation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/>
        <w:jc w:val="both"/>
      </w:pPr>
      <w:r>
        <w:rPr>
          <w:color w:val="131413"/>
          <w:spacing w:val="12"/>
        </w:rPr>
        <w:t>Epstein-</w:t>
      </w:r>
      <w:r>
        <w:rPr>
          <w:color w:val="131413"/>
        </w:rPr>
        <w:t>Barr </w:t>
      </w:r>
      <w:r>
        <w:rPr>
          <w:color w:val="131413"/>
          <w:spacing w:val="9"/>
        </w:rPr>
        <w:t>Virus (EBV) </w:t>
      </w:r>
      <w:r>
        <w:rPr>
          <w:color w:val="131413"/>
        </w:rPr>
        <w:t>was used to </w:t>
      </w:r>
      <w:r>
        <w:rPr>
          <w:color w:val="131413"/>
          <w:spacing w:val="12"/>
        </w:rPr>
        <w:t>immortalize </w:t>
      </w:r>
      <w:r>
        <w:rPr>
          <w:color w:val="131413"/>
          <w:spacing w:val="-4"/>
        </w:rPr>
        <w:t>lymphoblastoid cell lines (LCLs) based upon a published pro- </w:t>
      </w:r>
      <w:r>
        <w:rPr>
          <w:color w:val="131413"/>
        </w:rPr>
        <w:t>tocol</w:t>
      </w:r>
      <w:r>
        <w:rPr>
          <w:color w:val="131413"/>
          <w:spacing w:val="-13"/>
        </w:rPr>
        <w:t> </w:t>
      </w:r>
      <w:r>
        <w:rPr>
          <w:color w:val="131413"/>
        </w:rPr>
        <w:t>[</w:t>
      </w:r>
      <w:hyperlink w:history="true" w:anchor="_bookmark26">
        <w:r>
          <w:rPr>
            <w:color w:val="0000FF"/>
          </w:rPr>
          <w:t>29</w:t>
        </w:r>
      </w:hyperlink>
      <w:r>
        <w:rPr>
          <w:color w:val="131413"/>
        </w:rPr>
        <w:t>].</w:t>
      </w:r>
      <w:r>
        <w:rPr>
          <w:color w:val="131413"/>
          <w:spacing w:val="-12"/>
        </w:rPr>
        <w:t> </w:t>
      </w:r>
      <w:r>
        <w:rPr>
          <w:color w:val="131413"/>
        </w:rPr>
        <w:t>This</w:t>
      </w:r>
      <w:r>
        <w:rPr>
          <w:color w:val="131413"/>
          <w:spacing w:val="-13"/>
        </w:rPr>
        <w:t> </w:t>
      </w:r>
      <w:r>
        <w:rPr>
          <w:color w:val="131413"/>
        </w:rPr>
        <w:t>approach</w:t>
      </w:r>
      <w:r>
        <w:rPr>
          <w:color w:val="131413"/>
          <w:spacing w:val="-12"/>
        </w:rPr>
        <w:t> </w:t>
      </w:r>
      <w:r>
        <w:rPr>
          <w:color w:val="131413"/>
        </w:rPr>
        <w:t>was</w:t>
      </w:r>
      <w:r>
        <w:rPr>
          <w:color w:val="131413"/>
          <w:spacing w:val="-13"/>
        </w:rPr>
        <w:t> </w:t>
      </w:r>
      <w:r>
        <w:rPr>
          <w:color w:val="131413"/>
        </w:rPr>
        <w:t>used</w:t>
      </w:r>
      <w:r>
        <w:rPr>
          <w:color w:val="131413"/>
          <w:spacing w:val="-12"/>
        </w:rPr>
        <w:t> </w:t>
      </w:r>
      <w:r>
        <w:rPr>
          <w:color w:val="131413"/>
        </w:rPr>
        <w:t>to</w:t>
      </w:r>
      <w:r>
        <w:rPr>
          <w:color w:val="131413"/>
          <w:spacing w:val="-13"/>
        </w:rPr>
        <w:t> </w:t>
      </w:r>
      <w:r>
        <w:rPr>
          <w:color w:val="131413"/>
        </w:rPr>
        <w:t>prepare</w:t>
      </w:r>
      <w:r>
        <w:rPr>
          <w:color w:val="131413"/>
          <w:spacing w:val="-12"/>
        </w:rPr>
        <w:t> </w:t>
      </w:r>
      <w:r>
        <w:rPr>
          <w:color w:val="131413"/>
        </w:rPr>
        <w:t>cell</w:t>
      </w:r>
      <w:r>
        <w:rPr>
          <w:color w:val="131413"/>
          <w:spacing w:val="-13"/>
        </w:rPr>
        <w:t> </w:t>
      </w:r>
      <w:r>
        <w:rPr>
          <w:color w:val="131413"/>
        </w:rPr>
        <w:t>lines</w:t>
      </w:r>
      <w:r>
        <w:rPr>
          <w:color w:val="131413"/>
          <w:spacing w:val="-12"/>
        </w:rPr>
        <w:t> </w:t>
      </w:r>
      <w:r>
        <w:rPr>
          <w:color w:val="131413"/>
        </w:rPr>
        <w:t>from </w:t>
      </w:r>
      <w:r>
        <w:rPr>
          <w:color w:val="131413"/>
          <w:spacing w:val="-2"/>
        </w:rPr>
        <w:t>both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patient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age-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sex-matched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healthy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volunteers. All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LCLs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were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grown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using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RPMI-1640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(Macgene),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contain- </w:t>
      </w:r>
      <w:r>
        <w:rPr>
          <w:color w:val="131413"/>
        </w:rPr>
        <w:t>ing 10% fetal bovine serum (FBS, Gibco) and 0.11</w:t>
      </w:r>
      <w:r>
        <w:rPr>
          <w:color w:val="131413"/>
          <w:spacing w:val="-1"/>
        </w:rPr>
        <w:t> </w:t>
      </w:r>
      <w:r>
        <w:rPr>
          <w:color w:val="131413"/>
        </w:rPr>
        <w:t>mg/mL pyruvate (Macgene).</w:t>
      </w:r>
    </w:p>
    <w:p>
      <w:pPr>
        <w:pStyle w:val="BodyText"/>
        <w:spacing w:before="5"/>
      </w:pPr>
    </w:p>
    <w:p>
      <w:pPr>
        <w:pStyle w:val="Heading2"/>
      </w:pPr>
      <w:bookmarkStart w:name="Western blotting" w:id="16"/>
      <w:bookmarkEnd w:id="16"/>
      <w:r>
        <w:rPr/>
      </w:r>
      <w:r>
        <w:rPr>
          <w:color w:val="131413"/>
          <w:w w:val="90"/>
        </w:rPr>
        <w:t>Western</w:t>
      </w:r>
      <w:r>
        <w:rPr>
          <w:color w:val="131413"/>
          <w:spacing w:val="-4"/>
          <w:w w:val="90"/>
        </w:rPr>
        <w:t> </w:t>
      </w:r>
      <w:r>
        <w:rPr>
          <w:color w:val="131413"/>
          <w:spacing w:val="-2"/>
        </w:rPr>
        <w:t>blotting</w:t>
      </w:r>
    </w:p>
    <w:p>
      <w:pPr>
        <w:pStyle w:val="BodyText"/>
        <w:spacing w:before="10"/>
        <w:rPr>
          <w:rFonts w:ascii="Arial"/>
          <w:sz w:val="22"/>
        </w:rPr>
      </w:pPr>
    </w:p>
    <w:p>
      <w:pPr>
        <w:pStyle w:val="BodyText"/>
        <w:spacing w:line="259" w:lineRule="auto" w:before="1"/>
        <w:ind w:left="28" w:hanging="1"/>
        <w:jc w:val="both"/>
      </w:pPr>
      <w:r>
        <w:rPr>
          <w:color w:val="131413"/>
        </w:rPr>
        <w:t>Individual of 15</w:t>
      </w:r>
      <w:r>
        <w:rPr>
          <w:rFonts w:ascii="Arial" w:hAnsi="Arial"/>
          <w:color w:val="131413"/>
        </w:rPr>
        <w:t>–</w:t>
      </w:r>
      <w:r>
        <w:rPr>
          <w:color w:val="131413"/>
        </w:rPr>
        <w:t>20 </w:t>
      </w:r>
      <w:r>
        <w:rPr>
          <w:rFonts w:ascii="Arial" w:hAnsi="Arial"/>
          <w:color w:val="131413"/>
        </w:rPr>
        <w:t>μ</w:t>
      </w:r>
      <w:r>
        <w:rPr>
          <w:color w:val="131413"/>
        </w:rPr>
        <w:t>g of protein samples retrieved from lysed muscle homogenates and LCLs were separated by </w:t>
      </w:r>
      <w:r>
        <w:rPr>
          <w:color w:val="131413"/>
          <w:spacing w:val="-2"/>
        </w:rPr>
        <w:t>SDS-PAGE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transferred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PVDF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membranes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(Millipore, </w:t>
      </w:r>
      <w:r>
        <w:rPr>
          <w:color w:val="131413"/>
        </w:rPr>
        <w:t>USA),</w:t>
      </w:r>
      <w:r>
        <w:rPr>
          <w:color w:val="131413"/>
          <w:spacing w:val="-7"/>
        </w:rPr>
        <w:t> </w:t>
      </w:r>
      <w:r>
        <w:rPr>
          <w:color w:val="131413"/>
        </w:rPr>
        <w:t>which</w:t>
      </w:r>
      <w:r>
        <w:rPr>
          <w:color w:val="131413"/>
          <w:spacing w:val="-7"/>
        </w:rPr>
        <w:t> </w:t>
      </w:r>
      <w:r>
        <w:rPr>
          <w:color w:val="131413"/>
        </w:rPr>
        <w:t>were</w:t>
      </w:r>
      <w:r>
        <w:rPr>
          <w:color w:val="131413"/>
          <w:spacing w:val="-6"/>
        </w:rPr>
        <w:t> </w:t>
      </w:r>
      <w:r>
        <w:rPr>
          <w:color w:val="131413"/>
        </w:rPr>
        <w:t>subsequently</w:t>
      </w:r>
      <w:r>
        <w:rPr>
          <w:color w:val="131413"/>
          <w:spacing w:val="-7"/>
        </w:rPr>
        <w:t> </w:t>
      </w:r>
      <w:r>
        <w:rPr>
          <w:color w:val="131413"/>
        </w:rPr>
        <w:t>blocked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1</w:t>
      </w:r>
      <w:r>
        <w:rPr>
          <w:color w:val="131413"/>
          <w:spacing w:val="-7"/>
        </w:rPr>
        <w:t> </w:t>
      </w:r>
      <w:r>
        <w:rPr>
          <w:color w:val="131413"/>
        </w:rPr>
        <w:t>h</w:t>
      </w:r>
      <w:r>
        <w:rPr>
          <w:color w:val="131413"/>
          <w:spacing w:val="-7"/>
        </w:rPr>
        <w:t> </w:t>
      </w:r>
      <w:r>
        <w:rPr>
          <w:color w:val="131413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5% non-fat milk solution, followed by overnight incubation at 4°C with a total OXPHOS human antibody </w:t>
      </w:r>
      <w:r>
        <w:rPr>
          <w:color w:val="131413"/>
          <w:spacing w:val="10"/>
        </w:rPr>
        <w:t>cocktail </w:t>
      </w:r>
      <w:r>
        <w:rPr>
          <w:color w:val="131413"/>
        </w:rPr>
        <w:t>(ab110411, Abcam), or with antibodies specific for ND4 </w:t>
      </w:r>
      <w:r>
        <w:rPr>
          <w:color w:val="131413"/>
          <w:spacing w:val="9"/>
        </w:rPr>
        <w:t>(A9941,</w:t>
      </w:r>
      <w:r>
        <w:rPr>
          <w:color w:val="131413"/>
          <w:spacing w:val="9"/>
        </w:rPr>
        <w:t> ABclonal),</w:t>
      </w:r>
      <w:r>
        <w:rPr>
          <w:color w:val="131413"/>
          <w:spacing w:val="9"/>
        </w:rPr>
        <w:t> </w:t>
      </w:r>
      <w:r>
        <w:rPr>
          <w:color w:val="131413"/>
        </w:rPr>
        <w:t>ND1 </w:t>
      </w:r>
      <w:r>
        <w:rPr>
          <w:color w:val="131413"/>
          <w:spacing w:val="9"/>
        </w:rPr>
        <w:t>(ab181848,</w:t>
      </w:r>
      <w:r>
        <w:rPr>
          <w:color w:val="131413"/>
          <w:spacing w:val="9"/>
        </w:rPr>
        <w:t> Abcam),</w:t>
      </w:r>
      <w:r>
        <w:rPr>
          <w:color w:val="131413"/>
          <w:spacing w:val="9"/>
        </w:rPr>
        <w:t> </w:t>
      </w:r>
      <w:r>
        <w:rPr>
          <w:color w:val="131413"/>
          <w:spacing w:val="11"/>
        </w:rPr>
        <w:t>ND5 </w:t>
      </w:r>
      <w:r>
        <w:rPr>
          <w:color w:val="131413"/>
        </w:rPr>
        <w:t>(ab92624,</w:t>
      </w:r>
      <w:r>
        <w:rPr>
          <w:color w:val="131413"/>
          <w:spacing w:val="10"/>
        </w:rPr>
        <w:t> </w:t>
      </w:r>
      <w:r>
        <w:rPr>
          <w:color w:val="131413"/>
        </w:rPr>
        <w:t>Abcam),</w:t>
      </w:r>
      <w:r>
        <w:rPr>
          <w:color w:val="131413"/>
          <w:spacing w:val="10"/>
        </w:rPr>
        <w:t> </w:t>
      </w:r>
      <w:r>
        <w:rPr>
          <w:color w:val="131413"/>
        </w:rPr>
        <w:t>CYB</w:t>
      </w:r>
      <w:r>
        <w:rPr>
          <w:color w:val="131413"/>
          <w:spacing w:val="11"/>
        </w:rPr>
        <w:t> </w:t>
      </w:r>
      <w:r>
        <w:rPr>
          <w:color w:val="131413"/>
        </w:rPr>
        <w:t>(ab81215,</w:t>
      </w:r>
      <w:r>
        <w:rPr>
          <w:color w:val="131413"/>
          <w:spacing w:val="9"/>
        </w:rPr>
        <w:t> </w:t>
      </w:r>
      <w:r>
        <w:rPr>
          <w:color w:val="131413"/>
        </w:rPr>
        <w:t>Abcam),</w:t>
      </w:r>
      <w:r>
        <w:rPr>
          <w:color w:val="131413"/>
          <w:spacing w:val="10"/>
        </w:rPr>
        <w:t> </w:t>
      </w:r>
      <w:r>
        <w:rPr>
          <w:color w:val="131413"/>
        </w:rPr>
        <w:t>CO4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(4850s,</w:t>
      </w:r>
    </w:p>
    <w:p>
      <w:pPr>
        <w:pStyle w:val="BodyText"/>
        <w:spacing w:line="259" w:lineRule="auto" w:before="5"/>
        <w:ind w:left="28" w:right="1"/>
        <w:jc w:val="both"/>
      </w:pPr>
      <w:r>
        <w:rPr>
          <w:color w:val="131413"/>
        </w:rPr>
        <w:t>CST), </w:t>
      </w:r>
      <w:r>
        <w:rPr>
          <w:rFonts w:ascii="Arial" w:hAnsi="Arial"/>
          <w:color w:val="131413"/>
        </w:rPr>
        <w:t>β</w:t>
      </w:r>
      <w:r>
        <w:rPr>
          <w:color w:val="131413"/>
        </w:rPr>
        <w:t>-actin (ab8226, Abcam), or GAPDH (ab8245, Abcam).</w:t>
      </w:r>
      <w:r>
        <w:rPr>
          <w:color w:val="131413"/>
          <w:spacing w:val="-2"/>
        </w:rPr>
        <w:t> </w:t>
      </w:r>
      <w:r>
        <w:rPr>
          <w:color w:val="131413"/>
        </w:rPr>
        <w:t>After</w:t>
      </w:r>
      <w:r>
        <w:rPr>
          <w:color w:val="131413"/>
          <w:spacing w:val="-1"/>
        </w:rPr>
        <w:t> </w:t>
      </w:r>
      <w:r>
        <w:rPr>
          <w:color w:val="131413"/>
        </w:rPr>
        <w:t>that,</w:t>
      </w:r>
      <w:r>
        <w:rPr>
          <w:color w:val="131413"/>
          <w:spacing w:val="-2"/>
        </w:rPr>
        <w:t> </w:t>
      </w:r>
      <w:r>
        <w:rPr>
          <w:color w:val="131413"/>
        </w:rPr>
        <w:t>secondary</w:t>
      </w:r>
      <w:r>
        <w:rPr>
          <w:color w:val="131413"/>
          <w:spacing w:val="-3"/>
        </w:rPr>
        <w:t> </w:t>
      </w:r>
      <w:r>
        <w:rPr>
          <w:color w:val="131413"/>
        </w:rPr>
        <w:t>HRP-linked</w:t>
      </w:r>
      <w:r>
        <w:rPr>
          <w:color w:val="131413"/>
          <w:spacing w:val="-3"/>
        </w:rPr>
        <w:t> </w:t>
      </w:r>
      <w:r>
        <w:rPr>
          <w:color w:val="131413"/>
        </w:rPr>
        <w:t>antibodies</w:t>
      </w:r>
      <w:r>
        <w:rPr>
          <w:color w:val="131413"/>
          <w:spacing w:val="-2"/>
        </w:rPr>
        <w:t> </w:t>
      </w:r>
      <w:r>
        <w:rPr>
          <w:color w:val="131413"/>
        </w:rPr>
        <w:t>were used to detect primary antibodies (Beyotime </w:t>
      </w:r>
      <w:r>
        <w:rPr>
          <w:color w:val="131413"/>
          <w:spacing w:val="9"/>
        </w:rPr>
        <w:t>A0216, </w:t>
      </w:r>
      <w:r>
        <w:rPr>
          <w:color w:val="131413"/>
        </w:rPr>
        <w:t>A0208).</w:t>
      </w:r>
      <w:r>
        <w:rPr>
          <w:color w:val="131413"/>
          <w:spacing w:val="-5"/>
        </w:rPr>
        <w:t> </w:t>
      </w:r>
      <w:r>
        <w:rPr>
          <w:color w:val="131413"/>
        </w:rPr>
        <w:t>An</w:t>
      </w:r>
      <w:r>
        <w:rPr>
          <w:color w:val="131413"/>
          <w:spacing w:val="-6"/>
        </w:rPr>
        <w:t> </w:t>
      </w:r>
      <w:r>
        <w:rPr>
          <w:color w:val="131413"/>
        </w:rPr>
        <w:t>ECL</w:t>
      </w:r>
      <w:r>
        <w:rPr>
          <w:color w:val="131413"/>
          <w:spacing w:val="-5"/>
        </w:rPr>
        <w:t> </w:t>
      </w:r>
      <w:r>
        <w:rPr>
          <w:color w:val="131413"/>
        </w:rPr>
        <w:t>system</w:t>
      </w:r>
      <w:r>
        <w:rPr>
          <w:color w:val="131413"/>
          <w:spacing w:val="-6"/>
        </w:rPr>
        <w:t> </w:t>
      </w:r>
      <w:r>
        <w:rPr>
          <w:color w:val="131413"/>
        </w:rPr>
        <w:t>(Tanon</w:t>
      </w:r>
      <w:r>
        <w:rPr>
          <w:color w:val="131413"/>
          <w:spacing w:val="-5"/>
        </w:rPr>
        <w:t> </w:t>
      </w:r>
      <w:r>
        <w:rPr>
          <w:color w:val="131413"/>
        </w:rPr>
        <w:t>4600</w:t>
      </w:r>
      <w:r>
        <w:rPr>
          <w:color w:val="131413"/>
          <w:spacing w:val="-5"/>
        </w:rPr>
        <w:t> </w:t>
      </w:r>
      <w:r>
        <w:rPr>
          <w:color w:val="131413"/>
        </w:rPr>
        <w:t>SF)</w:t>
      </w:r>
      <w:r>
        <w:rPr>
          <w:color w:val="131413"/>
          <w:spacing w:val="-5"/>
        </w:rPr>
        <w:t> </w:t>
      </w:r>
      <w:r>
        <w:rPr>
          <w:color w:val="131413"/>
        </w:rPr>
        <w:t>was</w:t>
      </w:r>
      <w:r>
        <w:rPr>
          <w:color w:val="131413"/>
          <w:spacing w:val="-5"/>
        </w:rPr>
        <w:t> </w:t>
      </w:r>
      <w:r>
        <w:rPr>
          <w:color w:val="131413"/>
        </w:rPr>
        <w:t>then</w:t>
      </w:r>
      <w:r>
        <w:rPr>
          <w:color w:val="131413"/>
          <w:spacing w:val="-5"/>
        </w:rPr>
        <w:t> </w:t>
      </w:r>
      <w:r>
        <w:rPr>
          <w:color w:val="131413"/>
        </w:rPr>
        <w:t>used</w:t>
      </w:r>
      <w:r>
        <w:rPr>
          <w:color w:val="131413"/>
          <w:spacing w:val="-5"/>
        </w:rPr>
        <w:t> </w:t>
      </w:r>
      <w:r>
        <w:rPr>
          <w:color w:val="131413"/>
        </w:rPr>
        <w:t>to </w:t>
      </w:r>
      <w:r>
        <w:rPr>
          <w:color w:val="131413"/>
          <w:spacing w:val="-2"/>
        </w:rPr>
        <w:t>detect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protein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bands,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with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ImageJ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being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used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densitomet- </w:t>
      </w:r>
      <w:r>
        <w:rPr>
          <w:color w:val="131413"/>
        </w:rPr>
        <w:t>ric analyses.</w:t>
      </w:r>
    </w:p>
    <w:p>
      <w:pPr>
        <w:pStyle w:val="BodyText"/>
        <w:spacing w:before="3"/>
      </w:pPr>
    </w:p>
    <w:p>
      <w:pPr>
        <w:pStyle w:val="Heading2"/>
      </w:pPr>
      <w:bookmarkStart w:name="Oxygen consumption rate measurements" w:id="17"/>
      <w:bookmarkEnd w:id="17"/>
      <w:r>
        <w:rPr/>
      </w:r>
      <w:r>
        <w:rPr>
          <w:color w:val="131413"/>
          <w:w w:val="90"/>
        </w:rPr>
        <w:t>Oxygen</w:t>
      </w:r>
      <w:r>
        <w:rPr>
          <w:color w:val="131413"/>
          <w:spacing w:val="12"/>
        </w:rPr>
        <w:t> </w:t>
      </w:r>
      <w:r>
        <w:rPr>
          <w:color w:val="131413"/>
          <w:w w:val="90"/>
        </w:rPr>
        <w:t>consumption</w:t>
      </w:r>
      <w:r>
        <w:rPr>
          <w:color w:val="131413"/>
          <w:spacing w:val="12"/>
        </w:rPr>
        <w:t> </w:t>
      </w:r>
      <w:r>
        <w:rPr>
          <w:color w:val="131413"/>
          <w:w w:val="90"/>
        </w:rPr>
        <w:t>rate</w:t>
      </w:r>
      <w:r>
        <w:rPr>
          <w:color w:val="131413"/>
          <w:spacing w:val="13"/>
        </w:rPr>
        <w:t> </w:t>
      </w:r>
      <w:r>
        <w:rPr>
          <w:color w:val="131413"/>
          <w:spacing w:val="-2"/>
          <w:w w:val="90"/>
        </w:rPr>
        <w:t>measurements</w:t>
      </w:r>
    </w:p>
    <w:p>
      <w:pPr>
        <w:pStyle w:val="BodyText"/>
        <w:spacing w:before="12"/>
        <w:rPr>
          <w:rFonts w:ascii="Arial"/>
          <w:sz w:val="22"/>
        </w:rPr>
      </w:pPr>
    </w:p>
    <w:p>
      <w:pPr>
        <w:pStyle w:val="BodyText"/>
        <w:spacing w:line="259" w:lineRule="auto"/>
        <w:ind w:left="28" w:right="8"/>
        <w:jc w:val="both"/>
      </w:pPr>
      <w:r>
        <w:rPr>
          <w:color w:val="131413"/>
          <w:spacing w:val="-2"/>
        </w:rPr>
        <w:t>Cellular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oxygen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consumption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rate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(OCR)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values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were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calcu- </w:t>
      </w:r>
      <w:r>
        <w:rPr>
          <w:color w:val="131413"/>
        </w:rPr>
        <w:t>lated using a Seahorse XFe24 instrument (Agilent, Santa </w:t>
      </w:r>
      <w:r>
        <w:rPr>
          <w:color w:val="131413"/>
          <w:spacing w:val="-2"/>
        </w:rPr>
        <w:t>Clara,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CA,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USA).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Different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respiratory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chain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inhibitors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were </w:t>
      </w:r>
      <w:r>
        <w:rPr>
          <w:color w:val="131413"/>
        </w:rPr>
        <w:t>introduced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12"/>
        </w:rPr>
        <w:t> </w:t>
      </w:r>
      <w:r>
        <w:rPr>
          <w:color w:val="131413"/>
        </w:rPr>
        <w:t>sequence</w:t>
      </w:r>
      <w:r>
        <w:rPr>
          <w:color w:val="131413"/>
          <w:spacing w:val="-13"/>
        </w:rPr>
        <w:t> </w:t>
      </w:r>
      <w:r>
        <w:rPr>
          <w:color w:val="131413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analyze</w:t>
      </w:r>
      <w:r>
        <w:rPr>
          <w:color w:val="131413"/>
          <w:spacing w:val="-13"/>
        </w:rPr>
        <w:t> </w:t>
      </w:r>
      <w:r>
        <w:rPr>
          <w:color w:val="131413"/>
        </w:rPr>
        <w:t>cellular</w:t>
      </w:r>
      <w:r>
        <w:rPr>
          <w:color w:val="131413"/>
          <w:spacing w:val="-12"/>
        </w:rPr>
        <w:t> </w:t>
      </w:r>
      <w:r>
        <w:rPr>
          <w:color w:val="131413"/>
        </w:rPr>
        <w:t>respiration.</w:t>
      </w:r>
      <w:r>
        <w:rPr>
          <w:color w:val="131413"/>
          <w:spacing w:val="-13"/>
        </w:rPr>
        <w:t> </w:t>
      </w:r>
      <w:r>
        <w:rPr>
          <w:color w:val="131413"/>
        </w:rPr>
        <w:t>LCLs </w:t>
      </w:r>
      <w:r>
        <w:rPr>
          <w:color w:val="131413"/>
          <w:spacing w:val="-2"/>
        </w:rPr>
        <w:t>were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seeded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3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×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10</w:t>
      </w:r>
      <w:r>
        <w:rPr>
          <w:color w:val="131413"/>
          <w:spacing w:val="-2"/>
          <w:vertAlign w:val="superscript"/>
        </w:rPr>
        <w:t>5</w:t>
      </w:r>
      <w:r>
        <w:rPr>
          <w:color w:val="131413"/>
          <w:spacing w:val="-10"/>
          <w:vertAlign w:val="baseline"/>
        </w:rPr>
        <w:t> </w:t>
      </w:r>
      <w:r>
        <w:rPr>
          <w:color w:val="131413"/>
          <w:spacing w:val="-2"/>
          <w:vertAlign w:val="baseline"/>
        </w:rPr>
        <w:t>cells/well</w:t>
      </w:r>
      <w:r>
        <w:rPr>
          <w:color w:val="131413"/>
          <w:spacing w:val="-11"/>
          <w:vertAlign w:val="baseline"/>
        </w:rPr>
        <w:t> </w:t>
      </w:r>
      <w:r>
        <w:rPr>
          <w:color w:val="131413"/>
          <w:spacing w:val="-2"/>
          <w:vertAlign w:val="baseline"/>
        </w:rPr>
        <w:t>on</w:t>
      </w:r>
      <w:r>
        <w:rPr>
          <w:color w:val="131413"/>
          <w:spacing w:val="-10"/>
          <w:vertAlign w:val="baseline"/>
        </w:rPr>
        <w:t> </w:t>
      </w:r>
      <w:r>
        <w:rPr>
          <w:color w:val="131413"/>
          <w:spacing w:val="-2"/>
          <w:vertAlign w:val="baseline"/>
        </w:rPr>
        <w:t>plates</w:t>
      </w:r>
      <w:r>
        <w:rPr>
          <w:color w:val="131413"/>
          <w:spacing w:val="-11"/>
          <w:vertAlign w:val="baseline"/>
        </w:rPr>
        <w:t> </w:t>
      </w:r>
      <w:r>
        <w:rPr>
          <w:color w:val="131413"/>
          <w:spacing w:val="-2"/>
          <w:vertAlign w:val="baseline"/>
        </w:rPr>
        <w:t>coated</w:t>
      </w:r>
      <w:r>
        <w:rPr>
          <w:color w:val="131413"/>
          <w:spacing w:val="-10"/>
          <w:vertAlign w:val="baseline"/>
        </w:rPr>
        <w:t> </w:t>
      </w:r>
      <w:r>
        <w:rPr>
          <w:color w:val="131413"/>
          <w:spacing w:val="-2"/>
          <w:vertAlign w:val="baseline"/>
        </w:rPr>
        <w:t>with</w:t>
      </w:r>
      <w:r>
        <w:rPr>
          <w:color w:val="131413"/>
          <w:spacing w:val="-11"/>
          <w:vertAlign w:val="baseline"/>
        </w:rPr>
        <w:t> </w:t>
      </w:r>
      <w:r>
        <w:rPr>
          <w:color w:val="131413"/>
          <w:spacing w:val="-2"/>
          <w:vertAlign w:val="baseline"/>
        </w:rPr>
        <w:t>a</w:t>
      </w:r>
      <w:r>
        <w:rPr>
          <w:color w:val="131413"/>
          <w:spacing w:val="-10"/>
          <w:vertAlign w:val="baseline"/>
        </w:rPr>
        <w:t> </w:t>
      </w:r>
      <w:r>
        <w:rPr>
          <w:color w:val="131413"/>
          <w:spacing w:val="-2"/>
          <w:vertAlign w:val="baseline"/>
        </w:rPr>
        <w:t>Cell- </w:t>
      </w:r>
      <w:r>
        <w:rPr>
          <w:color w:val="131413"/>
          <w:vertAlign w:val="baseline"/>
        </w:rPr>
        <w:t>Tak™</w:t>
      </w:r>
      <w:r>
        <w:rPr>
          <w:color w:val="131413"/>
          <w:spacing w:val="19"/>
          <w:vertAlign w:val="baseline"/>
        </w:rPr>
        <w:t> </w:t>
      </w:r>
      <w:r>
        <w:rPr>
          <w:color w:val="131413"/>
          <w:vertAlign w:val="baseline"/>
        </w:rPr>
        <w:t>adhesive</w:t>
      </w:r>
      <w:r>
        <w:rPr>
          <w:color w:val="131413"/>
          <w:spacing w:val="20"/>
          <w:vertAlign w:val="baseline"/>
        </w:rPr>
        <w:t> </w:t>
      </w:r>
      <w:r>
        <w:rPr>
          <w:color w:val="131413"/>
          <w:vertAlign w:val="baseline"/>
        </w:rPr>
        <w:t>(Corning)</w:t>
      </w:r>
      <w:r>
        <w:rPr>
          <w:color w:val="131413"/>
          <w:spacing w:val="19"/>
          <w:vertAlign w:val="baseline"/>
        </w:rPr>
        <w:t> </w:t>
      </w:r>
      <w:r>
        <w:rPr>
          <w:color w:val="131413"/>
          <w:vertAlign w:val="baseline"/>
        </w:rPr>
        <w:t>for</w:t>
      </w:r>
      <w:r>
        <w:rPr>
          <w:color w:val="131413"/>
          <w:spacing w:val="20"/>
          <w:vertAlign w:val="baseline"/>
        </w:rPr>
        <w:t> </w:t>
      </w:r>
      <w:r>
        <w:rPr>
          <w:color w:val="131413"/>
          <w:vertAlign w:val="baseline"/>
        </w:rPr>
        <w:t>30</w:t>
      </w:r>
      <w:r>
        <w:rPr>
          <w:color w:val="131413"/>
          <w:spacing w:val="18"/>
          <w:vertAlign w:val="baseline"/>
        </w:rPr>
        <w:t> </w:t>
      </w:r>
      <w:r>
        <w:rPr>
          <w:color w:val="131413"/>
          <w:vertAlign w:val="baseline"/>
        </w:rPr>
        <w:t>min.</w:t>
      </w:r>
      <w:r>
        <w:rPr>
          <w:color w:val="131413"/>
          <w:spacing w:val="19"/>
          <w:vertAlign w:val="baseline"/>
        </w:rPr>
        <w:t> </w:t>
      </w:r>
      <w:r>
        <w:rPr>
          <w:color w:val="131413"/>
          <w:vertAlign w:val="baseline"/>
        </w:rPr>
        <w:t>Cells</w:t>
      </w:r>
      <w:r>
        <w:rPr>
          <w:color w:val="131413"/>
          <w:spacing w:val="20"/>
          <w:vertAlign w:val="baseline"/>
        </w:rPr>
        <w:t> </w:t>
      </w:r>
      <w:r>
        <w:rPr>
          <w:color w:val="131413"/>
          <w:vertAlign w:val="baseline"/>
        </w:rPr>
        <w:t>were</w:t>
      </w:r>
      <w:r>
        <w:rPr>
          <w:color w:val="131413"/>
          <w:spacing w:val="19"/>
          <w:vertAlign w:val="baseline"/>
        </w:rPr>
        <w:t> </w:t>
      </w:r>
      <w:r>
        <w:rPr>
          <w:color w:val="131413"/>
          <w:vertAlign w:val="baseline"/>
        </w:rPr>
        <w:t>spun</w:t>
      </w:r>
      <w:r>
        <w:rPr>
          <w:color w:val="131413"/>
          <w:spacing w:val="19"/>
          <w:vertAlign w:val="baseline"/>
        </w:rPr>
        <w:t> </w:t>
      </w:r>
      <w:r>
        <w:rPr>
          <w:color w:val="131413"/>
          <w:spacing w:val="-5"/>
          <w:vertAlign w:val="baseline"/>
        </w:rPr>
        <w:t>at</w:t>
      </w:r>
    </w:p>
    <w:p>
      <w:pPr>
        <w:pStyle w:val="BodyText"/>
        <w:spacing w:line="259" w:lineRule="auto" w:before="102"/>
        <w:ind w:left="28" w:right="24"/>
        <w:jc w:val="both"/>
      </w:pPr>
      <w:r>
        <w:rPr/>
        <w:br w:type="column"/>
      </w:r>
      <w:r>
        <w:rPr>
          <w:color w:val="131413"/>
          <w:spacing w:val="-4"/>
        </w:rPr>
        <w:t>200×</w:t>
      </w:r>
      <w:r>
        <w:rPr>
          <w:i/>
          <w:color w:val="131413"/>
          <w:spacing w:val="-4"/>
        </w:rPr>
        <w:t>g</w:t>
      </w:r>
      <w:r>
        <w:rPr>
          <w:i/>
          <w:color w:val="131413"/>
          <w:spacing w:val="-9"/>
        </w:rPr>
        <w:t> </w:t>
      </w:r>
      <w:r>
        <w:rPr>
          <w:color w:val="131413"/>
          <w:spacing w:val="-4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1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min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were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then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incubated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with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culture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medium </w:t>
      </w:r>
      <w:r>
        <w:rPr>
          <w:color w:val="131413"/>
        </w:rPr>
        <w:t>for 30 min. The XFe24 cartridge was placed in calibration solution at 37°C for 12 h. For more details regarding these assay protocols, see prior studies [</w:t>
      </w:r>
      <w:hyperlink w:history="true" w:anchor="_bookmark27">
        <w:r>
          <w:rPr>
            <w:color w:val="0000FF"/>
          </w:rPr>
          <w:t>30</w:t>
        </w:r>
      </w:hyperlink>
      <w:r>
        <w:rPr>
          <w:color w:val="131413"/>
        </w:rPr>
        <w:t>].</w:t>
      </w:r>
    </w:p>
    <w:p>
      <w:pPr>
        <w:pStyle w:val="BodyText"/>
        <w:spacing w:before="2"/>
      </w:pPr>
    </w:p>
    <w:p>
      <w:pPr>
        <w:pStyle w:val="Heading2"/>
      </w:pPr>
      <w:bookmarkStart w:name="Mitochondrial stress test" w:id="18"/>
      <w:bookmarkEnd w:id="18"/>
      <w:r>
        <w:rPr/>
      </w:r>
      <w:r>
        <w:rPr>
          <w:color w:val="131413"/>
          <w:w w:val="90"/>
        </w:rPr>
        <w:t>Mitochondrial</w:t>
      </w:r>
      <w:r>
        <w:rPr>
          <w:color w:val="131413"/>
          <w:spacing w:val="12"/>
        </w:rPr>
        <w:t> </w:t>
      </w:r>
      <w:r>
        <w:rPr>
          <w:color w:val="131413"/>
          <w:w w:val="90"/>
        </w:rPr>
        <w:t>stress</w:t>
      </w:r>
      <w:r>
        <w:rPr>
          <w:color w:val="131413"/>
          <w:spacing w:val="16"/>
        </w:rPr>
        <w:t> </w:t>
      </w:r>
      <w:r>
        <w:rPr>
          <w:color w:val="131413"/>
          <w:spacing w:val="-4"/>
          <w:w w:val="90"/>
        </w:rPr>
        <w:t>test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 w:right="21"/>
        <w:jc w:val="both"/>
      </w:pPr>
      <w:r>
        <w:rPr>
          <w:color w:val="131413"/>
        </w:rPr>
        <w:t>Culture medium was replaced with assay medium (Cat# </w:t>
      </w:r>
      <w:r>
        <w:rPr>
          <w:color w:val="131413"/>
          <w:spacing w:val="-2"/>
        </w:rPr>
        <w:t>103334-100,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Seahorse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Biosciences).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Cells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were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then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exposed to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inhibitors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listed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below: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oligomycin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(1</w:t>
      </w:r>
      <w:r>
        <w:rPr>
          <w:color w:val="131413"/>
          <w:spacing w:val="-10"/>
        </w:rPr>
        <w:t> </w:t>
      </w:r>
      <w:r>
        <w:rPr>
          <w:rFonts w:ascii="Arial" w:hAnsi="Arial"/>
          <w:color w:val="131413"/>
          <w:spacing w:val="-2"/>
        </w:rPr>
        <w:t>μ</w:t>
      </w:r>
      <w:r>
        <w:rPr>
          <w:color w:val="131413"/>
          <w:spacing w:val="-2"/>
        </w:rPr>
        <w:t>M),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carbonyl </w:t>
      </w:r>
      <w:r>
        <w:rPr>
          <w:color w:val="131413"/>
        </w:rPr>
        <w:t>cyanide 4-trifluoromethoxy-phenylhydrazone (FCCP, 0.5 </w:t>
      </w:r>
      <w:r>
        <w:rPr>
          <w:rFonts w:ascii="Arial" w:hAnsi="Arial"/>
          <w:color w:val="131413"/>
        </w:rPr>
        <w:t>μ</w:t>
      </w:r>
      <w:r>
        <w:rPr>
          <w:color w:val="131413"/>
        </w:rPr>
        <w:t>M),</w:t>
      </w:r>
      <w:r>
        <w:rPr>
          <w:color w:val="131413"/>
          <w:spacing w:val="-6"/>
        </w:rPr>
        <w:t> </w:t>
      </w:r>
      <w:r>
        <w:rPr>
          <w:color w:val="131413"/>
        </w:rPr>
        <w:t>rotenone</w:t>
      </w:r>
      <w:r>
        <w:rPr>
          <w:color w:val="131413"/>
          <w:spacing w:val="-8"/>
        </w:rPr>
        <w:t> </w:t>
      </w:r>
      <w:r>
        <w:rPr>
          <w:color w:val="131413"/>
        </w:rPr>
        <w:t>(1</w:t>
      </w:r>
      <w:r>
        <w:rPr>
          <w:color w:val="131413"/>
          <w:spacing w:val="-7"/>
        </w:rPr>
        <w:t> </w:t>
      </w:r>
      <w:r>
        <w:rPr>
          <w:rFonts w:ascii="Arial" w:hAnsi="Arial"/>
          <w:color w:val="131413"/>
        </w:rPr>
        <w:t>μ</w:t>
      </w:r>
      <w:r>
        <w:rPr>
          <w:color w:val="131413"/>
        </w:rPr>
        <w:t>M),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antimycin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(1</w:t>
      </w:r>
      <w:r>
        <w:rPr>
          <w:color w:val="131413"/>
          <w:spacing w:val="-7"/>
        </w:rPr>
        <w:t> </w:t>
      </w:r>
      <w:r>
        <w:rPr>
          <w:rFonts w:ascii="Arial" w:hAnsi="Arial"/>
          <w:color w:val="131413"/>
        </w:rPr>
        <w:t>μ</w:t>
      </w:r>
      <w:r>
        <w:rPr>
          <w:color w:val="131413"/>
        </w:rPr>
        <w:t>M).</w:t>
      </w:r>
      <w:r>
        <w:rPr>
          <w:color w:val="131413"/>
          <w:spacing w:val="-6"/>
        </w:rPr>
        <w:t> </w:t>
      </w:r>
      <w:r>
        <w:rPr>
          <w:color w:val="131413"/>
        </w:rPr>
        <w:t>Assay</w:t>
      </w:r>
      <w:r>
        <w:rPr>
          <w:color w:val="131413"/>
          <w:spacing w:val="-6"/>
        </w:rPr>
        <w:t> </w:t>
      </w:r>
      <w:r>
        <w:rPr>
          <w:color w:val="131413"/>
        </w:rPr>
        <w:t>me- dium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inhibitors</w:t>
      </w:r>
      <w:r>
        <w:rPr>
          <w:color w:val="131413"/>
          <w:spacing w:val="-13"/>
        </w:rPr>
        <w:t> </w:t>
      </w:r>
      <w:r>
        <w:rPr>
          <w:color w:val="131413"/>
        </w:rPr>
        <w:t>were</w:t>
      </w:r>
      <w:r>
        <w:rPr>
          <w:color w:val="131413"/>
          <w:spacing w:val="-12"/>
        </w:rPr>
        <w:t> </w:t>
      </w:r>
      <w:r>
        <w:rPr>
          <w:color w:val="131413"/>
        </w:rPr>
        <w:t>adjusted</w:t>
      </w:r>
      <w:r>
        <w:rPr>
          <w:color w:val="131413"/>
          <w:spacing w:val="-13"/>
        </w:rPr>
        <w:t> </w:t>
      </w:r>
      <w:r>
        <w:rPr>
          <w:color w:val="131413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</w:rPr>
        <w:t>pH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7.4</w:t>
      </w:r>
      <w:r>
        <w:rPr>
          <w:color w:val="131413"/>
          <w:spacing w:val="-12"/>
        </w:rPr>
        <w:t> </w:t>
      </w:r>
      <w:r>
        <w:rPr>
          <w:color w:val="131413"/>
        </w:rPr>
        <w:t>prior</w:t>
      </w:r>
      <w:r>
        <w:rPr>
          <w:color w:val="131413"/>
          <w:spacing w:val="-11"/>
        </w:rPr>
        <w:t> </w:t>
      </w:r>
      <w:r>
        <w:rPr>
          <w:color w:val="131413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4"/>
        </w:rPr>
        <w:t>use.</w:t>
      </w:r>
    </w:p>
    <w:p>
      <w:pPr>
        <w:pStyle w:val="BodyText"/>
        <w:spacing w:before="2"/>
      </w:pPr>
    </w:p>
    <w:p>
      <w:pPr>
        <w:pStyle w:val="Heading2"/>
        <w:spacing w:before="1"/>
      </w:pPr>
      <w:bookmarkStart w:name="Mitochondrial respiration assay" w:id="19"/>
      <w:bookmarkEnd w:id="19"/>
      <w:r>
        <w:rPr/>
      </w:r>
      <w:r>
        <w:rPr>
          <w:color w:val="131413"/>
          <w:spacing w:val="-6"/>
        </w:rPr>
        <w:t>Mitochondrial</w:t>
      </w:r>
      <w:r>
        <w:rPr>
          <w:color w:val="131413"/>
        </w:rPr>
        <w:t> </w:t>
      </w:r>
      <w:r>
        <w:rPr>
          <w:color w:val="131413"/>
          <w:spacing w:val="-6"/>
        </w:rPr>
        <w:t>respiration</w:t>
      </w:r>
      <w:r>
        <w:rPr>
          <w:color w:val="131413"/>
          <w:spacing w:val="2"/>
        </w:rPr>
        <w:t> </w:t>
      </w:r>
      <w:r>
        <w:rPr>
          <w:color w:val="131413"/>
          <w:spacing w:val="-6"/>
        </w:rPr>
        <w:t>assay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 w:right="26"/>
        <w:jc w:val="both"/>
      </w:pPr>
      <w:r>
        <w:rPr>
          <w:color w:val="131413"/>
          <w:spacing w:val="-2"/>
        </w:rPr>
        <w:t>Culture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medium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was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removed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mitochondrial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assay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solu- </w:t>
      </w:r>
      <w:r>
        <w:rPr>
          <w:color w:val="131413"/>
        </w:rPr>
        <w:t>tion (MAS) buffer (sucrose 70 mM, mannitol 210 mM, KH</w:t>
      </w:r>
      <w:r>
        <w:rPr>
          <w:color w:val="131413"/>
          <w:vertAlign w:val="subscript"/>
        </w:rPr>
        <w:t>2</w:t>
      </w:r>
      <w:r>
        <w:rPr>
          <w:color w:val="131413"/>
          <w:vertAlign w:val="baseline"/>
        </w:rPr>
        <w:t>PO</w:t>
      </w:r>
      <w:r>
        <w:rPr>
          <w:color w:val="131413"/>
          <w:vertAlign w:val="subscript"/>
        </w:rPr>
        <w:t>4</w:t>
      </w:r>
      <w:r>
        <w:rPr>
          <w:color w:val="131413"/>
          <w:spacing w:val="24"/>
          <w:vertAlign w:val="baseline"/>
        </w:rPr>
        <w:t> </w:t>
      </w:r>
      <w:r>
        <w:rPr>
          <w:color w:val="131413"/>
          <w:vertAlign w:val="baseline"/>
        </w:rPr>
        <w:t>10</w:t>
      </w:r>
      <w:r>
        <w:rPr>
          <w:color w:val="131413"/>
          <w:spacing w:val="24"/>
          <w:vertAlign w:val="baseline"/>
        </w:rPr>
        <w:t> </w:t>
      </w:r>
      <w:r>
        <w:rPr>
          <w:color w:val="131413"/>
          <w:vertAlign w:val="baseline"/>
        </w:rPr>
        <w:t>mM,</w:t>
      </w:r>
      <w:r>
        <w:rPr>
          <w:color w:val="131413"/>
          <w:spacing w:val="24"/>
          <w:vertAlign w:val="baseline"/>
        </w:rPr>
        <w:t> </w:t>
      </w:r>
      <w:r>
        <w:rPr>
          <w:color w:val="131413"/>
          <w:vertAlign w:val="baseline"/>
        </w:rPr>
        <w:t>MgCl</w:t>
      </w:r>
      <w:r>
        <w:rPr>
          <w:color w:val="131413"/>
          <w:vertAlign w:val="subscript"/>
        </w:rPr>
        <w:t>2</w:t>
      </w:r>
      <w:r>
        <w:rPr>
          <w:color w:val="131413"/>
          <w:spacing w:val="22"/>
          <w:vertAlign w:val="baseline"/>
        </w:rPr>
        <w:t> </w:t>
      </w:r>
      <w:r>
        <w:rPr>
          <w:color w:val="131413"/>
          <w:vertAlign w:val="baseline"/>
        </w:rPr>
        <w:t>5</w:t>
      </w:r>
      <w:r>
        <w:rPr>
          <w:color w:val="131413"/>
          <w:spacing w:val="24"/>
          <w:vertAlign w:val="baseline"/>
        </w:rPr>
        <w:t> </w:t>
      </w:r>
      <w:r>
        <w:rPr>
          <w:color w:val="131413"/>
          <w:vertAlign w:val="baseline"/>
        </w:rPr>
        <w:t>mM,</w:t>
      </w:r>
      <w:r>
        <w:rPr>
          <w:color w:val="131413"/>
          <w:spacing w:val="25"/>
          <w:vertAlign w:val="baseline"/>
        </w:rPr>
        <w:t> </w:t>
      </w:r>
      <w:r>
        <w:rPr>
          <w:color w:val="131413"/>
          <w:vertAlign w:val="baseline"/>
        </w:rPr>
        <w:t>HEPES</w:t>
      </w:r>
      <w:r>
        <w:rPr>
          <w:color w:val="131413"/>
          <w:spacing w:val="26"/>
          <w:vertAlign w:val="baseline"/>
        </w:rPr>
        <w:t> </w:t>
      </w:r>
      <w:r>
        <w:rPr>
          <w:color w:val="131413"/>
          <w:vertAlign w:val="baseline"/>
        </w:rPr>
        <w:t>2</w:t>
      </w:r>
      <w:r>
        <w:rPr>
          <w:color w:val="131413"/>
          <w:spacing w:val="22"/>
          <w:vertAlign w:val="baseline"/>
        </w:rPr>
        <w:t> </w:t>
      </w:r>
      <w:r>
        <w:rPr>
          <w:color w:val="131413"/>
          <w:vertAlign w:val="baseline"/>
        </w:rPr>
        <w:t>mM,</w:t>
      </w:r>
      <w:r>
        <w:rPr>
          <w:color w:val="131413"/>
          <w:spacing w:val="25"/>
          <w:vertAlign w:val="baseline"/>
        </w:rPr>
        <w:t> </w:t>
      </w:r>
      <w:r>
        <w:rPr>
          <w:color w:val="131413"/>
          <w:vertAlign w:val="baseline"/>
        </w:rPr>
        <w:t>EDTA</w:t>
      </w:r>
      <w:r>
        <w:rPr>
          <w:color w:val="131413"/>
          <w:spacing w:val="25"/>
          <w:vertAlign w:val="baseline"/>
        </w:rPr>
        <w:t> </w:t>
      </w:r>
      <w:r>
        <w:rPr>
          <w:color w:val="131413"/>
          <w:spacing w:val="-10"/>
          <w:vertAlign w:val="baseline"/>
        </w:rPr>
        <w:t>1</w:t>
      </w:r>
    </w:p>
    <w:p>
      <w:pPr>
        <w:pStyle w:val="BodyText"/>
        <w:spacing w:line="259" w:lineRule="auto" w:before="2"/>
        <w:ind w:left="28" w:right="10"/>
        <w:jc w:val="both"/>
      </w:pPr>
      <w:r>
        <w:rPr>
          <w:color w:val="131413"/>
        </w:rPr>
        <w:t>mM, and BSA 0.2% (</w:t>
      </w:r>
      <w:r>
        <w:rPr>
          <w:i/>
          <w:color w:val="131413"/>
        </w:rPr>
        <w:t>w</w:t>
      </w:r>
      <w:r>
        <w:rPr>
          <w:color w:val="131413"/>
        </w:rPr>
        <w:t>/</w:t>
      </w:r>
      <w:r>
        <w:rPr>
          <w:i/>
          <w:color w:val="131413"/>
        </w:rPr>
        <w:t>v</w:t>
      </w:r>
      <w:r>
        <w:rPr>
          <w:color w:val="131413"/>
        </w:rPr>
        <w:t>)) was added in its place, while </w:t>
      </w:r>
      <w:r>
        <w:rPr>
          <w:color w:val="131413"/>
          <w:spacing w:val="-2"/>
        </w:rPr>
        <w:t>pyruvate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(10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mM),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malate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(5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mM),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FCCP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(0.5</w:t>
      </w:r>
      <w:r>
        <w:rPr>
          <w:color w:val="131413"/>
          <w:spacing w:val="-9"/>
        </w:rPr>
        <w:t> </w:t>
      </w:r>
      <w:r>
        <w:rPr>
          <w:rFonts w:ascii="Arial" w:hAnsi="Arial"/>
          <w:color w:val="131413"/>
          <w:spacing w:val="-2"/>
        </w:rPr>
        <w:t>μ</w:t>
      </w:r>
      <w:r>
        <w:rPr>
          <w:color w:val="131413"/>
          <w:spacing w:val="-2"/>
        </w:rPr>
        <w:t>M)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were </w:t>
      </w:r>
      <w:r>
        <w:rPr>
          <w:color w:val="131413"/>
        </w:rPr>
        <w:t>used as buffer substrates. Digitonin (25 </w:t>
      </w:r>
      <w:r>
        <w:rPr>
          <w:rFonts w:ascii="Arial" w:hAnsi="Arial"/>
          <w:color w:val="131413"/>
        </w:rPr>
        <w:t>μ</w:t>
      </w:r>
      <w:r>
        <w:rPr>
          <w:color w:val="131413"/>
        </w:rPr>
        <w:t>g/ml, Sigma) was used</w:t>
      </w:r>
      <w:r>
        <w:rPr>
          <w:color w:val="131413"/>
          <w:spacing w:val="-10"/>
        </w:rPr>
        <w:t> </w:t>
      </w:r>
      <w:r>
        <w:rPr>
          <w:color w:val="131413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permeabilize</w:t>
      </w:r>
      <w:r>
        <w:rPr>
          <w:color w:val="131413"/>
          <w:spacing w:val="-11"/>
        </w:rPr>
        <w:t> </w:t>
      </w:r>
      <w:r>
        <w:rPr>
          <w:color w:val="131413"/>
        </w:rPr>
        <w:t>cells.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injections</w:t>
      </w:r>
      <w:r>
        <w:rPr>
          <w:color w:val="131413"/>
          <w:spacing w:val="-10"/>
        </w:rPr>
        <w:t> </w:t>
      </w:r>
      <w:r>
        <w:rPr>
          <w:color w:val="131413"/>
        </w:rPr>
        <w:t>were</w:t>
      </w:r>
      <w:r>
        <w:rPr>
          <w:color w:val="131413"/>
          <w:spacing w:val="-10"/>
        </w:rPr>
        <w:t> </w:t>
      </w:r>
      <w:r>
        <w:rPr>
          <w:color w:val="131413"/>
        </w:rPr>
        <w:t>composed</w:t>
      </w:r>
      <w:r>
        <w:rPr>
          <w:color w:val="131413"/>
          <w:spacing w:val="-10"/>
        </w:rPr>
        <w:t> </w:t>
      </w:r>
      <w:r>
        <w:rPr>
          <w:color w:val="131413"/>
        </w:rPr>
        <w:t>of rotenone (2 </w:t>
      </w:r>
      <w:r>
        <w:rPr>
          <w:rFonts w:ascii="Arial" w:hAnsi="Arial"/>
          <w:color w:val="131413"/>
        </w:rPr>
        <w:t>μ</w:t>
      </w:r>
      <w:r>
        <w:rPr>
          <w:color w:val="131413"/>
        </w:rPr>
        <w:t>M), succinate (10 mM), antimycin A (5 </w:t>
      </w:r>
      <w:r>
        <w:rPr>
          <w:rFonts w:ascii="Arial" w:hAnsi="Arial"/>
          <w:color w:val="131413"/>
        </w:rPr>
        <w:t>μ</w:t>
      </w:r>
      <w:r>
        <w:rPr>
          <w:color w:val="131413"/>
        </w:rPr>
        <w:t>M), </w:t>
      </w:r>
      <w:r>
        <w:rPr>
          <w:color w:val="131413"/>
          <w:spacing w:val="14"/>
        </w:rPr>
        <w:t>ascorbate</w:t>
      </w:r>
      <w:r>
        <w:rPr>
          <w:color w:val="131413"/>
          <w:spacing w:val="10"/>
        </w:rPr>
        <w:t> </w:t>
      </w:r>
      <w:r>
        <w:rPr>
          <w:color w:val="131413"/>
          <w:spacing w:val="11"/>
        </w:rPr>
        <w:t>(10</w:t>
      </w:r>
      <w:r>
        <w:rPr>
          <w:color w:val="131413"/>
          <w:spacing w:val="11"/>
        </w:rPr>
        <w:t> </w:t>
      </w:r>
      <w:r>
        <w:rPr>
          <w:color w:val="131413"/>
          <w:spacing w:val="12"/>
        </w:rPr>
        <w:t>mM),</w:t>
      </w:r>
      <w:r>
        <w:rPr>
          <w:color w:val="131413"/>
          <w:spacing w:val="12"/>
        </w:rPr>
        <w:t> </w:t>
      </w:r>
      <w:r>
        <w:rPr>
          <w:color w:val="131413"/>
          <w:spacing w:val="11"/>
        </w:rPr>
        <w:t>and</w:t>
      </w:r>
      <w:r>
        <w:rPr>
          <w:color w:val="131413"/>
          <w:spacing w:val="11"/>
        </w:rPr>
        <w:t> </w:t>
      </w:r>
      <w:r>
        <w:rPr>
          <w:i/>
          <w:color w:val="131413"/>
        </w:rPr>
        <w:t>N</w:t>
      </w:r>
      <w:r>
        <w:rPr>
          <w:color w:val="131413"/>
        </w:rPr>
        <w:t>,</w:t>
      </w:r>
      <w:r>
        <w:rPr>
          <w:color w:val="131413"/>
          <w:spacing w:val="-13"/>
        </w:rPr>
        <w:t> </w:t>
      </w:r>
      <w:r>
        <w:rPr>
          <w:i/>
          <w:color w:val="131413"/>
          <w:spacing w:val="12"/>
        </w:rPr>
        <w:t>N</w:t>
      </w:r>
      <w:r>
        <w:rPr>
          <w:color w:val="131413"/>
          <w:spacing w:val="12"/>
        </w:rPr>
        <w:t>,</w:t>
      </w:r>
      <w:r>
        <w:rPr>
          <w:i/>
          <w:color w:val="131413"/>
          <w:spacing w:val="12"/>
        </w:rPr>
        <w:t>N</w:t>
      </w:r>
      <w:r>
        <w:rPr>
          <w:rFonts w:ascii="Arial" w:hAnsi="Arial"/>
          <w:color w:val="131413"/>
          <w:spacing w:val="12"/>
        </w:rPr>
        <w:t>′</w:t>
      </w:r>
      <w:r>
        <w:rPr>
          <w:color w:val="131413"/>
          <w:spacing w:val="12"/>
        </w:rPr>
        <w:t>,</w:t>
      </w:r>
      <w:r>
        <w:rPr>
          <w:color w:val="131413"/>
          <w:spacing w:val="-12"/>
        </w:rPr>
        <w:t> </w:t>
      </w:r>
      <w:r>
        <w:rPr>
          <w:i/>
          <w:color w:val="131413"/>
          <w:spacing w:val="16"/>
        </w:rPr>
        <w:t>N</w:t>
      </w:r>
      <w:r>
        <w:rPr>
          <w:rFonts w:ascii="Arial" w:hAnsi="Arial"/>
          <w:color w:val="131413"/>
          <w:spacing w:val="16"/>
        </w:rPr>
        <w:t>′</w:t>
      </w:r>
      <w:r>
        <w:rPr>
          <w:color w:val="131413"/>
          <w:spacing w:val="16"/>
        </w:rPr>
        <w:t>-tetramethyl-p- </w:t>
      </w:r>
      <w:r>
        <w:rPr>
          <w:color w:val="131413"/>
          <w:spacing w:val="-2"/>
        </w:rPr>
        <w:t>phenylenediamine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(TMPD,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0.5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mM).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All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solutions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injec- </w:t>
      </w:r>
      <w:r>
        <w:rPr>
          <w:color w:val="131413"/>
        </w:rPr>
        <w:t>tions had a pH of 7.2.</w:t>
      </w:r>
    </w:p>
    <w:p>
      <w:pPr>
        <w:pStyle w:val="BodyText"/>
        <w:spacing w:before="1"/>
      </w:pPr>
    </w:p>
    <w:p>
      <w:pPr>
        <w:pStyle w:val="Heading2"/>
        <w:spacing w:before="1"/>
      </w:pPr>
      <w:bookmarkStart w:name="Statistical analysis" w:id="20"/>
      <w:bookmarkEnd w:id="20"/>
      <w:r>
        <w:rPr/>
      </w:r>
      <w:r>
        <w:rPr>
          <w:color w:val="131413"/>
          <w:w w:val="90"/>
        </w:rPr>
        <w:t>Statistical</w:t>
      </w:r>
      <w:r>
        <w:rPr>
          <w:color w:val="131413"/>
          <w:spacing w:val="7"/>
        </w:rPr>
        <w:t> </w:t>
      </w:r>
      <w:r>
        <w:rPr>
          <w:color w:val="131413"/>
          <w:spacing w:val="-2"/>
          <w:w w:val="95"/>
        </w:rPr>
        <w:t>analysis</w:t>
      </w:r>
    </w:p>
    <w:p>
      <w:pPr>
        <w:pStyle w:val="BodyText"/>
        <w:spacing w:before="12"/>
        <w:rPr>
          <w:rFonts w:ascii="Arial"/>
          <w:sz w:val="22"/>
        </w:rPr>
      </w:pPr>
    </w:p>
    <w:p>
      <w:pPr>
        <w:pStyle w:val="BodyText"/>
        <w:spacing w:line="259" w:lineRule="auto"/>
        <w:ind w:left="28" w:right="24"/>
        <w:jc w:val="both"/>
      </w:pP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presented</w:t>
      </w:r>
      <w:r>
        <w:rPr>
          <w:color w:val="131413"/>
          <w:spacing w:val="-12"/>
        </w:rPr>
        <w:t> </w:t>
      </w:r>
      <w:r>
        <w:rPr>
          <w:color w:val="131413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given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means</w:t>
      </w:r>
      <w:r>
        <w:rPr>
          <w:color w:val="131413"/>
          <w:spacing w:val="-12"/>
        </w:rPr>
        <w:t> </w:t>
      </w:r>
      <w:r>
        <w:rPr>
          <w:color w:val="131413"/>
        </w:rPr>
        <w:t>±</w:t>
      </w:r>
      <w:r>
        <w:rPr>
          <w:color w:val="131413"/>
          <w:spacing w:val="-11"/>
        </w:rPr>
        <w:t> </w:t>
      </w:r>
      <w:r>
        <w:rPr>
          <w:color w:val="131413"/>
        </w:rPr>
        <w:t>standard</w:t>
      </w:r>
      <w:r>
        <w:rPr>
          <w:color w:val="131413"/>
          <w:spacing w:val="-12"/>
        </w:rPr>
        <w:t> </w:t>
      </w:r>
      <w:r>
        <w:rPr>
          <w:color w:val="131413"/>
        </w:rPr>
        <w:t>deviations </w:t>
      </w:r>
      <w:r>
        <w:rPr>
          <w:color w:val="131413"/>
          <w:spacing w:val="-2"/>
        </w:rPr>
        <w:t>(SDs).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Normally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distributed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data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were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analyzed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via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indepen- </w:t>
      </w:r>
      <w:r>
        <w:rPr>
          <w:color w:val="131413"/>
        </w:rPr>
        <w:t>dent</w:t>
      </w:r>
      <w:r>
        <w:rPr>
          <w:color w:val="131413"/>
          <w:spacing w:val="-13"/>
        </w:rPr>
        <w:t> </w:t>
      </w:r>
      <w:r>
        <w:rPr>
          <w:color w:val="131413"/>
        </w:rPr>
        <w:t>two-sample</w:t>
      </w:r>
      <w:r>
        <w:rPr>
          <w:color w:val="131413"/>
          <w:spacing w:val="-12"/>
        </w:rPr>
        <w:t> </w:t>
      </w:r>
      <w:r>
        <w:rPr>
          <w:i/>
          <w:color w:val="131413"/>
        </w:rPr>
        <w:t>t</w:t>
      </w:r>
      <w:r>
        <w:rPr>
          <w:color w:val="131413"/>
        </w:rPr>
        <w:t>-tests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12"/>
        </w:rPr>
        <w:t> </w:t>
      </w:r>
      <w:r>
        <w:rPr>
          <w:color w:val="131413"/>
        </w:rPr>
        <w:t>one-way</w:t>
      </w:r>
      <w:r>
        <w:rPr>
          <w:color w:val="131413"/>
          <w:spacing w:val="-13"/>
        </w:rPr>
        <w:t> </w:t>
      </w:r>
      <w:r>
        <w:rPr>
          <w:color w:val="131413"/>
        </w:rPr>
        <w:t>ANOVAs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3"/>
        </w:rPr>
        <w:t> </w:t>
      </w:r>
      <w:r>
        <w:rPr>
          <w:color w:val="131413"/>
        </w:rPr>
        <w:t>appropriate using</w:t>
      </w:r>
      <w:r>
        <w:rPr>
          <w:color w:val="131413"/>
          <w:spacing w:val="-1"/>
        </w:rPr>
        <w:t> </w:t>
      </w:r>
      <w:r>
        <w:rPr>
          <w:color w:val="131413"/>
        </w:rPr>
        <w:t>SPSS</w:t>
      </w:r>
      <w:r>
        <w:rPr>
          <w:color w:val="131413"/>
          <w:spacing w:val="-1"/>
        </w:rPr>
        <w:t> </w:t>
      </w:r>
      <w:r>
        <w:rPr>
          <w:color w:val="131413"/>
        </w:rPr>
        <w:t>22.0</w:t>
      </w:r>
      <w:r>
        <w:rPr>
          <w:color w:val="131413"/>
          <w:spacing w:val="-3"/>
        </w:rPr>
        <w:t> </w:t>
      </w:r>
      <w:r>
        <w:rPr>
          <w:color w:val="131413"/>
        </w:rPr>
        <w:t>(IBM,</w:t>
      </w:r>
      <w:r>
        <w:rPr>
          <w:color w:val="131413"/>
          <w:spacing w:val="-3"/>
        </w:rPr>
        <w:t> </w:t>
      </w:r>
      <w:r>
        <w:rPr>
          <w:color w:val="131413"/>
        </w:rPr>
        <w:t>IL,</w:t>
      </w:r>
      <w:r>
        <w:rPr>
          <w:color w:val="131413"/>
          <w:spacing w:val="-1"/>
        </w:rPr>
        <w:t> </w:t>
      </w:r>
      <w:r>
        <w:rPr>
          <w:color w:val="131413"/>
        </w:rPr>
        <w:t>USA).</w:t>
      </w:r>
      <w:r>
        <w:rPr>
          <w:color w:val="131413"/>
          <w:spacing w:val="-2"/>
        </w:rPr>
        <w:t> </w:t>
      </w:r>
      <w:r>
        <w:rPr>
          <w:i/>
          <w:color w:val="131413"/>
        </w:rPr>
        <w:t>P</w:t>
      </w:r>
      <w:r>
        <w:rPr>
          <w:i/>
          <w:color w:val="131413"/>
          <w:spacing w:val="-2"/>
        </w:rPr>
        <w:t> </w:t>
      </w:r>
      <w:r>
        <w:rPr>
          <w:color w:val="131413"/>
        </w:rPr>
        <w:t>&lt;</w:t>
      </w:r>
      <w:r>
        <w:rPr>
          <w:color w:val="131413"/>
          <w:spacing w:val="-1"/>
        </w:rPr>
        <w:t> </w:t>
      </w:r>
      <w:r>
        <w:rPr>
          <w:color w:val="131413"/>
        </w:rPr>
        <w:t>0.05</w:t>
      </w:r>
      <w:r>
        <w:rPr>
          <w:color w:val="131413"/>
          <w:spacing w:val="-3"/>
        </w:rPr>
        <w:t> </w:t>
      </w:r>
      <w:r>
        <w:rPr>
          <w:color w:val="131413"/>
        </w:rPr>
        <w:t>was</w:t>
      </w:r>
      <w:r>
        <w:rPr>
          <w:color w:val="131413"/>
          <w:spacing w:val="-1"/>
        </w:rPr>
        <w:t> </w:t>
      </w:r>
      <w:r>
        <w:rPr>
          <w:color w:val="131413"/>
        </w:rPr>
        <w:t>the signifi- cance threshold for this study.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Heading1"/>
        <w:spacing w:before="1"/>
      </w:pPr>
      <w:bookmarkStart w:name="Results" w:id="21"/>
      <w:bookmarkEnd w:id="21"/>
      <w:r>
        <w:rPr/>
      </w:r>
      <w:r>
        <w:rPr>
          <w:color w:val="131413"/>
          <w:spacing w:val="-2"/>
        </w:rPr>
        <w:t>Results</w:t>
      </w:r>
    </w:p>
    <w:p>
      <w:pPr>
        <w:pStyle w:val="Heading2"/>
        <w:spacing w:before="241"/>
      </w:pPr>
      <w:bookmarkStart w:name="Recognizing novel pathogenic POLG mutati" w:id="22"/>
      <w:bookmarkEnd w:id="22"/>
      <w:r>
        <w:rPr/>
      </w:r>
      <w:r>
        <w:rPr>
          <w:color w:val="131413"/>
          <w:w w:val="90"/>
        </w:rPr>
        <w:t>Recognizing</w:t>
      </w:r>
      <w:r>
        <w:rPr>
          <w:color w:val="131413"/>
          <w:spacing w:val="-4"/>
          <w:w w:val="90"/>
        </w:rPr>
        <w:t> </w:t>
      </w:r>
      <w:r>
        <w:rPr>
          <w:color w:val="131413"/>
          <w:w w:val="90"/>
        </w:rPr>
        <w:t>novel</w:t>
      </w:r>
      <w:r>
        <w:rPr>
          <w:color w:val="131413"/>
          <w:spacing w:val="-1"/>
          <w:w w:val="90"/>
        </w:rPr>
        <w:t> </w:t>
      </w:r>
      <w:r>
        <w:rPr>
          <w:color w:val="131413"/>
          <w:w w:val="90"/>
        </w:rPr>
        <w:t>pathogenic</w:t>
      </w:r>
      <w:r>
        <w:rPr>
          <w:color w:val="131413"/>
          <w:spacing w:val="-2"/>
          <w:w w:val="90"/>
        </w:rPr>
        <w:t> </w:t>
      </w:r>
      <w:r>
        <w:rPr>
          <w:color w:val="131413"/>
          <w:w w:val="90"/>
        </w:rPr>
        <w:t>POLG</w:t>
      </w:r>
      <w:r>
        <w:rPr>
          <w:color w:val="131413"/>
          <w:spacing w:val="-2"/>
          <w:w w:val="90"/>
        </w:rPr>
        <w:t> mutations</w:t>
      </w:r>
    </w:p>
    <w:p>
      <w:pPr>
        <w:pStyle w:val="BodyText"/>
        <w:spacing w:before="12"/>
        <w:rPr>
          <w:rFonts w:ascii="Arial"/>
          <w:sz w:val="22"/>
        </w:rPr>
      </w:pPr>
    </w:p>
    <w:p>
      <w:pPr>
        <w:pStyle w:val="BodyText"/>
        <w:spacing w:line="259" w:lineRule="auto"/>
        <w:ind w:left="28" w:right="14"/>
        <w:jc w:val="both"/>
      </w:pPr>
      <w:r>
        <w:rPr>
          <w:color w:val="131413"/>
          <w:spacing w:val="9"/>
        </w:rPr>
        <w:t>Using</w:t>
      </w:r>
      <w:r>
        <w:rPr>
          <w:color w:val="131413"/>
          <w:spacing w:val="9"/>
        </w:rPr>
        <w:t> </w:t>
      </w:r>
      <w:r>
        <w:rPr>
          <w:color w:val="131413"/>
        </w:rPr>
        <w:t>a WES </w:t>
      </w:r>
      <w:r>
        <w:rPr>
          <w:color w:val="131413"/>
          <w:spacing w:val="10"/>
        </w:rPr>
        <w:t>approach,</w:t>
      </w:r>
      <w:r>
        <w:rPr>
          <w:color w:val="131413"/>
          <w:spacing w:val="10"/>
        </w:rPr>
        <w:t> </w:t>
      </w:r>
      <w:r>
        <w:rPr>
          <w:color w:val="131413"/>
        </w:rPr>
        <w:t>we </w:t>
      </w:r>
      <w:r>
        <w:rPr>
          <w:color w:val="131413"/>
          <w:spacing w:val="10"/>
        </w:rPr>
        <w:t>identified</w:t>
      </w:r>
      <w:r>
        <w:rPr>
          <w:color w:val="131413"/>
          <w:spacing w:val="10"/>
        </w:rPr>
        <w:t> </w:t>
      </w:r>
      <w:r>
        <w:rPr>
          <w:color w:val="131413"/>
        </w:rPr>
        <w:t>two </w:t>
      </w:r>
      <w:r>
        <w:rPr>
          <w:color w:val="131413"/>
          <w:spacing w:val="12"/>
        </w:rPr>
        <w:t>novel </w:t>
      </w:r>
      <w:r>
        <w:rPr>
          <w:color w:val="131413"/>
        </w:rPr>
        <w:t>biallelic </w:t>
      </w:r>
      <w:r>
        <w:rPr>
          <w:i/>
          <w:color w:val="131413"/>
        </w:rPr>
        <w:t>POLG </w:t>
      </w:r>
      <w:r>
        <w:rPr>
          <w:color w:val="131413"/>
        </w:rPr>
        <w:t>mutations in the proband patient, includ- ing</w:t>
      </w:r>
      <w:r>
        <w:rPr>
          <w:color w:val="131413"/>
          <w:spacing w:val="40"/>
        </w:rPr>
        <w:t> </w:t>
      </w:r>
      <w:r>
        <w:rPr>
          <w:color w:val="131413"/>
        </w:rPr>
        <w:t>a</w:t>
      </w:r>
      <w:r>
        <w:rPr>
          <w:color w:val="131413"/>
          <w:spacing w:val="40"/>
        </w:rPr>
        <w:t> </w:t>
      </w:r>
      <w:r>
        <w:rPr>
          <w:color w:val="131413"/>
        </w:rPr>
        <w:t>large</w:t>
      </w:r>
      <w:r>
        <w:rPr>
          <w:color w:val="131413"/>
          <w:spacing w:val="40"/>
        </w:rPr>
        <w:t> </w:t>
      </w:r>
      <w:r>
        <w:rPr>
          <w:color w:val="131413"/>
        </w:rPr>
        <w:t>deletion</w:t>
      </w:r>
      <w:r>
        <w:rPr>
          <w:color w:val="131413"/>
          <w:spacing w:val="40"/>
        </w:rPr>
        <w:t> </w:t>
      </w:r>
      <w:r>
        <w:rPr>
          <w:color w:val="131413"/>
        </w:rPr>
        <w:t>mutation</w:t>
      </w:r>
      <w:r>
        <w:rPr>
          <w:color w:val="131413"/>
          <w:spacing w:val="40"/>
        </w:rPr>
        <w:t> </w:t>
      </w:r>
      <w:r>
        <w:rPr>
          <w:color w:val="131413"/>
        </w:rPr>
        <w:t>between</w:t>
      </w:r>
      <w:r>
        <w:rPr>
          <w:color w:val="131413"/>
          <w:spacing w:val="40"/>
        </w:rPr>
        <w:t> </w:t>
      </w:r>
      <w:r>
        <w:rPr>
          <w:color w:val="131413"/>
        </w:rPr>
        <w:t>exons</w:t>
      </w:r>
      <w:r>
        <w:rPr>
          <w:color w:val="131413"/>
          <w:spacing w:val="40"/>
        </w:rPr>
        <w:t> </w:t>
      </w:r>
      <w:r>
        <w:rPr>
          <w:color w:val="131413"/>
        </w:rPr>
        <w:t>7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0"/>
        </w:rPr>
        <w:t> </w:t>
      </w:r>
      <w:r>
        <w:rPr>
          <w:color w:val="131413"/>
        </w:rPr>
        <w:t>21 and a </w:t>
      </w:r>
      <w:r>
        <w:rPr>
          <w:color w:val="131413"/>
          <w:spacing w:val="12"/>
        </w:rPr>
        <w:t>missense</w:t>
      </w:r>
      <w:r>
        <w:rPr>
          <w:color w:val="131413"/>
          <w:spacing w:val="12"/>
        </w:rPr>
        <w:t> </w:t>
      </w:r>
      <w:r>
        <w:rPr>
          <w:color w:val="131413"/>
          <w:spacing w:val="11"/>
        </w:rPr>
        <w:t>variant</w:t>
      </w:r>
      <w:r>
        <w:rPr>
          <w:color w:val="131413"/>
          <w:spacing w:val="11"/>
        </w:rPr>
        <w:t> </w:t>
      </w:r>
      <w:r>
        <w:rPr>
          <w:color w:val="131413"/>
        </w:rPr>
        <w:t>in </w:t>
      </w:r>
      <w:r>
        <w:rPr>
          <w:color w:val="131413"/>
          <w:spacing w:val="10"/>
        </w:rPr>
        <w:t>exon</w:t>
      </w:r>
      <w:r>
        <w:rPr>
          <w:color w:val="131413"/>
          <w:spacing w:val="10"/>
        </w:rPr>
        <w:t> </w:t>
      </w:r>
      <w:r>
        <w:rPr>
          <w:color w:val="131413"/>
        </w:rPr>
        <w:t>10 </w:t>
      </w:r>
      <w:r>
        <w:rPr>
          <w:color w:val="131413"/>
          <w:spacing w:val="12"/>
        </w:rPr>
        <w:t>(c.1796C&gt;T, </w:t>
      </w:r>
      <w:r>
        <w:rPr>
          <w:color w:val="131413"/>
        </w:rPr>
        <w:t>p.Thr599Ile). To identify the breakpoints of the deleted allele, a PCR assay was then designed, and subsequent</w:t>
      </w:r>
      <w:r>
        <w:rPr>
          <w:color w:val="131413"/>
          <w:spacing w:val="40"/>
        </w:rPr>
        <w:t> </w:t>
      </w:r>
      <w:r>
        <w:rPr>
          <w:color w:val="131413"/>
        </w:rPr>
        <w:t>PCR product sequencing revealed a large 9223-bp dele- tion</w:t>
      </w:r>
      <w:r>
        <w:rPr>
          <w:color w:val="131413"/>
          <w:spacing w:val="28"/>
        </w:rPr>
        <w:t>  </w:t>
      </w:r>
      <w:r>
        <w:rPr>
          <w:color w:val="131413"/>
        </w:rPr>
        <w:t>within</w:t>
      </w:r>
      <w:r>
        <w:rPr>
          <w:color w:val="131413"/>
          <w:spacing w:val="28"/>
        </w:rPr>
        <w:t>  </w:t>
      </w:r>
      <w:r>
        <w:rPr>
          <w:i/>
          <w:color w:val="131413"/>
        </w:rPr>
        <w:t>POLG</w:t>
      </w:r>
      <w:r>
        <w:rPr>
          <w:i/>
          <w:color w:val="131413"/>
          <w:spacing w:val="29"/>
        </w:rPr>
        <w:t>  </w:t>
      </w:r>
      <w:r>
        <w:rPr>
          <w:color w:val="131413"/>
        </w:rPr>
        <w:t>(chr15:</w:t>
      </w:r>
      <w:r>
        <w:rPr>
          <w:color w:val="131413"/>
          <w:spacing w:val="28"/>
        </w:rPr>
        <w:t>  </w:t>
      </w:r>
      <w:r>
        <w:rPr>
          <w:color w:val="131413"/>
          <w:spacing w:val="9"/>
        </w:rPr>
        <w:t>89,861,596-</w:t>
      </w:r>
      <w:r>
        <w:rPr>
          <w:color w:val="131413"/>
          <w:spacing w:val="7"/>
        </w:rPr>
        <w:t>89,870,890).</w:t>
      </w:r>
    </w:p>
    <w:p>
      <w:pPr>
        <w:pStyle w:val="BodyText"/>
        <w:spacing w:line="259" w:lineRule="auto" w:before="5"/>
        <w:ind w:left="28" w:right="11"/>
        <w:jc w:val="both"/>
      </w:pPr>
      <w:r>
        <w:rPr>
          <w:color w:val="131413"/>
        </w:rPr>
        <w:t>When this region was further analyzed via long-range</w:t>
      </w:r>
      <w:r>
        <w:rPr>
          <w:color w:val="131413"/>
          <w:spacing w:val="80"/>
        </w:rPr>
        <w:t> </w:t>
      </w:r>
      <w:r>
        <w:rPr>
          <w:color w:val="131413"/>
        </w:rPr>
        <w:t>PCR,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large</w:t>
      </w:r>
      <w:r>
        <w:rPr>
          <w:color w:val="131413"/>
          <w:spacing w:val="40"/>
        </w:rPr>
        <w:t> </w:t>
      </w:r>
      <w:r>
        <w:rPr>
          <w:color w:val="131413"/>
        </w:rPr>
        <w:t>intragenic</w:t>
      </w:r>
      <w:r>
        <w:rPr>
          <w:color w:val="131413"/>
          <w:spacing w:val="40"/>
        </w:rPr>
        <w:t> </w:t>
      </w:r>
      <w:r>
        <w:rPr>
          <w:color w:val="131413"/>
        </w:rPr>
        <w:t>deletion</w:t>
      </w:r>
      <w:r>
        <w:rPr>
          <w:color w:val="131413"/>
          <w:spacing w:val="40"/>
        </w:rPr>
        <w:t> </w:t>
      </w:r>
      <w:r>
        <w:rPr>
          <w:color w:val="131413"/>
        </w:rPr>
        <w:t>was</w:t>
      </w:r>
      <w:r>
        <w:rPr>
          <w:color w:val="131413"/>
          <w:spacing w:val="40"/>
        </w:rPr>
        <w:t> </w:t>
      </w:r>
      <w:r>
        <w:rPr>
          <w:color w:val="131413"/>
        </w:rPr>
        <w:t>confirmed</w:t>
      </w:r>
      <w:r>
        <w:rPr>
          <w:color w:val="131413"/>
          <w:spacing w:val="40"/>
        </w:rPr>
        <w:t> </w:t>
      </w:r>
      <w:r>
        <w:rPr>
          <w:color w:val="131413"/>
        </w:rPr>
        <w:t>de </w:t>
      </w:r>
      <w:r>
        <w:rPr>
          <w:color w:val="131413"/>
          <w:spacing w:val="11"/>
        </w:rPr>
        <w:t>novo</w:t>
      </w:r>
      <w:r>
        <w:rPr>
          <w:color w:val="131413"/>
          <w:spacing w:val="11"/>
        </w:rPr>
        <w:t> </w:t>
      </w:r>
      <w:r>
        <w:rPr>
          <w:color w:val="131413"/>
          <w:spacing w:val="12"/>
        </w:rPr>
        <w:t>(Fig.</w:t>
      </w:r>
      <w:r>
        <w:rPr>
          <w:color w:val="131413"/>
          <w:spacing w:val="12"/>
        </w:rPr>
        <w:t> </w:t>
      </w:r>
      <w:hyperlink w:history="true" w:anchor="_bookmark0">
        <w:r>
          <w:rPr>
            <w:color w:val="0000FF"/>
            <w:spacing w:val="10"/>
          </w:rPr>
          <w:t>1D,</w:t>
        </w:r>
        <w:r>
          <w:rPr>
            <w:color w:val="0000FF"/>
            <w:spacing w:val="10"/>
          </w:rPr>
          <w:t> E</w:t>
        </w:r>
      </w:hyperlink>
      <w:r>
        <w:rPr>
          <w:color w:val="131413"/>
          <w:spacing w:val="10"/>
        </w:rPr>
        <w:t>).</w:t>
      </w:r>
      <w:r>
        <w:rPr>
          <w:color w:val="131413"/>
          <w:spacing w:val="10"/>
        </w:rPr>
        <w:t> The</w:t>
      </w:r>
      <w:r>
        <w:rPr>
          <w:color w:val="131413"/>
          <w:spacing w:val="10"/>
        </w:rPr>
        <w:t> </w:t>
      </w:r>
      <w:r>
        <w:rPr>
          <w:color w:val="131413"/>
          <w:spacing w:val="12"/>
        </w:rPr>
        <w:t>novel</w:t>
      </w:r>
      <w:r>
        <w:rPr>
          <w:color w:val="131413"/>
          <w:spacing w:val="12"/>
        </w:rPr>
        <w:t> </w:t>
      </w:r>
      <w:r>
        <w:rPr>
          <w:color w:val="131413"/>
          <w:spacing w:val="13"/>
        </w:rPr>
        <w:t>missense</w:t>
      </w:r>
      <w:r>
        <w:rPr>
          <w:color w:val="131413"/>
          <w:spacing w:val="13"/>
        </w:rPr>
        <w:t> </w:t>
      </w:r>
      <w:r>
        <w:rPr>
          <w:color w:val="131413"/>
          <w:spacing w:val="15"/>
        </w:rPr>
        <w:t>variant </w:t>
      </w:r>
      <w:r>
        <w:rPr>
          <w:color w:val="131413"/>
        </w:rPr>
        <w:t>(c.1796C&gt;T,</w:t>
      </w:r>
      <w:r>
        <w:rPr>
          <w:color w:val="131413"/>
          <w:spacing w:val="40"/>
        </w:rPr>
        <w:t> </w:t>
      </w:r>
      <w:r>
        <w:rPr>
          <w:color w:val="131413"/>
        </w:rPr>
        <w:t>p.T599I)</w:t>
      </w:r>
      <w:r>
        <w:rPr>
          <w:color w:val="131413"/>
          <w:spacing w:val="40"/>
        </w:rPr>
        <w:t> </w:t>
      </w:r>
      <w:r>
        <w:rPr>
          <w:color w:val="131413"/>
        </w:rPr>
        <w:t>was</w:t>
      </w:r>
      <w:r>
        <w:rPr>
          <w:color w:val="131413"/>
          <w:spacing w:val="40"/>
        </w:rPr>
        <w:t> </w:t>
      </w:r>
      <w:r>
        <w:rPr>
          <w:color w:val="131413"/>
        </w:rPr>
        <w:t>inherited</w:t>
      </w:r>
      <w:r>
        <w:rPr>
          <w:color w:val="131413"/>
          <w:spacing w:val="40"/>
        </w:rPr>
        <w:t> </w:t>
      </w:r>
      <w:r>
        <w:rPr>
          <w:color w:val="131413"/>
        </w:rPr>
        <w:t>from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proband</w:t>
      </w:r>
      <w:r>
        <w:rPr>
          <w:rFonts w:ascii="Arial" w:hAnsi="Arial"/>
          <w:color w:val="131413"/>
        </w:rPr>
        <w:t>’</w:t>
      </w:r>
      <w:r>
        <w:rPr>
          <w:color w:val="131413"/>
        </w:rPr>
        <w:t>s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0" w:footer="902" w:top="580" w:bottom="1100" w:left="992" w:right="992"/>
          <w:cols w:num="2" w:equalWidth="0">
            <w:col w:w="4803" w:space="299"/>
            <w:col w:w="4824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33" w:right="-29"/>
      </w:pPr>
      <w:r>
        <w:rPr/>
        <w:drawing>
          <wp:inline distT="0" distB="0" distL="0" distR="0">
            <wp:extent cx="6265703" cy="415442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703" cy="4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910" w:h="15820"/>
          <w:pgMar w:header="0" w:footer="902" w:top="900" w:bottom="1100" w:left="992" w:right="992"/>
        </w:sectPr>
      </w:pPr>
    </w:p>
    <w:p>
      <w:pPr>
        <w:spacing w:line="244" w:lineRule="auto" w:before="32"/>
        <w:ind w:left="28" w:right="0" w:firstLine="0"/>
        <w:jc w:val="both"/>
        <w:rPr>
          <w:sz w:val="17"/>
        </w:rPr>
      </w:pPr>
      <w:bookmarkStart w:name="_bookmark0" w:id="23"/>
      <w:bookmarkEnd w:id="23"/>
      <w:r>
        <w:rPr/>
      </w:r>
      <w:r>
        <w:rPr>
          <w:rFonts w:ascii="Arial" w:hAnsi="Arial"/>
          <w:color w:val="131413"/>
          <w:sz w:val="17"/>
        </w:rPr>
        <w:t>Fig.</w:t>
      </w:r>
      <w:r>
        <w:rPr>
          <w:rFonts w:ascii="Arial" w:hAnsi="Arial"/>
          <w:color w:val="131413"/>
          <w:spacing w:val="-12"/>
          <w:sz w:val="17"/>
        </w:rPr>
        <w:t> </w:t>
      </w:r>
      <w:r>
        <w:rPr>
          <w:rFonts w:ascii="Arial" w:hAnsi="Arial"/>
          <w:color w:val="131413"/>
          <w:sz w:val="17"/>
        </w:rPr>
        <w:t>1</w:t>
      </w:r>
      <w:r>
        <w:rPr>
          <w:rFonts w:ascii="Arial" w:hAnsi="Arial"/>
          <w:color w:val="131413"/>
          <w:spacing w:val="13"/>
          <w:sz w:val="17"/>
        </w:rPr>
        <w:t> </w:t>
      </w:r>
      <w:r>
        <w:rPr>
          <w:color w:val="131413"/>
          <w:sz w:val="17"/>
        </w:rPr>
        <w:t>Analysis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novel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biallelic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mutations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0"/>
          <w:sz w:val="17"/>
        </w:rPr>
        <w:t> </w:t>
      </w:r>
      <w:r>
        <w:rPr>
          <w:i/>
          <w:color w:val="131413"/>
          <w:sz w:val="17"/>
        </w:rPr>
        <w:t>POLG</w:t>
      </w:r>
      <w:r>
        <w:rPr>
          <w:i/>
          <w:color w:val="131413"/>
          <w:spacing w:val="-11"/>
          <w:sz w:val="17"/>
        </w:rPr>
        <w:t> </w:t>
      </w:r>
      <w:r>
        <w:rPr>
          <w:color w:val="131413"/>
          <w:sz w:val="17"/>
        </w:rPr>
        <w:t>gene.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Family </w:t>
      </w:r>
      <w:r>
        <w:rPr>
          <w:color w:val="131413"/>
          <w:spacing w:val="-4"/>
          <w:sz w:val="17"/>
        </w:rPr>
        <w:t>pedigree. The proband is indicated by an arrow. +/+, homozygous for the</w:t>
      </w:r>
      <w:r>
        <w:rPr>
          <w:color w:val="131413"/>
          <w:sz w:val="17"/>
        </w:rPr>
        <w:t> wild-type allele. E, exon; del, deletion. Genomic DNA sequencing revealed novel biallelic mutations in the </w:t>
      </w:r>
      <w:r>
        <w:rPr>
          <w:i/>
          <w:color w:val="131413"/>
          <w:sz w:val="17"/>
        </w:rPr>
        <w:t>POLG </w:t>
      </w:r>
      <w:r>
        <w:rPr>
          <w:color w:val="131413"/>
          <w:sz w:val="17"/>
        </w:rPr>
        <w:t>gene, including a </w:t>
      </w:r>
      <w:r>
        <w:rPr>
          <w:color w:val="131413"/>
          <w:spacing w:val="-2"/>
          <w:sz w:val="17"/>
        </w:rPr>
        <w:t>missense variant (exon 10, c.1796C&gt;T, p.Thr599Ile) inherited from the </w:t>
      </w:r>
      <w:r>
        <w:rPr>
          <w:color w:val="131413"/>
          <w:spacing w:val="-4"/>
          <w:sz w:val="17"/>
        </w:rPr>
        <w:t>father,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and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a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spontaneous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large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deletion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mutation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(E7</w:t>
      </w:r>
      <w:r>
        <w:rPr>
          <w:rFonts w:ascii="Arial" w:hAnsi="Arial"/>
          <w:color w:val="131413"/>
          <w:spacing w:val="-4"/>
          <w:sz w:val="17"/>
        </w:rPr>
        <w:t>–</w:t>
      </w:r>
      <w:r>
        <w:rPr>
          <w:color w:val="131413"/>
          <w:spacing w:val="-4"/>
          <w:sz w:val="17"/>
        </w:rPr>
        <w:t>E21).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Owing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to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z w:val="17"/>
        </w:rPr>
        <w:t> large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deletion,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missense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variant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was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homozygous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proband.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 multi-alignment analysis demonstrated that the affected amino acid </w:t>
      </w:r>
      <w:r>
        <w:rPr>
          <w:color w:val="131413"/>
          <w:spacing w:val="-2"/>
          <w:sz w:val="17"/>
        </w:rPr>
        <w:t>residue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was</w:t>
      </w:r>
      <w:r>
        <w:rPr>
          <w:color w:val="131413"/>
          <w:spacing w:val="-1"/>
          <w:sz w:val="17"/>
        </w:rPr>
        <w:t> </w:t>
      </w:r>
      <w:r>
        <w:rPr>
          <w:color w:val="131413"/>
          <w:spacing w:val="-2"/>
          <w:sz w:val="17"/>
        </w:rPr>
        <w:t>highly conserved</w:t>
      </w:r>
      <w:r>
        <w:rPr>
          <w:color w:val="131413"/>
          <w:spacing w:val="-1"/>
          <w:sz w:val="17"/>
        </w:rPr>
        <w:t> </w:t>
      </w:r>
      <w:r>
        <w:rPr>
          <w:color w:val="131413"/>
          <w:spacing w:val="-2"/>
          <w:sz w:val="17"/>
        </w:rPr>
        <w:t>among different species. The</w:t>
      </w:r>
      <w:r>
        <w:rPr>
          <w:color w:val="131413"/>
          <w:spacing w:val="-1"/>
          <w:sz w:val="17"/>
        </w:rPr>
        <w:t> </w:t>
      </w:r>
      <w:r>
        <w:rPr>
          <w:color w:val="131413"/>
          <w:spacing w:val="-2"/>
          <w:sz w:val="17"/>
        </w:rPr>
        <w:t>PolyPhen-</w:t>
      </w:r>
      <w:r>
        <w:rPr>
          <w:color w:val="131413"/>
          <w:spacing w:val="-10"/>
          <w:sz w:val="17"/>
        </w:rPr>
        <w:t>2</w:t>
      </w:r>
    </w:p>
    <w:p>
      <w:pPr>
        <w:spacing w:line="244" w:lineRule="auto" w:before="32"/>
        <w:ind w:left="28" w:right="20" w:firstLine="0"/>
        <w:jc w:val="both"/>
        <w:rPr>
          <w:sz w:val="17"/>
        </w:rPr>
      </w:pPr>
      <w:r>
        <w:rPr/>
        <w:br w:type="column"/>
      </w:r>
      <w:r>
        <w:rPr>
          <w:color w:val="131413"/>
          <w:sz w:val="17"/>
        </w:rPr>
        <w:t>predictive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tool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designated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this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mutation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as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being</w:t>
      </w:r>
      <w:r>
        <w:rPr>
          <w:color w:val="131413"/>
          <w:spacing w:val="-10"/>
          <w:sz w:val="17"/>
        </w:rPr>
        <w:t> </w:t>
      </w:r>
      <w:r>
        <w:rPr>
          <w:rFonts w:ascii="Arial" w:hAnsi="Arial"/>
          <w:color w:val="131413"/>
          <w:sz w:val="17"/>
        </w:rPr>
        <w:t>“</w:t>
      </w:r>
      <w:r>
        <w:rPr>
          <w:color w:val="131413"/>
          <w:sz w:val="17"/>
        </w:rPr>
        <w:t>probably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damaging.</w:t>
      </w:r>
      <w:r>
        <w:rPr>
          <w:rFonts w:ascii="Arial" w:hAnsi="Arial"/>
          <w:color w:val="131413"/>
          <w:sz w:val="17"/>
        </w:rPr>
        <w:t>” </w:t>
      </w:r>
      <w:r>
        <w:rPr>
          <w:color w:val="131413"/>
          <w:sz w:val="17"/>
        </w:rPr>
        <w:t>Long-range PCR analysis of the </w:t>
      </w:r>
      <w:r>
        <w:rPr>
          <w:i/>
          <w:color w:val="131413"/>
          <w:sz w:val="17"/>
        </w:rPr>
        <w:t>POLG </w:t>
      </w:r>
      <w:r>
        <w:rPr>
          <w:color w:val="131413"/>
          <w:sz w:val="17"/>
        </w:rPr>
        <w:t>gene using primers located in introns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7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21.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full-length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product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(9553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bp)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was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detectable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the </w:t>
      </w:r>
      <w:r>
        <w:rPr>
          <w:color w:val="131413"/>
          <w:spacing w:val="-2"/>
          <w:sz w:val="17"/>
        </w:rPr>
        <w:t>mother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(I-1),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father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(I-2),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patient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(II-1),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healthy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control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(C). However,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260-bp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deletion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product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was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also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detected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in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heterozygous </w:t>
      </w:r>
      <w:r>
        <w:rPr>
          <w:color w:val="131413"/>
          <w:spacing w:val="-4"/>
          <w:sz w:val="17"/>
        </w:rPr>
        <w:t>state in</w:t>
      </w:r>
      <w:r>
        <w:rPr>
          <w:color w:val="131413"/>
          <w:spacing w:val="-1"/>
          <w:sz w:val="17"/>
        </w:rPr>
        <w:t> </w:t>
      </w:r>
      <w:r>
        <w:rPr>
          <w:color w:val="131413"/>
          <w:spacing w:val="-4"/>
          <w:sz w:val="17"/>
        </w:rPr>
        <w:t>the patient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(primers: forward 5</w:t>
      </w:r>
      <w:r>
        <w:rPr>
          <w:rFonts w:ascii="Arial" w:hAnsi="Arial"/>
          <w:color w:val="131413"/>
          <w:spacing w:val="-4"/>
          <w:sz w:val="17"/>
        </w:rPr>
        <w:t>′</w:t>
      </w:r>
      <w:r>
        <w:rPr>
          <w:color w:val="131413"/>
          <w:spacing w:val="-4"/>
          <w:sz w:val="17"/>
        </w:rPr>
        <w:t>-gctaaggctgaagaaaataaatgtgt-3</w:t>
      </w:r>
      <w:r>
        <w:rPr>
          <w:rFonts w:ascii="Arial" w:hAnsi="Arial"/>
          <w:color w:val="131413"/>
          <w:spacing w:val="-4"/>
          <w:sz w:val="17"/>
        </w:rPr>
        <w:t>′</w:t>
      </w:r>
      <w:r>
        <w:rPr>
          <w:rFonts w:ascii="Arial" w:hAnsi="Arial"/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and</w:t>
      </w:r>
      <w:r>
        <w:rPr>
          <w:color w:val="131413"/>
          <w:spacing w:val="-2"/>
          <w:sz w:val="17"/>
        </w:rPr>
        <w:t> reverse 5</w:t>
      </w:r>
      <w:r>
        <w:rPr>
          <w:rFonts w:ascii="Arial" w:hAnsi="Arial"/>
          <w:color w:val="131413"/>
          <w:spacing w:val="-2"/>
          <w:sz w:val="17"/>
        </w:rPr>
        <w:t>′</w:t>
      </w:r>
      <w:r>
        <w:rPr>
          <w:color w:val="131413"/>
          <w:spacing w:val="-2"/>
          <w:sz w:val="17"/>
        </w:rPr>
        <w:t>-attttccaaatagaaaagcgtgagta-3</w:t>
      </w:r>
      <w:r>
        <w:rPr>
          <w:rFonts w:ascii="Arial" w:hAnsi="Arial"/>
          <w:color w:val="131413"/>
          <w:spacing w:val="-2"/>
          <w:sz w:val="17"/>
        </w:rPr>
        <w:t>′</w:t>
      </w:r>
      <w:r>
        <w:rPr>
          <w:color w:val="131413"/>
          <w:spacing w:val="-2"/>
          <w:sz w:val="17"/>
        </w:rPr>
        <w:t>). M, molecular weight marker. </w:t>
      </w:r>
      <w:r>
        <w:rPr>
          <w:color w:val="131413"/>
          <w:sz w:val="17"/>
        </w:rPr>
        <w:t>Sequencing of the PCR deletion product identified the deletion </w:t>
      </w:r>
      <w:r>
        <w:rPr>
          <w:color w:val="131413"/>
          <w:spacing w:val="-2"/>
          <w:sz w:val="17"/>
        </w:rPr>
        <w:t>breakpoints</w:t>
      </w:r>
    </w:p>
    <w:p>
      <w:pPr>
        <w:spacing w:after="0" w:line="244" w:lineRule="auto"/>
        <w:jc w:val="both"/>
        <w:rPr>
          <w:sz w:val="17"/>
        </w:rPr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3" w:space="310"/>
            <w:col w:w="4823"/>
          </w:cols>
        </w:sectPr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spacing w:after="0"/>
        <w:sectPr>
          <w:type w:val="continuous"/>
          <w:pgSz w:w="11910" w:h="15820"/>
          <w:pgMar w:header="0" w:footer="902" w:top="580" w:bottom="1100" w:left="992" w:right="992"/>
        </w:sectPr>
      </w:pPr>
    </w:p>
    <w:p>
      <w:pPr>
        <w:pStyle w:val="BodyText"/>
        <w:spacing w:line="259" w:lineRule="auto" w:before="87"/>
        <w:ind w:left="28" w:right="4"/>
        <w:jc w:val="both"/>
      </w:pPr>
      <w:r>
        <w:rPr>
          <w:color w:val="131413"/>
        </w:rPr>
        <w:t>father.</w:t>
      </w:r>
      <w:r>
        <w:rPr>
          <w:color w:val="131413"/>
          <w:spacing w:val="39"/>
        </w:rPr>
        <w:t> </w:t>
      </w:r>
      <w:r>
        <w:rPr>
          <w:color w:val="131413"/>
        </w:rPr>
        <w:t>There</w:t>
      </w:r>
      <w:r>
        <w:rPr>
          <w:color w:val="131413"/>
          <w:spacing w:val="40"/>
        </w:rPr>
        <w:t> </w:t>
      </w:r>
      <w:r>
        <w:rPr>
          <w:color w:val="131413"/>
        </w:rPr>
        <w:t>are</w:t>
      </w:r>
      <w:r>
        <w:rPr>
          <w:color w:val="131413"/>
          <w:spacing w:val="40"/>
        </w:rPr>
        <w:t> </w:t>
      </w:r>
      <w:r>
        <w:rPr>
          <w:color w:val="131413"/>
        </w:rPr>
        <w:t>no</w:t>
      </w:r>
      <w:r>
        <w:rPr>
          <w:color w:val="131413"/>
          <w:spacing w:val="40"/>
        </w:rPr>
        <w:t> </w:t>
      </w:r>
      <w:r>
        <w:rPr>
          <w:color w:val="131413"/>
        </w:rPr>
        <w:t>prior</w:t>
      </w:r>
      <w:r>
        <w:rPr>
          <w:color w:val="131413"/>
          <w:spacing w:val="40"/>
        </w:rPr>
        <w:t> </w:t>
      </w:r>
      <w:r>
        <w:rPr>
          <w:color w:val="131413"/>
        </w:rPr>
        <w:t>records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these</w:t>
      </w:r>
      <w:r>
        <w:rPr>
          <w:color w:val="131413"/>
          <w:spacing w:val="40"/>
        </w:rPr>
        <w:t> </w:t>
      </w:r>
      <w:r>
        <w:rPr>
          <w:color w:val="131413"/>
        </w:rPr>
        <w:t>two</w:t>
      </w:r>
      <w:r>
        <w:rPr>
          <w:color w:val="131413"/>
          <w:spacing w:val="40"/>
        </w:rPr>
        <w:t> </w:t>
      </w:r>
      <w:r>
        <w:rPr>
          <w:color w:val="131413"/>
        </w:rPr>
        <w:t>variants in the Human Gene Mutation Database (HGMD, </w:t>
      </w:r>
      <w:hyperlink r:id="rId22">
        <w:r>
          <w:rPr>
            <w:color w:val="0000FF"/>
          </w:rPr>
          <w:t>www.</w:t>
        </w:r>
      </w:hyperlink>
      <w:r>
        <w:rPr>
          <w:color w:val="0000FF"/>
        </w:rPr>
        <w:t> </w:t>
      </w:r>
      <w:hyperlink r:id="rId22">
        <w:r>
          <w:rPr>
            <w:color w:val="0000FF"/>
            <w:spacing w:val="-6"/>
          </w:rPr>
          <w:t>hgmd.cf.ac.uk/</w:t>
        </w:r>
      </w:hyperlink>
      <w:r>
        <w:rPr>
          <w:color w:val="131413"/>
          <w:spacing w:val="-6"/>
        </w:rPr>
        <w:t>) or on PubMed.</w:t>
      </w:r>
      <w:r>
        <w:rPr>
          <w:color w:val="131413"/>
          <w:spacing w:val="-4"/>
        </w:rPr>
        <w:t> </w:t>
      </w:r>
      <w:r>
        <w:rPr>
          <w:color w:val="131413"/>
          <w:spacing w:val="-6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6"/>
        </w:rPr>
        <w:t>multi-alignment analysis fur- </w:t>
      </w:r>
      <w:r>
        <w:rPr>
          <w:color w:val="131413"/>
          <w:spacing w:val="-4"/>
        </w:rPr>
        <w:t>ther demonstrated that this missense variant modulated highly </w:t>
      </w:r>
      <w:r>
        <w:rPr>
          <w:color w:val="131413"/>
          <w:spacing w:val="-2"/>
        </w:rPr>
        <w:t>conserved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amino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acids.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PolyPhen-2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Mutation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Taster </w:t>
      </w:r>
      <w:r>
        <w:rPr>
          <w:color w:val="131413"/>
          <w:spacing w:val="-4"/>
        </w:rPr>
        <w:t>prediction programs further indicated that the c.1796C&gt;T var- </w:t>
      </w:r>
      <w:r>
        <w:rPr>
          <w:color w:val="131413"/>
        </w:rPr>
        <w:t>iant was damaging, while SIFT predicted this variant to be tolerated (Fig. </w:t>
      </w:r>
      <w:hyperlink w:history="true" w:anchor="_bookmark0">
        <w:r>
          <w:rPr>
            <w:color w:val="0000FF"/>
          </w:rPr>
          <w:t>1B, C</w:t>
        </w:r>
      </w:hyperlink>
      <w:r>
        <w:rPr>
          <w:color w:val="131413"/>
        </w:rPr>
        <w:t>).</w:t>
      </w:r>
    </w:p>
    <w:p>
      <w:pPr>
        <w:pStyle w:val="BodyText"/>
        <w:spacing w:before="25"/>
      </w:pPr>
    </w:p>
    <w:p>
      <w:pPr>
        <w:pStyle w:val="Heading2"/>
        <w:spacing w:line="237" w:lineRule="auto" w:before="1"/>
      </w:pPr>
      <w:bookmarkStart w:name="The effect of the detected mutations on " w:id="24"/>
      <w:bookmarkEnd w:id="24"/>
      <w:r>
        <w:rPr/>
      </w:r>
      <w:r>
        <w:rPr>
          <w:color w:val="131413"/>
          <w:spacing w:val="-10"/>
        </w:rPr>
        <w:t>The</w:t>
      </w:r>
      <w:r>
        <w:rPr>
          <w:color w:val="131413"/>
          <w:spacing w:val="-1"/>
        </w:rPr>
        <w:t> </w:t>
      </w:r>
      <w:r>
        <w:rPr>
          <w:color w:val="131413"/>
          <w:spacing w:val="-10"/>
        </w:rPr>
        <w:t>effect</w:t>
      </w:r>
      <w:r>
        <w:rPr>
          <w:color w:val="131413"/>
          <w:spacing w:val="-1"/>
        </w:rPr>
        <w:t> </w:t>
      </w:r>
      <w:r>
        <w:rPr>
          <w:color w:val="131413"/>
          <w:spacing w:val="-10"/>
        </w:rPr>
        <w:t>of</w:t>
      </w:r>
      <w:r>
        <w:rPr>
          <w:color w:val="131413"/>
          <w:spacing w:val="-1"/>
        </w:rPr>
        <w:t> </w:t>
      </w:r>
      <w:r>
        <w:rPr>
          <w:color w:val="131413"/>
          <w:spacing w:val="-10"/>
        </w:rPr>
        <w:t>the</w:t>
      </w:r>
      <w:r>
        <w:rPr>
          <w:color w:val="131413"/>
          <w:spacing w:val="-1"/>
        </w:rPr>
        <w:t> </w:t>
      </w:r>
      <w:r>
        <w:rPr>
          <w:color w:val="131413"/>
          <w:spacing w:val="-10"/>
        </w:rPr>
        <w:t>detected</w:t>
      </w:r>
      <w:r>
        <w:rPr>
          <w:color w:val="131413"/>
          <w:spacing w:val="-1"/>
        </w:rPr>
        <w:t> </w:t>
      </w:r>
      <w:r>
        <w:rPr>
          <w:color w:val="131413"/>
          <w:spacing w:val="-10"/>
        </w:rPr>
        <w:t>mutations</w:t>
      </w:r>
      <w:r>
        <w:rPr>
          <w:color w:val="131413"/>
          <w:spacing w:val="-4"/>
        </w:rPr>
        <w:t> </w:t>
      </w:r>
      <w:r>
        <w:rPr>
          <w:color w:val="131413"/>
          <w:spacing w:val="-10"/>
        </w:rPr>
        <w:t>on</w:t>
      </w:r>
      <w:r>
        <w:rPr>
          <w:color w:val="131413"/>
          <w:spacing w:val="-3"/>
        </w:rPr>
        <w:t> </w:t>
      </w:r>
      <w:r>
        <w:rPr>
          <w:color w:val="131413"/>
          <w:spacing w:val="-10"/>
        </w:rPr>
        <w:t>POLG </w:t>
      </w:r>
      <w:r>
        <w:rPr>
          <w:color w:val="131413"/>
          <w:spacing w:val="-2"/>
        </w:rPr>
        <w:t>structure</w:t>
      </w:r>
    </w:p>
    <w:p>
      <w:pPr>
        <w:pStyle w:val="BodyText"/>
        <w:spacing w:before="10"/>
        <w:rPr>
          <w:rFonts w:ascii="Arial"/>
          <w:sz w:val="22"/>
        </w:rPr>
      </w:pPr>
    </w:p>
    <w:p>
      <w:pPr>
        <w:pStyle w:val="BodyText"/>
        <w:spacing w:line="259" w:lineRule="auto"/>
        <w:ind w:left="28"/>
        <w:jc w:val="both"/>
      </w:pPr>
      <w:r>
        <w:rPr>
          <w:color w:val="131413"/>
        </w:rPr>
        <w:t>We</w:t>
      </w:r>
      <w:r>
        <w:rPr>
          <w:color w:val="131413"/>
          <w:spacing w:val="40"/>
        </w:rPr>
        <w:t> </w:t>
      </w:r>
      <w:r>
        <w:rPr>
          <w:color w:val="131413"/>
        </w:rPr>
        <w:t>assessed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impact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these</w:t>
      </w:r>
      <w:r>
        <w:rPr>
          <w:color w:val="131413"/>
          <w:spacing w:val="40"/>
        </w:rPr>
        <w:t> </w:t>
      </w:r>
      <w:r>
        <w:rPr>
          <w:color w:val="131413"/>
        </w:rPr>
        <w:t>biallelic</w:t>
      </w:r>
      <w:r>
        <w:rPr>
          <w:color w:val="131413"/>
          <w:spacing w:val="40"/>
        </w:rPr>
        <w:t> </w:t>
      </w:r>
      <w:r>
        <w:rPr>
          <w:color w:val="131413"/>
        </w:rPr>
        <w:t>mutations</w:t>
      </w:r>
      <w:r>
        <w:rPr>
          <w:color w:val="131413"/>
          <w:spacing w:val="40"/>
        </w:rPr>
        <w:t> </w:t>
      </w:r>
      <w:r>
        <w:rPr>
          <w:color w:val="131413"/>
        </w:rPr>
        <w:t>on the structure of Pol</w:t>
      </w:r>
      <w:r>
        <w:rPr>
          <w:rFonts w:ascii="Arial" w:hAnsi="Arial"/>
          <w:color w:val="131413"/>
        </w:rPr>
        <w:t>γ</w:t>
      </w:r>
      <w:r>
        <w:rPr>
          <w:color w:val="131413"/>
        </w:rPr>
        <w:t>. Interactive visualizations of this holoenzyme, which consists of the catalytic POLG sub- unit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homodimeric</w:t>
      </w:r>
      <w:r>
        <w:rPr>
          <w:color w:val="131413"/>
          <w:spacing w:val="40"/>
        </w:rPr>
        <w:t> </w:t>
      </w:r>
      <w:r>
        <w:rPr>
          <w:color w:val="131413"/>
        </w:rPr>
        <w:t>POLG2</w:t>
      </w:r>
      <w:r>
        <w:rPr>
          <w:color w:val="131413"/>
          <w:spacing w:val="40"/>
        </w:rPr>
        <w:t> </w:t>
      </w:r>
      <w:r>
        <w:rPr>
          <w:color w:val="131413"/>
        </w:rPr>
        <w:t>accessory</w:t>
      </w:r>
      <w:r>
        <w:rPr>
          <w:color w:val="131413"/>
          <w:spacing w:val="40"/>
        </w:rPr>
        <w:t> </w:t>
      </w:r>
      <w:r>
        <w:rPr>
          <w:color w:val="131413"/>
        </w:rPr>
        <w:t>subunit, were</w:t>
      </w:r>
      <w:r>
        <w:rPr>
          <w:color w:val="131413"/>
          <w:spacing w:val="35"/>
        </w:rPr>
        <w:t>  </w:t>
      </w:r>
      <w:r>
        <w:rPr>
          <w:color w:val="131413"/>
        </w:rPr>
        <w:t>constructed</w:t>
      </w:r>
      <w:r>
        <w:rPr>
          <w:color w:val="131413"/>
          <w:spacing w:val="35"/>
        </w:rPr>
        <w:t>  </w:t>
      </w:r>
      <w:r>
        <w:rPr>
          <w:color w:val="131413"/>
        </w:rPr>
        <w:t>using</w:t>
      </w:r>
      <w:r>
        <w:rPr>
          <w:color w:val="131413"/>
          <w:spacing w:val="36"/>
        </w:rPr>
        <w:t>  </w:t>
      </w:r>
      <w:r>
        <w:rPr>
          <w:color w:val="131413"/>
        </w:rPr>
        <w:t>PyMOL.</w:t>
      </w:r>
      <w:r>
        <w:rPr>
          <w:color w:val="131413"/>
          <w:spacing w:val="35"/>
        </w:rPr>
        <w:t>  </w:t>
      </w:r>
      <w:r>
        <w:rPr>
          <w:color w:val="131413"/>
        </w:rPr>
        <w:t>Predictive</w:t>
      </w:r>
      <w:r>
        <w:rPr>
          <w:color w:val="131413"/>
          <w:spacing w:val="36"/>
        </w:rPr>
        <w:t>  </w:t>
      </w:r>
      <w:r>
        <w:rPr>
          <w:color w:val="131413"/>
          <w:spacing w:val="7"/>
        </w:rPr>
        <w:t>protein</w:t>
      </w:r>
    </w:p>
    <w:p>
      <w:pPr>
        <w:pStyle w:val="BodyText"/>
        <w:spacing w:line="259" w:lineRule="auto" w:before="87"/>
        <w:ind w:left="28" w:right="21"/>
        <w:jc w:val="both"/>
      </w:pPr>
      <w:r>
        <w:rPr/>
        <w:br w:type="column"/>
      </w:r>
      <w:r>
        <w:rPr>
          <w:color w:val="131413"/>
        </w:rPr>
        <w:t>structural analyses of the large deletion in POLG were analyzed</w:t>
      </w:r>
      <w:r>
        <w:rPr>
          <w:color w:val="131413"/>
          <w:spacing w:val="40"/>
        </w:rPr>
        <w:t> </w:t>
      </w:r>
      <w:r>
        <w:rPr>
          <w:color w:val="131413"/>
        </w:rPr>
        <w:t>via</w:t>
      </w:r>
      <w:r>
        <w:rPr>
          <w:color w:val="131413"/>
          <w:spacing w:val="40"/>
        </w:rPr>
        <w:t> </w:t>
      </w:r>
      <w:r>
        <w:rPr>
          <w:color w:val="131413"/>
        </w:rPr>
        <w:t>three</w:t>
      </w:r>
      <w:r>
        <w:rPr>
          <w:color w:val="131413"/>
          <w:spacing w:val="40"/>
        </w:rPr>
        <w:t> </w:t>
      </w:r>
      <w:r>
        <w:rPr>
          <w:color w:val="131413"/>
        </w:rPr>
        <w:t>computational</w:t>
      </w:r>
      <w:r>
        <w:rPr>
          <w:color w:val="131413"/>
          <w:spacing w:val="40"/>
        </w:rPr>
        <w:t> </w:t>
      </w:r>
      <w:r>
        <w:rPr>
          <w:color w:val="131413"/>
        </w:rPr>
        <w:t>approaches.</w:t>
      </w:r>
      <w:r>
        <w:rPr>
          <w:color w:val="131413"/>
          <w:spacing w:val="40"/>
        </w:rPr>
        <w:t> </w:t>
      </w:r>
      <w:r>
        <w:rPr>
          <w:color w:val="131413"/>
        </w:rPr>
        <w:t>Despite</w:t>
      </w:r>
      <w:r>
        <w:rPr>
          <w:color w:val="131413"/>
          <w:spacing w:val="40"/>
        </w:rPr>
        <w:t> </w:t>
      </w:r>
      <w:r>
        <w:rPr>
          <w:color w:val="131413"/>
        </w:rPr>
        <w:t>the presence of the exonuclease domain in the mutant protein, the majority of the polymerase domain was re- moved</w:t>
      </w:r>
      <w:r>
        <w:rPr>
          <w:color w:val="131413"/>
          <w:spacing w:val="31"/>
        </w:rPr>
        <w:t> </w:t>
      </w:r>
      <w:r>
        <w:rPr>
          <w:color w:val="131413"/>
        </w:rPr>
        <w:t>by</w:t>
      </w:r>
      <w:r>
        <w:rPr>
          <w:color w:val="131413"/>
          <w:spacing w:val="32"/>
        </w:rPr>
        <w:t> </w:t>
      </w:r>
      <w:r>
        <w:rPr>
          <w:color w:val="131413"/>
        </w:rPr>
        <w:t>this</w:t>
      </w:r>
      <w:r>
        <w:rPr>
          <w:color w:val="131413"/>
          <w:spacing w:val="32"/>
        </w:rPr>
        <w:t> </w:t>
      </w:r>
      <w:r>
        <w:rPr>
          <w:color w:val="131413"/>
        </w:rPr>
        <w:t>deletion,</w:t>
      </w:r>
      <w:r>
        <w:rPr>
          <w:color w:val="131413"/>
          <w:spacing w:val="32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color w:val="131413"/>
        </w:rPr>
        <w:t>this</w:t>
      </w:r>
      <w:r>
        <w:rPr>
          <w:color w:val="131413"/>
          <w:spacing w:val="32"/>
        </w:rPr>
        <w:t> </w:t>
      </w:r>
      <w:r>
        <w:rPr>
          <w:color w:val="131413"/>
        </w:rPr>
        <w:t>mutation</w:t>
      </w:r>
      <w:r>
        <w:rPr>
          <w:color w:val="131413"/>
          <w:spacing w:val="32"/>
        </w:rPr>
        <w:t> </w:t>
      </w:r>
      <w:r>
        <w:rPr>
          <w:color w:val="131413"/>
        </w:rPr>
        <w:t>was</w:t>
      </w:r>
      <w:r>
        <w:rPr>
          <w:color w:val="131413"/>
          <w:spacing w:val="33"/>
        </w:rPr>
        <w:t> </w:t>
      </w:r>
      <w:r>
        <w:rPr>
          <w:color w:val="131413"/>
        </w:rPr>
        <w:t>predicted to</w:t>
      </w:r>
      <w:r>
        <w:rPr>
          <w:color w:val="131413"/>
          <w:spacing w:val="40"/>
        </w:rPr>
        <w:t> </w:t>
      </w:r>
      <w:r>
        <w:rPr>
          <w:color w:val="131413"/>
        </w:rPr>
        <w:t>be</w:t>
      </w:r>
      <w:r>
        <w:rPr>
          <w:color w:val="131413"/>
          <w:spacing w:val="40"/>
        </w:rPr>
        <w:t> </w:t>
      </w:r>
      <w:r>
        <w:rPr>
          <w:color w:val="131413"/>
        </w:rPr>
        <w:t>highly</w:t>
      </w:r>
      <w:r>
        <w:rPr>
          <w:color w:val="131413"/>
          <w:spacing w:val="40"/>
        </w:rPr>
        <w:t> </w:t>
      </w:r>
      <w:r>
        <w:rPr>
          <w:color w:val="131413"/>
        </w:rPr>
        <w:t>disruptive</w:t>
      </w:r>
      <w:r>
        <w:rPr>
          <w:color w:val="131413"/>
          <w:spacing w:val="40"/>
        </w:rPr>
        <w:t> </w:t>
      </w:r>
      <w:r>
        <w:rPr>
          <w:color w:val="131413"/>
        </w:rPr>
        <w:t>to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enzymatic</w:t>
      </w:r>
      <w:r>
        <w:rPr>
          <w:color w:val="131413"/>
          <w:spacing w:val="40"/>
        </w:rPr>
        <w:t> </w:t>
      </w:r>
      <w:r>
        <w:rPr>
          <w:color w:val="131413"/>
        </w:rPr>
        <w:t>functionality (Fig. </w:t>
      </w:r>
      <w:hyperlink w:history="true" w:anchor="_bookmark1">
        <w:r>
          <w:rPr>
            <w:color w:val="0000FF"/>
          </w:rPr>
          <w:t>2A</w:t>
        </w:r>
      </w:hyperlink>
      <w:r>
        <w:rPr>
          <w:color w:val="131413"/>
        </w:rPr>
        <w:t>). Using the UCSF Chimera program, we next created a model of the T599I substitution. The hydrogen bond between threonine 599 and serine 593 was predict-</w:t>
      </w:r>
      <w:r>
        <w:rPr>
          <w:color w:val="131413"/>
          <w:spacing w:val="80"/>
        </w:rPr>
        <w:t> </w:t>
      </w:r>
      <w:r>
        <w:rPr>
          <w:color w:val="131413"/>
        </w:rPr>
        <w:t>ed to stabilize the linkage between the polymerase and spacer domain, as well as the binding of DNA to this enzyme.</w:t>
      </w:r>
      <w:r>
        <w:rPr>
          <w:color w:val="131413"/>
          <w:spacing w:val="33"/>
        </w:rPr>
        <w:t> </w:t>
      </w:r>
      <w:r>
        <w:rPr>
          <w:color w:val="131413"/>
        </w:rPr>
        <w:t>Relative</w:t>
      </w:r>
      <w:r>
        <w:rPr>
          <w:color w:val="131413"/>
          <w:spacing w:val="-3"/>
        </w:rPr>
        <w:t> </w:t>
      </w:r>
      <w:r>
        <w:rPr>
          <w:color w:val="131413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wild-type</w:t>
      </w:r>
      <w:r>
        <w:rPr>
          <w:color w:val="131413"/>
          <w:spacing w:val="-4"/>
        </w:rPr>
        <w:t> </w:t>
      </w:r>
      <w:r>
        <w:rPr>
          <w:color w:val="131413"/>
        </w:rPr>
        <w:t>enzyme,</w:t>
      </w:r>
      <w:r>
        <w:rPr>
          <w:color w:val="131413"/>
          <w:spacing w:val="-4"/>
        </w:rPr>
        <w:t> </w:t>
      </w:r>
      <w:r>
        <w:rPr>
          <w:color w:val="131413"/>
        </w:rPr>
        <w:t>this</w:t>
      </w:r>
      <w:r>
        <w:rPr>
          <w:color w:val="131413"/>
          <w:spacing w:val="-4"/>
        </w:rPr>
        <w:t> </w:t>
      </w:r>
      <w:r>
        <w:rPr>
          <w:color w:val="131413"/>
        </w:rPr>
        <w:t>mutant</w:t>
      </w:r>
      <w:r>
        <w:rPr>
          <w:color w:val="131413"/>
          <w:spacing w:val="-3"/>
        </w:rPr>
        <w:t> </w:t>
      </w:r>
      <w:r>
        <w:rPr>
          <w:color w:val="131413"/>
        </w:rPr>
        <w:t>iso- form exhibited significant structural changes. Based upon the structural position of T599 and its interactions with surrounding amino acids, we speculated that polymor- phisms affecting residues 592, 593, 594, and 595 may also interfere with the structural stability of POLG (Fig. </w:t>
      </w:r>
      <w:hyperlink w:history="true" w:anchor="_bookmark1">
        <w:r>
          <w:rPr>
            <w:color w:val="0000FF"/>
          </w:rPr>
          <w:t>2B</w:t>
        </w:r>
      </w:hyperlink>
      <w:r>
        <w:rPr>
          <w:color w:val="131413"/>
        </w:rPr>
        <w:t>).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0" w:footer="902" w:top="580" w:bottom="1100" w:left="992" w:right="992"/>
          <w:cols w:num="2" w:equalWidth="0">
            <w:col w:w="4801" w:space="302"/>
            <w:col w:w="4823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28" w:right="-29"/>
      </w:pPr>
      <w:r>
        <w:rPr/>
        <w:drawing>
          <wp:inline distT="0" distB="0" distL="0" distR="0">
            <wp:extent cx="6272203" cy="3874008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203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1910" w:h="15820"/>
          <w:pgMar w:header="0" w:footer="902" w:top="900" w:bottom="1100" w:left="992" w:right="992"/>
        </w:sectPr>
      </w:pPr>
    </w:p>
    <w:p>
      <w:pPr>
        <w:spacing w:line="244" w:lineRule="auto" w:before="95"/>
        <w:ind w:left="28" w:right="0" w:firstLine="0"/>
        <w:jc w:val="both"/>
        <w:rPr>
          <w:sz w:val="17"/>
        </w:rPr>
      </w:pPr>
      <w:bookmarkStart w:name="_bookmark1" w:id="25"/>
      <w:bookmarkEnd w:id="25"/>
      <w:r>
        <w:rPr/>
      </w:r>
      <w:r>
        <w:rPr>
          <w:rFonts w:ascii="Arial" w:hAnsi="Arial"/>
          <w:color w:val="131413"/>
          <w:spacing w:val="-2"/>
          <w:sz w:val="17"/>
        </w:rPr>
        <w:t>Fig.</w:t>
      </w:r>
      <w:r>
        <w:rPr>
          <w:rFonts w:ascii="Arial" w:hAnsi="Arial"/>
          <w:color w:val="131413"/>
          <w:spacing w:val="-10"/>
          <w:sz w:val="17"/>
        </w:rPr>
        <w:t> </w:t>
      </w:r>
      <w:r>
        <w:rPr>
          <w:rFonts w:ascii="Arial" w:hAnsi="Arial"/>
          <w:color w:val="131413"/>
          <w:spacing w:val="-2"/>
          <w:sz w:val="17"/>
        </w:rPr>
        <w:t>2</w:t>
      </w:r>
      <w:r>
        <w:rPr>
          <w:rFonts w:ascii="Arial" w:hAnsi="Arial"/>
          <w:color w:val="131413"/>
          <w:spacing w:val="14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three-dimensional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schematic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representation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9"/>
          <w:sz w:val="17"/>
        </w:rPr>
        <w:t> </w:t>
      </w:r>
      <w:r>
        <w:rPr>
          <w:i/>
          <w:color w:val="131413"/>
          <w:spacing w:val="-2"/>
          <w:sz w:val="17"/>
        </w:rPr>
        <w:t>POLG</w:t>
      </w:r>
      <w:r>
        <w:rPr>
          <w:i/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large </w:t>
      </w:r>
      <w:r>
        <w:rPr>
          <w:color w:val="131413"/>
          <w:spacing w:val="-4"/>
          <w:sz w:val="17"/>
        </w:rPr>
        <w:t>deletion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mutation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and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T599I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variant.</w:t>
      </w:r>
      <w:r>
        <w:rPr>
          <w:color w:val="131413"/>
          <w:spacing w:val="-5"/>
          <w:sz w:val="17"/>
        </w:rPr>
        <w:t> </w:t>
      </w:r>
      <w:r>
        <w:rPr>
          <w:i/>
          <w:color w:val="131413"/>
          <w:spacing w:val="-4"/>
          <w:sz w:val="17"/>
        </w:rPr>
        <w:t>Upper</w:t>
      </w:r>
      <w:r>
        <w:rPr>
          <w:i/>
          <w:color w:val="131413"/>
          <w:spacing w:val="-6"/>
          <w:sz w:val="17"/>
        </w:rPr>
        <w:t> </w:t>
      </w:r>
      <w:r>
        <w:rPr>
          <w:i/>
          <w:color w:val="131413"/>
          <w:spacing w:val="-4"/>
          <w:sz w:val="17"/>
        </w:rPr>
        <w:t>panel</w:t>
      </w:r>
      <w:r>
        <w:rPr>
          <w:color w:val="131413"/>
          <w:spacing w:val="-4"/>
          <w:sz w:val="17"/>
        </w:rPr>
        <w:t>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tertiary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structure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of</w:t>
      </w:r>
      <w:r>
        <w:rPr>
          <w:color w:val="131413"/>
          <w:sz w:val="17"/>
        </w:rPr>
        <w:t> the human Pol</w:t>
      </w:r>
      <w:r>
        <w:rPr>
          <w:rFonts w:ascii="Arial" w:hAnsi="Arial"/>
          <w:color w:val="131413"/>
          <w:sz w:val="17"/>
        </w:rPr>
        <w:t>γ</w:t>
      </w:r>
      <w:r>
        <w:rPr>
          <w:rFonts w:ascii="Arial" w:hAnsi="Arial"/>
          <w:color w:val="131413"/>
          <w:spacing w:val="-5"/>
          <w:sz w:val="17"/>
        </w:rPr>
        <w:t> </w:t>
      </w:r>
      <w:r>
        <w:rPr>
          <w:color w:val="131413"/>
          <w:sz w:val="17"/>
        </w:rPr>
        <w:t>holoenzyme [PDB code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5c53] with a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DNA substrate. </w:t>
      </w:r>
      <w:r>
        <w:rPr>
          <w:i/>
          <w:color w:val="131413"/>
          <w:sz w:val="17"/>
        </w:rPr>
        <w:t>Middle</w:t>
      </w:r>
      <w:r>
        <w:rPr>
          <w:i/>
          <w:color w:val="131413"/>
          <w:spacing w:val="-5"/>
          <w:sz w:val="17"/>
        </w:rPr>
        <w:t> </w:t>
      </w:r>
      <w:r>
        <w:rPr>
          <w:i/>
          <w:color w:val="131413"/>
          <w:sz w:val="17"/>
        </w:rPr>
        <w:t>panel</w:t>
      </w:r>
      <w:r>
        <w:rPr>
          <w:color w:val="131413"/>
          <w:sz w:val="17"/>
        </w:rPr>
        <w:t>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schematic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diagram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human</w:t>
      </w:r>
      <w:r>
        <w:rPr>
          <w:color w:val="131413"/>
          <w:spacing w:val="-5"/>
          <w:sz w:val="17"/>
        </w:rPr>
        <w:t> </w:t>
      </w:r>
      <w:r>
        <w:rPr>
          <w:i/>
          <w:color w:val="131413"/>
          <w:sz w:val="17"/>
        </w:rPr>
        <w:t>POLG</w:t>
      </w:r>
      <w:r>
        <w:rPr>
          <w:i/>
          <w:color w:val="131413"/>
          <w:spacing w:val="-5"/>
          <w:sz w:val="17"/>
        </w:rPr>
        <w:t> </w:t>
      </w:r>
      <w:r>
        <w:rPr>
          <w:color w:val="131413"/>
          <w:sz w:val="17"/>
        </w:rPr>
        <w:t>gene.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Surface domains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are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indicated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as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follows: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exonuclease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domain,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purple;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spacer </w:t>
      </w:r>
      <w:r>
        <w:rPr>
          <w:color w:val="131413"/>
          <w:spacing w:val="-4"/>
          <w:sz w:val="17"/>
        </w:rPr>
        <w:t>domain,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4"/>
          <w:sz w:val="17"/>
        </w:rPr>
        <w:t>yellow;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polymerase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domain,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blue;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accessory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subunit,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gray.</w:t>
      </w:r>
      <w:r>
        <w:rPr>
          <w:color w:val="131413"/>
          <w:spacing w:val="-6"/>
          <w:sz w:val="17"/>
        </w:rPr>
        <w:t> </w:t>
      </w:r>
      <w:r>
        <w:rPr>
          <w:i/>
          <w:color w:val="131413"/>
          <w:spacing w:val="-4"/>
          <w:sz w:val="17"/>
        </w:rPr>
        <w:t>Lower</w:t>
      </w:r>
      <w:r>
        <w:rPr>
          <w:i/>
          <w:color w:val="131413"/>
          <w:sz w:val="17"/>
        </w:rPr>
        <w:t> </w:t>
      </w:r>
      <w:r>
        <w:rPr>
          <w:i/>
          <w:color w:val="131413"/>
          <w:spacing w:val="-4"/>
          <w:sz w:val="17"/>
        </w:rPr>
        <w:t>panel</w:t>
      </w:r>
      <w:r>
        <w:rPr>
          <w:color w:val="131413"/>
          <w:spacing w:val="-4"/>
          <w:sz w:val="17"/>
        </w:rPr>
        <w:t>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prediction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of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resultant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protein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stricter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associated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with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large</w:t>
      </w:r>
      <w:r>
        <w:rPr>
          <w:color w:val="131413"/>
          <w:sz w:val="17"/>
        </w:rPr>
        <w:t> E7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E21 deletion in </w:t>
      </w:r>
      <w:r>
        <w:rPr>
          <w:i/>
          <w:color w:val="131413"/>
          <w:sz w:val="17"/>
        </w:rPr>
        <w:t>POLG</w:t>
      </w:r>
      <w:r>
        <w:rPr>
          <w:color w:val="131413"/>
          <w:sz w:val="17"/>
        </w:rPr>
        <w:t>. The results were analyzed via three computational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methods: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fold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recognition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(using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Phyre2),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homologous modeling (using SWISS-MODEL), and ab initio modeling (using I- </w:t>
      </w:r>
      <w:r>
        <w:rPr>
          <w:color w:val="131413"/>
          <w:spacing w:val="-6"/>
          <w:sz w:val="17"/>
        </w:rPr>
        <w:t>TASSER).</w:t>
      </w:r>
      <w:r>
        <w:rPr>
          <w:color w:val="131413"/>
          <w:sz w:val="17"/>
        </w:rPr>
        <w:t> </w:t>
      </w:r>
      <w:r>
        <w:rPr>
          <w:color w:val="131413"/>
          <w:spacing w:val="-6"/>
          <w:sz w:val="17"/>
        </w:rPr>
        <w:t>Despite</w:t>
      </w:r>
      <w:r>
        <w:rPr>
          <w:color w:val="131413"/>
          <w:spacing w:val="1"/>
          <w:sz w:val="17"/>
        </w:rPr>
        <w:t> </w:t>
      </w:r>
      <w:r>
        <w:rPr>
          <w:color w:val="131413"/>
          <w:spacing w:val="-6"/>
          <w:sz w:val="17"/>
        </w:rPr>
        <w:t>the</w:t>
      </w:r>
      <w:r>
        <w:rPr>
          <w:color w:val="131413"/>
          <w:sz w:val="17"/>
        </w:rPr>
        <w:t> </w:t>
      </w:r>
      <w:r>
        <w:rPr>
          <w:color w:val="131413"/>
          <w:spacing w:val="-6"/>
          <w:sz w:val="17"/>
        </w:rPr>
        <w:t>remains</w:t>
      </w:r>
      <w:r>
        <w:rPr>
          <w:color w:val="131413"/>
          <w:spacing w:val="2"/>
          <w:sz w:val="17"/>
        </w:rPr>
        <w:t> </w:t>
      </w:r>
      <w:r>
        <w:rPr>
          <w:color w:val="131413"/>
          <w:spacing w:val="-6"/>
          <w:sz w:val="17"/>
        </w:rPr>
        <w:t>of</w:t>
      </w:r>
      <w:r>
        <w:rPr>
          <w:color w:val="131413"/>
          <w:spacing w:val="1"/>
          <w:sz w:val="17"/>
        </w:rPr>
        <w:t> </w:t>
      </w:r>
      <w:r>
        <w:rPr>
          <w:color w:val="131413"/>
          <w:spacing w:val="-6"/>
          <w:sz w:val="17"/>
        </w:rPr>
        <w:t>the</w:t>
      </w:r>
      <w:r>
        <w:rPr>
          <w:color w:val="131413"/>
          <w:sz w:val="17"/>
        </w:rPr>
        <w:t> </w:t>
      </w:r>
      <w:r>
        <w:rPr>
          <w:color w:val="131413"/>
          <w:spacing w:val="-6"/>
          <w:sz w:val="17"/>
        </w:rPr>
        <w:t>exonuclease</w:t>
      </w:r>
      <w:r>
        <w:rPr>
          <w:color w:val="131413"/>
          <w:spacing w:val="2"/>
          <w:sz w:val="17"/>
        </w:rPr>
        <w:t> </w:t>
      </w:r>
      <w:r>
        <w:rPr>
          <w:color w:val="131413"/>
          <w:spacing w:val="-6"/>
          <w:sz w:val="17"/>
        </w:rPr>
        <w:t>domain,</w:t>
      </w:r>
      <w:r>
        <w:rPr>
          <w:color w:val="131413"/>
          <w:spacing w:val="2"/>
          <w:sz w:val="17"/>
        </w:rPr>
        <w:t> </w:t>
      </w:r>
      <w:r>
        <w:rPr>
          <w:color w:val="131413"/>
          <w:spacing w:val="-6"/>
          <w:sz w:val="17"/>
        </w:rPr>
        <w:t>the</w:t>
      </w:r>
      <w:r>
        <w:rPr>
          <w:color w:val="131413"/>
          <w:spacing w:val="2"/>
          <w:sz w:val="17"/>
        </w:rPr>
        <w:t> </w:t>
      </w:r>
      <w:r>
        <w:rPr>
          <w:color w:val="131413"/>
          <w:spacing w:val="-6"/>
          <w:sz w:val="17"/>
        </w:rPr>
        <w:t>majority</w:t>
      </w:r>
      <w:r>
        <w:rPr>
          <w:color w:val="131413"/>
          <w:spacing w:val="-1"/>
          <w:sz w:val="17"/>
        </w:rPr>
        <w:t> </w:t>
      </w:r>
      <w:r>
        <w:rPr>
          <w:color w:val="131413"/>
          <w:spacing w:val="-6"/>
          <w:sz w:val="17"/>
        </w:rPr>
        <w:t>of</w:t>
      </w:r>
    </w:p>
    <w:p>
      <w:pPr>
        <w:spacing w:line="244" w:lineRule="auto" w:before="95"/>
        <w:ind w:left="28" w:right="22" w:firstLine="0"/>
        <w:jc w:val="both"/>
        <w:rPr>
          <w:sz w:val="17"/>
        </w:rPr>
      </w:pPr>
      <w:r>
        <w:rPr/>
        <w:br w:type="column"/>
      </w:r>
      <w:r>
        <w:rPr>
          <w:color w:val="131413"/>
          <w:sz w:val="17"/>
        </w:rPr>
        <w:t>the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polymerase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domain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was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deleted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due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to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this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mutation,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this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was </w:t>
      </w:r>
      <w:r>
        <w:rPr>
          <w:color w:val="131413"/>
          <w:spacing w:val="-4"/>
          <w:sz w:val="17"/>
        </w:rPr>
        <w:t>predicted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to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be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highly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disruptive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to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enzymatic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function.</w:t>
      </w:r>
      <w:r>
        <w:rPr>
          <w:color w:val="131413"/>
          <w:spacing w:val="-6"/>
          <w:sz w:val="17"/>
        </w:rPr>
        <w:t> </w:t>
      </w:r>
      <w:r>
        <w:rPr>
          <w:i/>
          <w:color w:val="131413"/>
          <w:spacing w:val="-4"/>
          <w:sz w:val="17"/>
        </w:rPr>
        <w:t>Upper</w:t>
      </w:r>
      <w:r>
        <w:rPr>
          <w:i/>
          <w:color w:val="131413"/>
          <w:spacing w:val="-7"/>
          <w:sz w:val="17"/>
        </w:rPr>
        <w:t> </w:t>
      </w:r>
      <w:r>
        <w:rPr>
          <w:i/>
          <w:color w:val="131413"/>
          <w:spacing w:val="-4"/>
          <w:sz w:val="17"/>
        </w:rPr>
        <w:t>panel</w:t>
      </w:r>
      <w:r>
        <w:rPr>
          <w:color w:val="131413"/>
          <w:spacing w:val="-4"/>
          <w:sz w:val="17"/>
        </w:rPr>
        <w:t>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Thr-</w:t>
      </w:r>
      <w:r>
        <w:rPr>
          <w:color w:val="131413"/>
          <w:spacing w:val="-2"/>
          <w:sz w:val="17"/>
        </w:rPr>
        <w:t> 599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is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located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in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loop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in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spacer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domain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POLG,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close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to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DNA </w:t>
      </w:r>
      <w:r>
        <w:rPr>
          <w:color w:val="131413"/>
          <w:spacing w:val="-6"/>
          <w:sz w:val="17"/>
        </w:rPr>
        <w:t>substrate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and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the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N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terminal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portion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6"/>
          <w:sz w:val="17"/>
        </w:rPr>
        <w:t>of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the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polymerase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domain,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and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forms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6"/>
          <w:sz w:val="17"/>
        </w:rPr>
        <w:t>a</w:t>
      </w:r>
      <w:r>
        <w:rPr>
          <w:color w:val="131413"/>
          <w:sz w:val="17"/>
        </w:rPr>
        <w:t> hydrogen bond with the backbone of Ser-593, contributing to the </w:t>
      </w:r>
      <w:r>
        <w:rPr>
          <w:color w:val="131413"/>
          <w:spacing w:val="-4"/>
          <w:sz w:val="17"/>
        </w:rPr>
        <w:t>stabilization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of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local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structure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and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its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binding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with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DNA.</w:t>
      </w:r>
      <w:r>
        <w:rPr>
          <w:color w:val="131413"/>
          <w:spacing w:val="-7"/>
          <w:sz w:val="17"/>
        </w:rPr>
        <w:t> </w:t>
      </w:r>
      <w:r>
        <w:rPr>
          <w:i/>
          <w:color w:val="131413"/>
          <w:spacing w:val="-4"/>
          <w:sz w:val="17"/>
        </w:rPr>
        <w:t>Lower</w:t>
      </w:r>
      <w:r>
        <w:rPr>
          <w:i/>
          <w:color w:val="131413"/>
          <w:spacing w:val="-6"/>
          <w:sz w:val="17"/>
        </w:rPr>
        <w:t> </w:t>
      </w:r>
      <w:r>
        <w:rPr>
          <w:i/>
          <w:color w:val="131413"/>
          <w:spacing w:val="-4"/>
          <w:sz w:val="17"/>
        </w:rPr>
        <w:t>panel</w:t>
      </w:r>
      <w:r>
        <w:rPr>
          <w:color w:val="131413"/>
          <w:spacing w:val="-4"/>
          <w:sz w:val="17"/>
        </w:rPr>
        <w:t>,</w:t>
      </w:r>
      <w:r>
        <w:rPr>
          <w:color w:val="131413"/>
          <w:spacing w:val="-2"/>
          <w:sz w:val="17"/>
        </w:rPr>
        <w:t> the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mutation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Thr-599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to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Ile-599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mutations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disrupts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hydrogen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bond </w:t>
      </w:r>
      <w:r>
        <w:rPr>
          <w:color w:val="131413"/>
          <w:sz w:val="17"/>
        </w:rPr>
        <w:t>between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amino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acids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599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593,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destabilizing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original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hydrogen bonding framework and interfering with normal conformational </w:t>
      </w:r>
      <w:r>
        <w:rPr>
          <w:color w:val="131413"/>
          <w:spacing w:val="-2"/>
          <w:sz w:val="17"/>
        </w:rPr>
        <w:t>transmission</w:t>
      </w:r>
    </w:p>
    <w:p>
      <w:pPr>
        <w:spacing w:after="0" w:line="244" w:lineRule="auto"/>
        <w:jc w:val="both"/>
        <w:rPr>
          <w:sz w:val="17"/>
        </w:rPr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7" w:space="305"/>
            <w:col w:w="482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spacing w:after="0"/>
        <w:sectPr>
          <w:type w:val="continuous"/>
          <w:pgSz w:w="11910" w:h="15820"/>
          <w:pgMar w:header="0" w:footer="902" w:top="580" w:bottom="1100" w:left="992" w:right="992"/>
        </w:sectPr>
      </w:pPr>
    </w:p>
    <w:p>
      <w:pPr>
        <w:pStyle w:val="Heading2"/>
        <w:spacing w:before="88"/>
        <w:jc w:val="both"/>
      </w:pPr>
      <w:bookmarkStart w:name="mtDNA deletion analysis" w:id="26"/>
      <w:bookmarkEnd w:id="26"/>
      <w:r>
        <w:rPr/>
      </w:r>
      <w:r>
        <w:rPr>
          <w:color w:val="131413"/>
          <w:spacing w:val="-8"/>
        </w:rPr>
        <w:t>mtDNA deletion</w:t>
      </w:r>
      <w:r>
        <w:rPr>
          <w:color w:val="131413"/>
          <w:spacing w:val="-5"/>
        </w:rPr>
        <w:t> </w:t>
      </w:r>
      <w:r>
        <w:rPr>
          <w:color w:val="131413"/>
          <w:spacing w:val="-8"/>
        </w:rPr>
        <w:t>analysis</w:t>
      </w:r>
    </w:p>
    <w:p>
      <w:pPr>
        <w:pStyle w:val="BodyText"/>
        <w:spacing w:before="12"/>
        <w:rPr>
          <w:rFonts w:ascii="Arial"/>
          <w:sz w:val="22"/>
        </w:rPr>
      </w:pPr>
    </w:p>
    <w:p>
      <w:pPr>
        <w:pStyle w:val="BodyText"/>
        <w:spacing w:line="259" w:lineRule="auto" w:before="1"/>
        <w:ind w:left="28"/>
        <w:jc w:val="both"/>
      </w:pPr>
      <w:r>
        <w:rPr>
          <w:color w:val="131413"/>
        </w:rPr>
        <w:t>Deep</w:t>
      </w:r>
      <w:r>
        <w:rPr>
          <w:color w:val="131413"/>
          <w:spacing w:val="-13"/>
        </w:rPr>
        <w:t> </w:t>
      </w:r>
      <w:r>
        <w:rPr>
          <w:color w:val="131413"/>
        </w:rPr>
        <w:t>mitochondrial</w:t>
      </w:r>
      <w:r>
        <w:rPr>
          <w:color w:val="131413"/>
          <w:spacing w:val="-12"/>
        </w:rPr>
        <w:t> </w:t>
      </w:r>
      <w:r>
        <w:rPr>
          <w:color w:val="131413"/>
        </w:rPr>
        <w:t>genome</w:t>
      </w:r>
      <w:r>
        <w:rPr>
          <w:color w:val="131413"/>
          <w:spacing w:val="-13"/>
        </w:rPr>
        <w:t> </w:t>
      </w:r>
      <w:r>
        <w:rPr>
          <w:color w:val="131413"/>
        </w:rPr>
        <w:t>sequencing</w:t>
      </w:r>
      <w:r>
        <w:rPr>
          <w:color w:val="131413"/>
          <w:spacing w:val="-12"/>
        </w:rPr>
        <w:t> </w:t>
      </w:r>
      <w:r>
        <w:rPr>
          <w:color w:val="131413"/>
        </w:rPr>
        <w:t>conducted</w:t>
      </w:r>
      <w:r>
        <w:rPr>
          <w:color w:val="131413"/>
          <w:spacing w:val="-12"/>
        </w:rPr>
        <w:t> </w:t>
      </w:r>
      <w:r>
        <w:rPr>
          <w:color w:val="131413"/>
        </w:rPr>
        <w:t>by</w:t>
      </w:r>
      <w:r>
        <w:rPr>
          <w:color w:val="131413"/>
          <w:spacing w:val="-12"/>
        </w:rPr>
        <w:t> </w:t>
      </w:r>
      <w:r>
        <w:rPr>
          <w:color w:val="131413"/>
        </w:rPr>
        <w:t>NGS </w:t>
      </w:r>
      <w:r>
        <w:rPr>
          <w:color w:val="131413"/>
          <w:spacing w:val="-2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long-range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PCR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amplification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revealed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presence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 </w:t>
      </w:r>
      <w:r>
        <w:rPr>
          <w:color w:val="131413"/>
          <w:spacing w:val="-4"/>
        </w:rPr>
        <w:t>substantial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mtDNA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deletion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(positions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5836-13922)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muscle </w:t>
      </w:r>
      <w:r>
        <w:rPr>
          <w:color w:val="131413"/>
        </w:rPr>
        <w:t>samples</w:t>
      </w:r>
      <w:r>
        <w:rPr>
          <w:color w:val="131413"/>
          <w:spacing w:val="-8"/>
        </w:rPr>
        <w:t> </w:t>
      </w:r>
      <w:r>
        <w:rPr>
          <w:color w:val="131413"/>
        </w:rPr>
        <w:t>but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</w:rPr>
        <w:t>blood</w:t>
      </w:r>
      <w:r>
        <w:rPr>
          <w:color w:val="131413"/>
          <w:spacing w:val="-8"/>
        </w:rPr>
        <w:t> </w:t>
      </w:r>
      <w:r>
        <w:rPr>
          <w:color w:val="131413"/>
        </w:rPr>
        <w:t>samples</w:t>
      </w:r>
      <w:r>
        <w:rPr>
          <w:color w:val="131413"/>
          <w:spacing w:val="-8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this</w:t>
      </w:r>
      <w:r>
        <w:rPr>
          <w:color w:val="131413"/>
          <w:spacing w:val="-8"/>
        </w:rPr>
        <w:t> </w:t>
      </w:r>
      <w:r>
        <w:rPr>
          <w:color w:val="131413"/>
        </w:rPr>
        <w:t>patient,</w:t>
      </w:r>
      <w:r>
        <w:rPr>
          <w:color w:val="131413"/>
          <w:spacing w:val="-9"/>
        </w:rPr>
        <w:t> </w:t>
      </w:r>
      <w:r>
        <w:rPr>
          <w:color w:val="131413"/>
        </w:rPr>
        <w:t>suggesting that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presence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mtDNA</w:t>
      </w:r>
      <w:r>
        <w:rPr>
          <w:color w:val="131413"/>
          <w:spacing w:val="40"/>
        </w:rPr>
        <w:t> </w:t>
      </w:r>
      <w:r>
        <w:rPr>
          <w:color w:val="131413"/>
        </w:rPr>
        <w:t>deletion</w:t>
      </w:r>
      <w:r>
        <w:rPr>
          <w:color w:val="131413"/>
          <w:spacing w:val="40"/>
        </w:rPr>
        <w:t> </w:t>
      </w:r>
      <w:r>
        <w:rPr>
          <w:color w:val="131413"/>
        </w:rPr>
        <w:t>is</w:t>
      </w:r>
      <w:r>
        <w:rPr>
          <w:color w:val="131413"/>
          <w:spacing w:val="40"/>
        </w:rPr>
        <w:t> </w:t>
      </w:r>
      <w:r>
        <w:rPr>
          <w:color w:val="131413"/>
        </w:rPr>
        <w:t>more</w:t>
      </w:r>
      <w:r>
        <w:rPr>
          <w:color w:val="131413"/>
          <w:spacing w:val="40"/>
        </w:rPr>
        <w:t> </w:t>
      </w:r>
      <w:r>
        <w:rPr>
          <w:color w:val="131413"/>
        </w:rPr>
        <w:t>common </w:t>
      </w:r>
      <w:r>
        <w:rPr>
          <w:color w:val="131413"/>
          <w:spacing w:val="10"/>
        </w:rPr>
        <w:t>in </w:t>
      </w:r>
      <w:r>
        <w:rPr>
          <w:color w:val="131413"/>
          <w:spacing w:val="19"/>
        </w:rPr>
        <w:t>postmitotic</w:t>
      </w:r>
      <w:r>
        <w:rPr>
          <w:color w:val="131413"/>
          <w:spacing w:val="19"/>
        </w:rPr>
        <w:t> </w:t>
      </w:r>
      <w:r>
        <w:rPr>
          <w:color w:val="131413"/>
          <w:spacing w:val="18"/>
        </w:rPr>
        <w:t>tissues </w:t>
      </w:r>
      <w:r>
        <w:rPr>
          <w:color w:val="131413"/>
          <w:spacing w:val="11"/>
        </w:rPr>
        <w:t>in</w:t>
      </w:r>
      <w:r>
        <w:rPr>
          <w:color w:val="131413"/>
          <w:spacing w:val="11"/>
        </w:rPr>
        <w:t> </w:t>
      </w:r>
      <w:r>
        <w:rPr>
          <w:color w:val="131413"/>
          <w:spacing w:val="16"/>
        </w:rPr>
        <w:t>this </w:t>
      </w:r>
      <w:r>
        <w:rPr>
          <w:color w:val="131413"/>
          <w:spacing w:val="18"/>
        </w:rPr>
        <w:t>genetic</w:t>
      </w:r>
      <w:r>
        <w:rPr>
          <w:color w:val="131413"/>
          <w:spacing w:val="18"/>
        </w:rPr>
        <w:t> </w:t>
      </w:r>
      <w:r>
        <w:rPr>
          <w:color w:val="131413"/>
          <w:spacing w:val="17"/>
        </w:rPr>
        <w:t>context </w:t>
      </w:r>
      <w:r>
        <w:rPr>
          <w:color w:val="131413"/>
        </w:rPr>
        <w:t>(Supplementary</w:t>
      </w:r>
      <w:r>
        <w:rPr>
          <w:color w:val="131413"/>
          <w:spacing w:val="40"/>
        </w:rPr>
        <w:t> </w:t>
      </w:r>
      <w:r>
        <w:rPr>
          <w:color w:val="131413"/>
        </w:rPr>
        <w:t>Fig.</w:t>
      </w:r>
      <w:r>
        <w:rPr>
          <w:color w:val="131413"/>
          <w:spacing w:val="40"/>
        </w:rPr>
        <w:t> </w:t>
      </w:r>
      <w:r>
        <w:rPr>
          <w:color w:val="0000FF"/>
        </w:rPr>
        <w:t>1</w:t>
      </w:r>
      <w:r>
        <w:rPr>
          <w:color w:val="131413"/>
        </w:rPr>
        <w:t>).</w:t>
      </w:r>
    </w:p>
    <w:p>
      <w:pPr>
        <w:pStyle w:val="BodyText"/>
        <w:spacing w:before="13"/>
      </w:pPr>
    </w:p>
    <w:p>
      <w:pPr>
        <w:pStyle w:val="Heading2"/>
        <w:spacing w:before="1"/>
        <w:jc w:val="both"/>
      </w:pPr>
      <w:bookmarkStart w:name="Histopathological analysis" w:id="27"/>
      <w:bookmarkEnd w:id="27"/>
      <w:r>
        <w:rPr/>
      </w:r>
      <w:r>
        <w:rPr>
          <w:color w:val="131413"/>
          <w:spacing w:val="-8"/>
        </w:rPr>
        <w:t>Histopathological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analysis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/>
        <w:jc w:val="both"/>
      </w:pPr>
      <w:r>
        <w:rPr>
          <w:color w:val="131413"/>
          <w:spacing w:val="-2"/>
        </w:rPr>
        <w:t>Serial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biceps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brachii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sections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revealed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pathological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feature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of </w:t>
      </w:r>
      <w:r>
        <w:rPr>
          <w:color w:val="131413"/>
        </w:rPr>
        <w:t>typical</w:t>
      </w:r>
      <w:r>
        <w:rPr>
          <w:color w:val="131413"/>
          <w:spacing w:val="-13"/>
        </w:rPr>
        <w:t> </w:t>
      </w:r>
      <w:r>
        <w:rPr>
          <w:color w:val="131413"/>
        </w:rPr>
        <w:t>mitochondrial</w:t>
      </w:r>
      <w:r>
        <w:rPr>
          <w:color w:val="131413"/>
          <w:spacing w:val="-12"/>
        </w:rPr>
        <w:t> </w:t>
      </w:r>
      <w:r>
        <w:rPr>
          <w:color w:val="131413"/>
        </w:rPr>
        <w:t>disease.</w:t>
      </w:r>
      <w:r>
        <w:rPr>
          <w:color w:val="131413"/>
          <w:spacing w:val="-13"/>
        </w:rPr>
        <w:t> </w:t>
      </w:r>
      <w:r>
        <w:rPr>
          <w:color w:val="131413"/>
        </w:rPr>
        <w:t>About</w:t>
      </w:r>
      <w:r>
        <w:rPr>
          <w:color w:val="131413"/>
          <w:spacing w:val="-12"/>
        </w:rPr>
        <w:t> </w:t>
      </w:r>
      <w:r>
        <w:rPr>
          <w:color w:val="131413"/>
        </w:rPr>
        <w:t>20%</w:t>
      </w:r>
      <w:r>
        <w:rPr>
          <w:color w:val="131413"/>
          <w:spacing w:val="-13"/>
        </w:rPr>
        <w:t> </w:t>
      </w:r>
      <w:r>
        <w:rPr>
          <w:color w:val="131413"/>
        </w:rPr>
        <w:t>COX-negative</w:t>
      </w:r>
      <w:r>
        <w:rPr>
          <w:color w:val="131413"/>
          <w:spacing w:val="-12"/>
        </w:rPr>
        <w:t> </w:t>
      </w:r>
      <w:r>
        <w:rPr>
          <w:color w:val="131413"/>
        </w:rPr>
        <w:t>fi- bers were observed upon MGT staining, with the majority being</w:t>
      </w:r>
      <w:r>
        <w:rPr>
          <w:color w:val="131413"/>
          <w:spacing w:val="1"/>
        </w:rPr>
        <w:t> </w:t>
      </w:r>
      <w:r>
        <w:rPr>
          <w:color w:val="131413"/>
        </w:rPr>
        <w:t>ragged red</w:t>
      </w:r>
      <w:r>
        <w:rPr>
          <w:color w:val="131413"/>
          <w:spacing w:val="2"/>
        </w:rPr>
        <w:t> </w:t>
      </w:r>
      <w:r>
        <w:rPr>
          <w:color w:val="131413"/>
        </w:rPr>
        <w:t>fibers (RRFs). SDH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S/C</w:t>
      </w:r>
      <w:r>
        <w:rPr>
          <w:color w:val="131413"/>
          <w:spacing w:val="1"/>
        </w:rPr>
        <w:t> </w:t>
      </w:r>
      <w:r>
        <w:rPr>
          <w:color w:val="131413"/>
        </w:rPr>
        <w:t>staining</w:t>
      </w:r>
      <w:r>
        <w:rPr>
          <w:color w:val="131413"/>
          <w:spacing w:val="1"/>
        </w:rPr>
        <w:t> </w:t>
      </w:r>
      <w:r>
        <w:rPr>
          <w:color w:val="131413"/>
          <w:spacing w:val="-4"/>
        </w:rPr>
        <w:t>also</w:t>
      </w:r>
    </w:p>
    <w:p>
      <w:pPr>
        <w:pStyle w:val="BodyText"/>
        <w:spacing w:line="259" w:lineRule="auto" w:before="108"/>
        <w:ind w:left="28" w:right="25"/>
        <w:jc w:val="both"/>
      </w:pPr>
      <w:r>
        <w:rPr/>
        <w:br w:type="column"/>
      </w:r>
      <w:r>
        <w:rPr>
          <w:color w:val="131413"/>
        </w:rPr>
        <w:t>revealed</w:t>
      </w:r>
      <w:r>
        <w:rPr>
          <w:color w:val="131413"/>
          <w:spacing w:val="-11"/>
        </w:rPr>
        <w:t> </w:t>
      </w:r>
      <w:r>
        <w:rPr>
          <w:color w:val="131413"/>
        </w:rPr>
        <w:t>ragged</w:t>
      </w:r>
      <w:r>
        <w:rPr>
          <w:color w:val="131413"/>
          <w:spacing w:val="-10"/>
        </w:rPr>
        <w:t> </w:t>
      </w:r>
      <w:r>
        <w:rPr>
          <w:color w:val="131413"/>
        </w:rPr>
        <w:t>blue</w:t>
      </w:r>
      <w:r>
        <w:rPr>
          <w:color w:val="131413"/>
          <w:spacing w:val="-11"/>
        </w:rPr>
        <w:t> </w:t>
      </w:r>
      <w:r>
        <w:rPr>
          <w:color w:val="131413"/>
        </w:rPr>
        <w:t>fibers</w:t>
      </w:r>
      <w:r>
        <w:rPr>
          <w:color w:val="131413"/>
          <w:spacing w:val="-11"/>
        </w:rPr>
        <w:t> </w:t>
      </w:r>
      <w:r>
        <w:rPr>
          <w:color w:val="131413"/>
        </w:rPr>
        <w:t>(RBFs)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blue-staining</w:t>
      </w:r>
      <w:r>
        <w:rPr>
          <w:color w:val="131413"/>
          <w:spacing w:val="-10"/>
        </w:rPr>
        <w:t> </w:t>
      </w:r>
      <w:r>
        <w:rPr>
          <w:color w:val="131413"/>
        </w:rPr>
        <w:t>fibers, </w:t>
      </w:r>
      <w:r>
        <w:rPr>
          <w:color w:val="131413"/>
          <w:spacing w:val="-4"/>
        </w:rPr>
        <w:t>respectively,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further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supporting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diagnosis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mitochondrial </w:t>
      </w:r>
      <w:r>
        <w:rPr>
          <w:color w:val="131413"/>
        </w:rPr>
        <w:t>disease (Fig. </w:t>
      </w:r>
      <w:hyperlink w:history="true" w:anchor="_bookmark2">
        <w:r>
          <w:rPr>
            <w:color w:val="0000FF"/>
          </w:rPr>
          <w:t>3</w:t>
        </w:r>
      </w:hyperlink>
      <w:r>
        <w:rPr>
          <w:color w:val="131413"/>
        </w:rPr>
        <w:t>).</w:t>
      </w:r>
    </w:p>
    <w:p>
      <w:pPr>
        <w:pStyle w:val="BodyText"/>
        <w:spacing w:before="12"/>
      </w:pPr>
    </w:p>
    <w:p>
      <w:pPr>
        <w:pStyle w:val="Heading2"/>
        <w:jc w:val="both"/>
      </w:pPr>
      <w:bookmarkStart w:name="Mitochondrial protein level reductions" w:id="28"/>
      <w:bookmarkEnd w:id="28"/>
      <w:r>
        <w:rPr/>
      </w:r>
      <w:r>
        <w:rPr>
          <w:color w:val="131413"/>
          <w:spacing w:val="-6"/>
        </w:rPr>
        <w:t>Mitochondrial</w:t>
      </w:r>
      <w:r>
        <w:rPr>
          <w:color w:val="131413"/>
          <w:spacing w:val="1"/>
        </w:rPr>
        <w:t> </w:t>
      </w:r>
      <w:r>
        <w:rPr>
          <w:color w:val="131413"/>
          <w:spacing w:val="-6"/>
        </w:rPr>
        <w:t>protein</w:t>
      </w:r>
      <w:r>
        <w:rPr>
          <w:color w:val="131413"/>
          <w:spacing w:val="5"/>
        </w:rPr>
        <w:t> </w:t>
      </w:r>
      <w:r>
        <w:rPr>
          <w:color w:val="131413"/>
          <w:spacing w:val="-6"/>
        </w:rPr>
        <w:t>level</w:t>
      </w:r>
      <w:r>
        <w:rPr>
          <w:color w:val="131413"/>
          <w:spacing w:val="5"/>
        </w:rPr>
        <w:t> </w:t>
      </w:r>
      <w:r>
        <w:rPr>
          <w:color w:val="131413"/>
          <w:spacing w:val="-6"/>
        </w:rPr>
        <w:t>reductions</w:t>
      </w:r>
    </w:p>
    <w:p>
      <w:pPr>
        <w:pStyle w:val="BodyText"/>
        <w:spacing w:before="11"/>
        <w:rPr>
          <w:rFonts w:ascii="Arial"/>
          <w:sz w:val="22"/>
        </w:rPr>
      </w:pPr>
    </w:p>
    <w:p>
      <w:pPr>
        <w:pStyle w:val="BodyText"/>
        <w:spacing w:line="259" w:lineRule="auto"/>
        <w:ind w:left="28" w:right="13"/>
        <w:jc w:val="both"/>
      </w:pPr>
      <w:r>
        <w:rPr>
          <w:color w:val="131413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assess</w:t>
      </w:r>
      <w:r>
        <w:rPr>
          <w:color w:val="131413"/>
          <w:spacing w:val="-8"/>
        </w:rPr>
        <w:t> </w:t>
      </w:r>
      <w:r>
        <w:rPr>
          <w:color w:val="131413"/>
        </w:rPr>
        <w:t>whether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identified</w:t>
      </w:r>
      <w:r>
        <w:rPr>
          <w:color w:val="131413"/>
          <w:spacing w:val="-8"/>
        </w:rPr>
        <w:t> </w:t>
      </w:r>
      <w:r>
        <w:rPr>
          <w:color w:val="131413"/>
        </w:rPr>
        <w:t>variants</w:t>
      </w:r>
      <w:r>
        <w:rPr>
          <w:color w:val="131413"/>
          <w:spacing w:val="-8"/>
        </w:rPr>
        <w:t> </w:t>
      </w:r>
      <w:r>
        <w:rPr>
          <w:color w:val="131413"/>
        </w:rPr>
        <w:t>affected</w:t>
      </w:r>
      <w:r>
        <w:rPr>
          <w:color w:val="131413"/>
          <w:spacing w:val="-8"/>
        </w:rPr>
        <w:t> </w:t>
      </w:r>
      <w:r>
        <w:rPr>
          <w:color w:val="131413"/>
        </w:rPr>
        <w:t>OXPHOS subunit expression, we examined the levels of mtDNA- encoded respiratory complex subunits expression and the nDNA-encoded</w:t>
      </w:r>
      <w:r>
        <w:rPr>
          <w:color w:val="131413"/>
          <w:spacing w:val="-2"/>
        </w:rPr>
        <w:t> </w:t>
      </w:r>
      <w:r>
        <w:rPr>
          <w:color w:val="131413"/>
        </w:rPr>
        <w:t>respiratory</w:t>
      </w:r>
      <w:r>
        <w:rPr>
          <w:color w:val="131413"/>
          <w:spacing w:val="-2"/>
        </w:rPr>
        <w:t> </w:t>
      </w:r>
      <w:r>
        <w:rPr>
          <w:color w:val="131413"/>
        </w:rPr>
        <w:t>complex</w:t>
      </w:r>
      <w:r>
        <w:rPr>
          <w:color w:val="131413"/>
          <w:spacing w:val="-2"/>
        </w:rPr>
        <w:t> </w:t>
      </w:r>
      <w:r>
        <w:rPr>
          <w:color w:val="131413"/>
        </w:rPr>
        <w:t>subunits</w:t>
      </w:r>
      <w:r>
        <w:rPr>
          <w:color w:val="131413"/>
          <w:spacing w:val="-2"/>
        </w:rPr>
        <w:t> </w:t>
      </w:r>
      <w:r>
        <w:rPr>
          <w:color w:val="131413"/>
        </w:rPr>
        <w:t>expression</w:t>
      </w:r>
      <w:r>
        <w:rPr>
          <w:color w:val="131413"/>
          <w:spacing w:val="-1"/>
        </w:rPr>
        <w:t> </w:t>
      </w:r>
      <w:r>
        <w:rPr>
          <w:color w:val="131413"/>
        </w:rPr>
        <w:t>in muscle tissues and LCLs via Western blot. GAPDH or </w:t>
      </w:r>
      <w:r>
        <w:rPr>
          <w:rFonts w:ascii="Arial" w:hAnsi="Arial"/>
          <w:color w:val="131413"/>
        </w:rPr>
        <w:t>β</w:t>
      </w:r>
      <w:r>
        <w:rPr>
          <w:color w:val="131413"/>
        </w:rPr>
        <w:t>- actin were used as endogenous controls for these Western blotting assays. The levels of CO1 and nDNA-encoded NDUFB8 were strongly suppressed in the muscle tissue </w:t>
      </w:r>
      <w:r>
        <w:rPr>
          <w:color w:val="131413"/>
          <w:spacing w:val="9"/>
        </w:rPr>
        <w:t>sample</w:t>
      </w:r>
      <w:r>
        <w:rPr>
          <w:color w:val="131413"/>
          <w:spacing w:val="9"/>
        </w:rPr>
        <w:t> </w:t>
      </w:r>
      <w:r>
        <w:rPr>
          <w:color w:val="131413"/>
        </w:rPr>
        <w:t>from this </w:t>
      </w:r>
      <w:r>
        <w:rPr>
          <w:color w:val="131413"/>
          <w:spacing w:val="9"/>
        </w:rPr>
        <w:t>patient,</w:t>
      </w:r>
      <w:r>
        <w:rPr>
          <w:color w:val="131413"/>
          <w:spacing w:val="9"/>
        </w:rPr>
        <w:t> </w:t>
      </w:r>
      <w:r>
        <w:rPr>
          <w:color w:val="131413"/>
        </w:rPr>
        <w:t>where the </w:t>
      </w:r>
      <w:r>
        <w:rPr>
          <w:color w:val="131413"/>
          <w:spacing w:val="11"/>
        </w:rPr>
        <w:t>nDNA-encoded </w:t>
      </w:r>
      <w:r>
        <w:rPr>
          <w:color w:val="131413"/>
        </w:rPr>
        <w:t>SDHB</w:t>
      </w:r>
      <w:r>
        <w:rPr>
          <w:color w:val="131413"/>
          <w:spacing w:val="40"/>
        </w:rPr>
        <w:t> </w:t>
      </w:r>
      <w:r>
        <w:rPr>
          <w:color w:val="131413"/>
        </w:rPr>
        <w:t>expression</w:t>
      </w:r>
      <w:r>
        <w:rPr>
          <w:color w:val="131413"/>
          <w:spacing w:val="40"/>
        </w:rPr>
        <w:t> </w:t>
      </w:r>
      <w:r>
        <w:rPr>
          <w:color w:val="131413"/>
        </w:rPr>
        <w:t>was</w:t>
      </w:r>
      <w:r>
        <w:rPr>
          <w:color w:val="131413"/>
          <w:spacing w:val="40"/>
        </w:rPr>
        <w:t> </w:t>
      </w:r>
      <w:r>
        <w:rPr>
          <w:color w:val="131413"/>
        </w:rPr>
        <w:t>slightly</w:t>
      </w:r>
      <w:r>
        <w:rPr>
          <w:color w:val="131413"/>
          <w:spacing w:val="40"/>
        </w:rPr>
        <w:t> </w:t>
      </w:r>
      <w:r>
        <w:rPr>
          <w:color w:val="131413"/>
        </w:rPr>
        <w:t>reduced</w:t>
      </w:r>
      <w:r>
        <w:rPr>
          <w:color w:val="131413"/>
          <w:spacing w:val="40"/>
        </w:rPr>
        <w:t> </w:t>
      </w:r>
      <w:r>
        <w:rPr>
          <w:color w:val="131413"/>
        </w:rPr>
        <w:t>(Fig.</w:t>
      </w:r>
      <w:r>
        <w:rPr>
          <w:color w:val="131413"/>
          <w:spacing w:val="40"/>
        </w:rPr>
        <w:t> </w:t>
      </w:r>
      <w:hyperlink w:history="true" w:anchor="_bookmark3">
        <w:r>
          <w:rPr>
            <w:color w:val="0000FF"/>
          </w:rPr>
          <w:t>4A</w:t>
        </w:r>
      </w:hyperlink>
      <w:r>
        <w:rPr>
          <w:color w:val="131413"/>
        </w:rPr>
        <w:t>).</w:t>
      </w:r>
      <w:r>
        <w:rPr>
          <w:color w:val="131413"/>
          <w:spacing w:val="40"/>
        </w:rPr>
        <w:t> </w:t>
      </w:r>
      <w:r>
        <w:rPr>
          <w:color w:val="131413"/>
        </w:rPr>
        <w:t>Nine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3" w:space="309"/>
            <w:col w:w="4824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706"/>
      </w:pPr>
      <w:r>
        <w:rPr/>
        <w:drawing>
          <wp:inline distT="0" distB="0" distL="0" distR="0">
            <wp:extent cx="5401408" cy="309372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08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910" w:h="15820"/>
          <w:pgMar w:header="0" w:footer="902" w:top="900" w:bottom="1100" w:left="992" w:right="992"/>
        </w:sectPr>
      </w:pPr>
    </w:p>
    <w:p>
      <w:pPr>
        <w:spacing w:line="244" w:lineRule="auto" w:before="31"/>
        <w:ind w:left="28" w:right="0" w:firstLine="0"/>
        <w:jc w:val="both"/>
        <w:rPr>
          <w:sz w:val="17"/>
        </w:rPr>
      </w:pPr>
      <w:bookmarkStart w:name="_bookmark2" w:id="29"/>
      <w:bookmarkEnd w:id="29"/>
      <w:r>
        <w:rPr/>
      </w:r>
      <w:r>
        <w:rPr>
          <w:rFonts w:ascii="Arial"/>
          <w:color w:val="131413"/>
          <w:spacing w:val="-2"/>
          <w:sz w:val="17"/>
        </w:rPr>
        <w:t>Fig.</w:t>
      </w:r>
      <w:r>
        <w:rPr>
          <w:rFonts w:ascii="Arial"/>
          <w:color w:val="131413"/>
          <w:spacing w:val="-10"/>
          <w:sz w:val="17"/>
        </w:rPr>
        <w:t> </w:t>
      </w:r>
      <w:r>
        <w:rPr>
          <w:rFonts w:ascii="Arial"/>
          <w:color w:val="131413"/>
          <w:spacing w:val="-2"/>
          <w:sz w:val="17"/>
        </w:rPr>
        <w:t>3</w:t>
      </w:r>
      <w:r>
        <w:rPr>
          <w:rFonts w:ascii="Arial"/>
          <w:color w:val="131413"/>
          <w:spacing w:val="27"/>
          <w:sz w:val="17"/>
        </w:rPr>
        <w:t> </w:t>
      </w:r>
      <w:r>
        <w:rPr>
          <w:color w:val="131413"/>
          <w:spacing w:val="-2"/>
          <w:sz w:val="17"/>
        </w:rPr>
        <w:t>Histopathological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characterization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patient.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H&amp;E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staining </w:t>
      </w:r>
      <w:r>
        <w:rPr>
          <w:color w:val="131413"/>
          <w:spacing w:val="-4"/>
          <w:sz w:val="17"/>
        </w:rPr>
        <w:t>revealed slight variability in muscle fiber size, with dark subsarcolemmal</w:t>
      </w:r>
      <w:r>
        <w:rPr>
          <w:color w:val="131413"/>
          <w:sz w:val="17"/>
        </w:rPr>
        <w:t> staining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several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fibers.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b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MGT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staining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revealed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numerous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RRFs.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c </w:t>
      </w:r>
      <w:r>
        <w:rPr>
          <w:color w:val="131413"/>
          <w:spacing w:val="-2"/>
          <w:sz w:val="17"/>
        </w:rPr>
        <w:t>NADH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staining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revealed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dark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subsarcolemmal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staining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in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several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fibers. </w:t>
      </w:r>
      <w:r>
        <w:rPr>
          <w:color w:val="131413"/>
          <w:sz w:val="17"/>
        </w:rPr>
        <w:t>d COX staining revealed the presence of approximately 20% COX- negative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fibers,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some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which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were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RRFs.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e,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f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RBFs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blue-</w:t>
      </w:r>
      <w:r>
        <w:rPr>
          <w:color w:val="131413"/>
          <w:spacing w:val="-2"/>
          <w:sz w:val="17"/>
        </w:rPr>
        <w:t>stained</w:t>
      </w:r>
    </w:p>
    <w:p>
      <w:pPr>
        <w:spacing w:line="244" w:lineRule="auto" w:before="32"/>
        <w:ind w:left="28" w:right="24" w:firstLine="0"/>
        <w:jc w:val="both"/>
        <w:rPr>
          <w:sz w:val="17"/>
        </w:rPr>
      </w:pPr>
      <w:r>
        <w:rPr/>
        <w:br w:type="column"/>
      </w:r>
      <w:r>
        <w:rPr>
          <w:color w:val="131413"/>
          <w:spacing w:val="-4"/>
          <w:sz w:val="17"/>
        </w:rPr>
        <w:t>fibers indicating reduced COX activity were detected via respective SDH</w:t>
      </w:r>
      <w:r>
        <w:rPr>
          <w:color w:val="131413"/>
          <w:sz w:val="17"/>
        </w:rPr>
        <w:t> and SDH-COX double staining. Arrows correspond to the indicated features. H&amp;E, hematoxylin and eosin; MGT, modified Gomori trichrome; RRFs, ragged red fibers; NADH, nicotinamide adenine dinucleotide hydrate; COX, cytochrome </w:t>
      </w:r>
      <w:r>
        <w:rPr>
          <w:i/>
          <w:color w:val="131413"/>
          <w:sz w:val="17"/>
        </w:rPr>
        <w:t>c </w:t>
      </w:r>
      <w:r>
        <w:rPr>
          <w:color w:val="131413"/>
          <w:sz w:val="17"/>
        </w:rPr>
        <w:t>oxidase; SDH, succinate dehydrogenase; RBFs, ragged blue fibers</w:t>
      </w:r>
    </w:p>
    <w:p>
      <w:pPr>
        <w:spacing w:after="0" w:line="244" w:lineRule="auto"/>
        <w:jc w:val="both"/>
        <w:rPr>
          <w:sz w:val="17"/>
        </w:rPr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3" w:space="309"/>
            <w:col w:w="4824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910" w:h="15820"/>
          <w:pgMar w:header="0" w:footer="902" w:top="580" w:bottom="1100" w:left="992" w:right="992"/>
        </w:sectPr>
      </w:pPr>
    </w:p>
    <w:p>
      <w:pPr>
        <w:pStyle w:val="BodyText"/>
        <w:spacing w:line="259" w:lineRule="auto" w:before="128"/>
        <w:ind w:left="28" w:right="1"/>
        <w:jc w:val="both"/>
      </w:pPr>
      <w:r>
        <w:rPr>
          <w:color w:val="131413"/>
        </w:rPr>
        <w:t>OXPHOS subunit expressions were reduced from 33.6 to 67.5%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mutant</w:t>
      </w:r>
      <w:r>
        <w:rPr>
          <w:color w:val="131413"/>
          <w:spacing w:val="-7"/>
        </w:rPr>
        <w:t> </w:t>
      </w:r>
      <w:r>
        <w:rPr>
          <w:color w:val="131413"/>
        </w:rPr>
        <w:t>LCLs</w:t>
      </w:r>
      <w:r>
        <w:rPr>
          <w:color w:val="131413"/>
          <w:spacing w:val="-7"/>
        </w:rPr>
        <w:t> </w:t>
      </w:r>
      <w:r>
        <w:rPr>
          <w:color w:val="131413"/>
        </w:rPr>
        <w:t>relative</w:t>
      </w:r>
      <w:r>
        <w:rPr>
          <w:color w:val="131413"/>
          <w:spacing w:val="-7"/>
        </w:rPr>
        <w:t> </w:t>
      </w:r>
      <w:r>
        <w:rPr>
          <w:color w:val="131413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control</w:t>
      </w:r>
      <w:r>
        <w:rPr>
          <w:color w:val="131413"/>
          <w:spacing w:val="-7"/>
        </w:rPr>
        <w:t> </w:t>
      </w:r>
      <w:r>
        <w:rPr>
          <w:color w:val="131413"/>
        </w:rPr>
        <w:t>cells</w:t>
      </w:r>
      <w:r>
        <w:rPr>
          <w:color w:val="131413"/>
          <w:spacing w:val="-6"/>
        </w:rPr>
        <w:t> </w:t>
      </w:r>
      <w:r>
        <w:rPr>
          <w:color w:val="131413"/>
        </w:rPr>
        <w:t>(Fig.</w:t>
      </w:r>
      <w:r>
        <w:rPr>
          <w:color w:val="131413"/>
          <w:spacing w:val="-7"/>
        </w:rPr>
        <w:t> </w:t>
      </w:r>
      <w:hyperlink w:history="true" w:anchor="_bookmark3">
        <w:r>
          <w:rPr>
            <w:color w:val="0000FF"/>
          </w:rPr>
          <w:t>4B,</w:t>
        </w:r>
        <w:r>
          <w:rPr>
            <w:color w:val="0000FF"/>
            <w:spacing w:val="-7"/>
          </w:rPr>
          <w:t> </w:t>
        </w:r>
        <w:r>
          <w:rPr>
            <w:color w:val="0000FF"/>
          </w:rPr>
          <w:t>C</w:t>
        </w:r>
      </w:hyperlink>
      <w:r>
        <w:rPr>
          <w:color w:val="131413"/>
        </w:rPr>
        <w:t>), while the expression of CYB and ATP5A in mutant LCLs was unchanged.</w:t>
      </w:r>
    </w:p>
    <w:p>
      <w:pPr>
        <w:pStyle w:val="BodyText"/>
      </w:pPr>
    </w:p>
    <w:p>
      <w:pPr>
        <w:pStyle w:val="BodyText"/>
        <w:spacing w:before="21"/>
      </w:pPr>
    </w:p>
    <w:p>
      <w:pPr>
        <w:pStyle w:val="Heading2"/>
        <w:jc w:val="both"/>
      </w:pPr>
      <w:bookmarkStart w:name="Respiration deficiencies in mutant LCLs" w:id="30"/>
      <w:bookmarkEnd w:id="30"/>
      <w:r>
        <w:rPr/>
      </w:r>
      <w:r>
        <w:rPr>
          <w:color w:val="131413"/>
          <w:spacing w:val="-8"/>
        </w:rPr>
        <w:t>Respiration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deficiencies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mutant</w:t>
      </w:r>
      <w:r>
        <w:rPr>
          <w:color w:val="131413"/>
          <w:spacing w:val="-4"/>
        </w:rPr>
        <w:t> </w:t>
      </w:r>
      <w:r>
        <w:rPr>
          <w:color w:val="131413"/>
          <w:spacing w:val="-8"/>
        </w:rPr>
        <w:t>LCLs</w:t>
      </w:r>
    </w:p>
    <w:p>
      <w:pPr>
        <w:pStyle w:val="BodyText"/>
        <w:spacing w:before="13"/>
        <w:rPr>
          <w:rFonts w:ascii="Arial"/>
          <w:sz w:val="22"/>
        </w:rPr>
      </w:pPr>
    </w:p>
    <w:p>
      <w:pPr>
        <w:pStyle w:val="BodyText"/>
        <w:spacing w:line="259" w:lineRule="auto"/>
        <w:ind w:left="28" w:right="1"/>
        <w:jc w:val="both"/>
      </w:pPr>
      <w:r>
        <w:rPr>
          <w:color w:val="131413"/>
          <w:spacing w:val="-4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order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further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investigate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whether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these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identified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variants </w:t>
      </w:r>
      <w:r>
        <w:rPr>
          <w:color w:val="131413"/>
        </w:rPr>
        <w:t>modulated cellular bioenergetic activity, we next utilized a Seahorse XFe24 instrument to analyze control and </w:t>
      </w:r>
      <w:r>
        <w:rPr>
          <w:color w:val="131413"/>
        </w:rPr>
        <w:t>mutant </w:t>
      </w:r>
      <w:r>
        <w:rPr>
          <w:color w:val="131413"/>
          <w:spacing w:val="-2"/>
        </w:rPr>
        <w:t>LCL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respiratory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functionality.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Basal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OCR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resting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state was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reduced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by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26.1%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(</w:t>
      </w:r>
      <w:r>
        <w:rPr>
          <w:i/>
          <w:color w:val="131413"/>
          <w:spacing w:val="-2"/>
        </w:rPr>
        <w:t>P</w:t>
      </w:r>
      <w:r>
        <w:rPr>
          <w:i/>
          <w:color w:val="131413"/>
          <w:spacing w:val="-11"/>
        </w:rPr>
        <w:t> </w:t>
      </w:r>
      <w:r>
        <w:rPr>
          <w:color w:val="131413"/>
          <w:spacing w:val="-2"/>
        </w:rPr>
        <w:t>=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0.013)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mutant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LCLs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relative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to </w:t>
      </w:r>
      <w:r>
        <w:rPr>
          <w:color w:val="131413"/>
        </w:rPr>
        <w:t>control</w:t>
      </w:r>
      <w:r>
        <w:rPr>
          <w:color w:val="131413"/>
          <w:spacing w:val="-4"/>
        </w:rPr>
        <w:t> </w:t>
      </w:r>
      <w:r>
        <w:rPr>
          <w:color w:val="131413"/>
        </w:rPr>
        <w:t>LCLs.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</w:rPr>
        <w:t>additionally</w:t>
      </w:r>
      <w:r>
        <w:rPr>
          <w:color w:val="131413"/>
          <w:spacing w:val="-4"/>
        </w:rPr>
        <w:t> </w:t>
      </w:r>
      <w:r>
        <w:rPr>
          <w:color w:val="131413"/>
        </w:rPr>
        <w:t>employed</w:t>
      </w:r>
      <w:r>
        <w:rPr>
          <w:color w:val="131413"/>
          <w:spacing w:val="-4"/>
        </w:rPr>
        <w:t> </w:t>
      </w:r>
      <w:r>
        <w:rPr>
          <w:color w:val="131413"/>
        </w:rPr>
        <w:t>electron</w:t>
      </w:r>
      <w:r>
        <w:rPr>
          <w:color w:val="131413"/>
          <w:spacing w:val="-4"/>
        </w:rPr>
        <w:t> </w:t>
      </w:r>
      <w:r>
        <w:rPr>
          <w:color w:val="131413"/>
        </w:rPr>
        <w:t>transport </w:t>
      </w:r>
      <w:r>
        <w:rPr>
          <w:color w:val="131413"/>
          <w:spacing w:val="-2"/>
        </w:rPr>
        <w:t>chain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(ETC)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inhibitors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or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uncoupling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agents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gauge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im- </w:t>
      </w:r>
      <w:r>
        <w:rPr>
          <w:color w:val="131413"/>
          <w:spacing w:val="-4"/>
        </w:rPr>
        <w:t>pact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tested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mutations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on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mitochondrial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function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these </w:t>
      </w:r>
      <w:r>
        <w:rPr>
          <w:color w:val="131413"/>
        </w:rPr>
        <w:t>cells. Relative to control cells, the ATP generation, proton leakage, maximum respiration, and spare capacity OCR values in mutant cells were lowered to 63.1% (</w:t>
      </w:r>
      <w:r>
        <w:rPr>
          <w:i/>
          <w:color w:val="131413"/>
        </w:rPr>
        <w:t>P </w:t>
      </w:r>
      <w:r>
        <w:rPr>
          <w:color w:val="131413"/>
        </w:rPr>
        <w:t>= 0.012), 72.3%</w:t>
      </w:r>
      <w:r>
        <w:rPr>
          <w:color w:val="131413"/>
          <w:spacing w:val="26"/>
        </w:rPr>
        <w:t> </w:t>
      </w:r>
      <w:r>
        <w:rPr>
          <w:color w:val="131413"/>
        </w:rPr>
        <w:t>(</w:t>
      </w:r>
      <w:r>
        <w:rPr>
          <w:i/>
          <w:color w:val="131413"/>
        </w:rPr>
        <w:t>P</w:t>
      </w:r>
      <w:r>
        <w:rPr>
          <w:i/>
          <w:color w:val="131413"/>
          <w:spacing w:val="27"/>
        </w:rPr>
        <w:t> </w:t>
      </w:r>
      <w:r>
        <w:rPr>
          <w:color w:val="131413"/>
        </w:rPr>
        <w:t>=</w:t>
      </w:r>
      <w:r>
        <w:rPr>
          <w:color w:val="131413"/>
          <w:spacing w:val="26"/>
        </w:rPr>
        <w:t> </w:t>
      </w:r>
      <w:r>
        <w:rPr>
          <w:color w:val="131413"/>
        </w:rPr>
        <w:t>0.203),</w:t>
      </w:r>
      <w:r>
        <w:rPr>
          <w:color w:val="131413"/>
          <w:spacing w:val="27"/>
        </w:rPr>
        <w:t> </w:t>
      </w:r>
      <w:r>
        <w:rPr>
          <w:color w:val="131413"/>
        </w:rPr>
        <w:t>39.2%</w:t>
      </w:r>
      <w:r>
        <w:rPr>
          <w:color w:val="131413"/>
          <w:spacing w:val="28"/>
        </w:rPr>
        <w:t> </w:t>
      </w:r>
      <w:r>
        <w:rPr>
          <w:color w:val="131413"/>
        </w:rPr>
        <w:t>(</w:t>
      </w:r>
      <w:r>
        <w:rPr>
          <w:i/>
          <w:color w:val="131413"/>
        </w:rPr>
        <w:t>P</w:t>
      </w:r>
      <w:r>
        <w:rPr>
          <w:i/>
          <w:color w:val="131413"/>
          <w:spacing w:val="27"/>
        </w:rPr>
        <w:t> </w:t>
      </w:r>
      <w:r>
        <w:rPr>
          <w:color w:val="131413"/>
        </w:rPr>
        <w:t>=</w:t>
      </w:r>
      <w:r>
        <w:rPr>
          <w:color w:val="131413"/>
          <w:spacing w:val="27"/>
        </w:rPr>
        <w:t> </w:t>
      </w:r>
      <w:r>
        <w:rPr>
          <w:color w:val="131413"/>
        </w:rPr>
        <w:t>0.001),</w:t>
      </w:r>
      <w:r>
        <w:rPr>
          <w:color w:val="131413"/>
          <w:spacing w:val="28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</w:rPr>
        <w:t>23.5%</w:t>
      </w:r>
      <w:r>
        <w:rPr>
          <w:color w:val="131413"/>
          <w:spacing w:val="28"/>
        </w:rPr>
        <w:t> </w:t>
      </w:r>
      <w:r>
        <w:rPr>
          <w:color w:val="131413"/>
        </w:rPr>
        <w:t>(</w:t>
      </w:r>
      <w:r>
        <w:rPr>
          <w:i/>
          <w:color w:val="131413"/>
        </w:rPr>
        <w:t>P</w:t>
      </w:r>
      <w:r>
        <w:rPr>
          <w:i/>
          <w:color w:val="131413"/>
          <w:spacing w:val="27"/>
        </w:rPr>
        <w:t> </w:t>
      </w:r>
      <w:r>
        <w:rPr>
          <w:color w:val="131413"/>
          <w:spacing w:val="-10"/>
        </w:rPr>
        <w:t>&lt;</w:t>
      </w:r>
    </w:p>
    <w:p>
      <w:pPr>
        <w:pStyle w:val="ListParagraph"/>
        <w:numPr>
          <w:ilvl w:val="1"/>
          <w:numId w:val="2"/>
        </w:numPr>
        <w:tabs>
          <w:tab w:pos="560" w:val="left" w:leader="none"/>
        </w:tabs>
        <w:spacing w:line="259" w:lineRule="auto" w:before="7" w:after="0"/>
        <w:ind w:left="28" w:right="0" w:firstLine="0"/>
        <w:jc w:val="both"/>
        <w:rPr>
          <w:sz w:val="20"/>
        </w:rPr>
      </w:pPr>
      <w:r>
        <w:rPr>
          <w:color w:val="131413"/>
          <w:sz w:val="20"/>
        </w:rPr>
        <w:t>, respectively (Fig. </w:t>
      </w:r>
      <w:hyperlink w:history="true" w:anchor="_bookmark4">
        <w:r>
          <w:rPr>
            <w:color w:val="0000FF"/>
            <w:sz w:val="20"/>
          </w:rPr>
          <w:t>5A, B</w:t>
        </w:r>
      </w:hyperlink>
      <w:r>
        <w:rPr>
          <w:color w:val="131413"/>
          <w:sz w:val="20"/>
        </w:rPr>
        <w:t>). To elucidate the site- </w:t>
      </w:r>
      <w:r>
        <w:rPr>
          <w:color w:val="131413"/>
          <w:spacing w:val="-4"/>
          <w:sz w:val="20"/>
        </w:rPr>
        <w:t>specific</w:t>
      </w:r>
      <w:r>
        <w:rPr>
          <w:color w:val="131413"/>
          <w:spacing w:val="-5"/>
          <w:sz w:val="20"/>
        </w:rPr>
        <w:t> </w:t>
      </w:r>
      <w:r>
        <w:rPr>
          <w:color w:val="131413"/>
          <w:spacing w:val="-4"/>
          <w:sz w:val="20"/>
        </w:rPr>
        <w:t>regulation of</w:t>
      </w:r>
      <w:r>
        <w:rPr>
          <w:color w:val="131413"/>
          <w:spacing w:val="-6"/>
          <w:sz w:val="20"/>
        </w:rPr>
        <w:t> </w:t>
      </w:r>
      <w:r>
        <w:rPr>
          <w:color w:val="131413"/>
          <w:spacing w:val="-4"/>
          <w:sz w:val="20"/>
        </w:rPr>
        <w:t>this variant on</w:t>
      </w:r>
      <w:r>
        <w:rPr>
          <w:color w:val="131413"/>
          <w:spacing w:val="-6"/>
          <w:sz w:val="20"/>
        </w:rPr>
        <w:t> </w:t>
      </w:r>
      <w:r>
        <w:rPr>
          <w:color w:val="131413"/>
          <w:spacing w:val="-4"/>
          <w:sz w:val="20"/>
        </w:rPr>
        <w:t>mitochondrial respiratory </w:t>
      </w:r>
      <w:r>
        <w:rPr>
          <w:color w:val="131413"/>
          <w:spacing w:val="-2"/>
          <w:sz w:val="20"/>
        </w:rPr>
        <w:t>chain</w:t>
      </w:r>
      <w:r>
        <w:rPr>
          <w:color w:val="131413"/>
          <w:spacing w:val="-11"/>
          <w:sz w:val="20"/>
        </w:rPr>
        <w:t> </w:t>
      </w:r>
      <w:r>
        <w:rPr>
          <w:color w:val="131413"/>
          <w:spacing w:val="-2"/>
          <w:sz w:val="20"/>
        </w:rPr>
        <w:t>(MRC)</w:t>
      </w:r>
      <w:r>
        <w:rPr>
          <w:color w:val="131413"/>
          <w:spacing w:val="-10"/>
          <w:sz w:val="20"/>
        </w:rPr>
        <w:t> </w:t>
      </w:r>
      <w:r>
        <w:rPr>
          <w:color w:val="131413"/>
          <w:spacing w:val="-2"/>
          <w:sz w:val="20"/>
        </w:rPr>
        <w:t>activities,</w:t>
      </w:r>
      <w:r>
        <w:rPr>
          <w:color w:val="131413"/>
          <w:spacing w:val="-11"/>
          <w:sz w:val="20"/>
        </w:rPr>
        <w:t> </w:t>
      </w:r>
      <w:r>
        <w:rPr>
          <w:color w:val="131413"/>
          <w:spacing w:val="-2"/>
          <w:sz w:val="20"/>
        </w:rPr>
        <w:t>we</w:t>
      </w:r>
      <w:r>
        <w:rPr>
          <w:color w:val="131413"/>
          <w:spacing w:val="-10"/>
          <w:sz w:val="20"/>
        </w:rPr>
        <w:t> </w:t>
      </w:r>
      <w:r>
        <w:rPr>
          <w:color w:val="131413"/>
          <w:spacing w:val="-2"/>
          <w:sz w:val="20"/>
        </w:rPr>
        <w:t>examined</w:t>
      </w:r>
      <w:r>
        <w:rPr>
          <w:color w:val="131413"/>
          <w:spacing w:val="-11"/>
          <w:sz w:val="20"/>
        </w:rPr>
        <w:t> </w:t>
      </w:r>
      <w:r>
        <w:rPr>
          <w:color w:val="131413"/>
          <w:spacing w:val="-2"/>
          <w:sz w:val="20"/>
        </w:rPr>
        <w:t>complex</w:t>
      </w:r>
      <w:r>
        <w:rPr>
          <w:color w:val="131413"/>
          <w:spacing w:val="-10"/>
          <w:sz w:val="20"/>
        </w:rPr>
        <w:t> </w:t>
      </w:r>
      <w:r>
        <w:rPr>
          <w:color w:val="131413"/>
          <w:spacing w:val="-2"/>
          <w:sz w:val="20"/>
        </w:rPr>
        <w:t>I-,</w:t>
      </w:r>
      <w:r>
        <w:rPr>
          <w:color w:val="131413"/>
          <w:spacing w:val="-11"/>
          <w:sz w:val="20"/>
        </w:rPr>
        <w:t> </w:t>
      </w:r>
      <w:r>
        <w:rPr>
          <w:color w:val="131413"/>
          <w:spacing w:val="-2"/>
          <w:sz w:val="20"/>
        </w:rPr>
        <w:t>II-,</w:t>
      </w:r>
      <w:r>
        <w:rPr>
          <w:color w:val="131413"/>
          <w:spacing w:val="-10"/>
          <w:sz w:val="20"/>
        </w:rPr>
        <w:t> </w:t>
      </w:r>
      <w:r>
        <w:rPr>
          <w:color w:val="131413"/>
          <w:spacing w:val="-2"/>
          <w:sz w:val="20"/>
        </w:rPr>
        <w:t>and</w:t>
      </w:r>
      <w:r>
        <w:rPr>
          <w:color w:val="131413"/>
          <w:spacing w:val="-11"/>
          <w:sz w:val="20"/>
        </w:rPr>
        <w:t> </w:t>
      </w:r>
      <w:r>
        <w:rPr>
          <w:color w:val="131413"/>
          <w:spacing w:val="-2"/>
          <w:sz w:val="20"/>
        </w:rPr>
        <w:t>IV- </w:t>
      </w:r>
      <w:r>
        <w:rPr>
          <w:color w:val="131413"/>
          <w:sz w:val="20"/>
        </w:rPr>
        <w:t>mediated</w:t>
      </w:r>
      <w:r>
        <w:rPr>
          <w:color w:val="131413"/>
          <w:spacing w:val="-13"/>
          <w:sz w:val="20"/>
        </w:rPr>
        <w:t> </w:t>
      </w:r>
      <w:r>
        <w:rPr>
          <w:color w:val="131413"/>
          <w:sz w:val="20"/>
        </w:rPr>
        <w:t>respiration</w:t>
      </w:r>
      <w:r>
        <w:rPr>
          <w:color w:val="131413"/>
          <w:spacing w:val="-12"/>
          <w:sz w:val="20"/>
        </w:rPr>
        <w:t> </w:t>
      </w:r>
      <w:r>
        <w:rPr>
          <w:color w:val="131413"/>
          <w:sz w:val="20"/>
        </w:rPr>
        <w:t>in</w:t>
      </w:r>
      <w:r>
        <w:rPr>
          <w:color w:val="131413"/>
          <w:spacing w:val="-13"/>
          <w:sz w:val="20"/>
        </w:rPr>
        <w:t> </w:t>
      </w:r>
      <w:r>
        <w:rPr>
          <w:color w:val="131413"/>
          <w:sz w:val="20"/>
        </w:rPr>
        <w:t>permeabilized</w:t>
      </w:r>
      <w:r>
        <w:rPr>
          <w:color w:val="131413"/>
          <w:spacing w:val="-12"/>
          <w:sz w:val="20"/>
        </w:rPr>
        <w:t> </w:t>
      </w:r>
      <w:r>
        <w:rPr>
          <w:color w:val="131413"/>
          <w:sz w:val="20"/>
        </w:rPr>
        <w:t>LCLs.</w:t>
      </w:r>
      <w:r>
        <w:rPr>
          <w:color w:val="131413"/>
          <w:spacing w:val="-13"/>
          <w:sz w:val="20"/>
        </w:rPr>
        <w:t> </w:t>
      </w:r>
      <w:r>
        <w:rPr>
          <w:color w:val="131413"/>
          <w:sz w:val="20"/>
        </w:rPr>
        <w:t>We</w:t>
      </w:r>
      <w:r>
        <w:rPr>
          <w:color w:val="131413"/>
          <w:spacing w:val="-12"/>
          <w:sz w:val="20"/>
        </w:rPr>
        <w:t> </w:t>
      </w:r>
      <w:r>
        <w:rPr>
          <w:color w:val="131413"/>
          <w:sz w:val="20"/>
        </w:rPr>
        <w:t>discovered </w:t>
      </w:r>
      <w:r>
        <w:rPr>
          <w:color w:val="131413"/>
          <w:spacing w:val="-4"/>
          <w:sz w:val="20"/>
        </w:rPr>
        <w:t>that mutant LCLs displayed marked reductions in all complex </w:t>
      </w:r>
      <w:r>
        <w:rPr>
          <w:color w:val="131413"/>
          <w:sz w:val="20"/>
        </w:rPr>
        <w:t>I-, II-, and IV-mediated respiration, as opposed to control </w:t>
      </w:r>
      <w:r>
        <w:rPr>
          <w:color w:val="131413"/>
          <w:spacing w:val="-2"/>
          <w:sz w:val="20"/>
        </w:rPr>
        <w:t>LCLs</w:t>
      </w:r>
      <w:r>
        <w:rPr>
          <w:color w:val="131413"/>
          <w:spacing w:val="-6"/>
          <w:sz w:val="20"/>
        </w:rPr>
        <w:t> </w:t>
      </w:r>
      <w:r>
        <w:rPr>
          <w:color w:val="131413"/>
          <w:spacing w:val="-2"/>
          <w:sz w:val="20"/>
        </w:rPr>
        <w:t>(61.9%,</w:t>
      </w:r>
      <w:r>
        <w:rPr>
          <w:color w:val="131413"/>
          <w:spacing w:val="-6"/>
          <w:sz w:val="20"/>
        </w:rPr>
        <w:t> </w:t>
      </w:r>
      <w:r>
        <w:rPr>
          <w:color w:val="131413"/>
          <w:spacing w:val="-2"/>
          <w:sz w:val="20"/>
        </w:rPr>
        <w:t>44.9%,</w:t>
      </w:r>
      <w:r>
        <w:rPr>
          <w:color w:val="131413"/>
          <w:spacing w:val="-6"/>
          <w:sz w:val="20"/>
        </w:rPr>
        <w:t> </w:t>
      </w:r>
      <w:r>
        <w:rPr>
          <w:color w:val="131413"/>
          <w:spacing w:val="-2"/>
          <w:sz w:val="20"/>
        </w:rPr>
        <w:t>and</w:t>
      </w:r>
      <w:r>
        <w:rPr>
          <w:color w:val="131413"/>
          <w:spacing w:val="-5"/>
          <w:sz w:val="20"/>
        </w:rPr>
        <w:t> </w:t>
      </w:r>
      <w:r>
        <w:rPr>
          <w:color w:val="131413"/>
          <w:spacing w:val="-2"/>
          <w:sz w:val="20"/>
        </w:rPr>
        <w:t>83.7%,</w:t>
      </w:r>
      <w:r>
        <w:rPr>
          <w:color w:val="131413"/>
          <w:spacing w:val="-6"/>
          <w:sz w:val="20"/>
        </w:rPr>
        <w:t> </w:t>
      </w:r>
      <w:r>
        <w:rPr>
          <w:color w:val="131413"/>
          <w:spacing w:val="-2"/>
          <w:sz w:val="20"/>
        </w:rPr>
        <w:t>respectively)</w:t>
      </w:r>
      <w:r>
        <w:rPr>
          <w:color w:val="131413"/>
          <w:spacing w:val="-5"/>
          <w:sz w:val="20"/>
        </w:rPr>
        <w:t> </w:t>
      </w:r>
      <w:r>
        <w:rPr>
          <w:color w:val="131413"/>
          <w:spacing w:val="-2"/>
          <w:sz w:val="20"/>
        </w:rPr>
        <w:t>(Fig.</w:t>
      </w:r>
      <w:r>
        <w:rPr>
          <w:color w:val="131413"/>
          <w:spacing w:val="-5"/>
          <w:sz w:val="20"/>
        </w:rPr>
        <w:t> </w:t>
      </w:r>
      <w:hyperlink w:history="true" w:anchor="_bookmark4">
        <w:r>
          <w:rPr>
            <w:color w:val="0000FF"/>
            <w:spacing w:val="-2"/>
            <w:sz w:val="20"/>
          </w:rPr>
          <w:t>5C,</w:t>
        </w:r>
        <w:r>
          <w:rPr>
            <w:color w:val="0000FF"/>
            <w:spacing w:val="-4"/>
            <w:sz w:val="20"/>
          </w:rPr>
          <w:t> </w:t>
        </w:r>
        <w:r>
          <w:rPr>
            <w:color w:val="0000FF"/>
            <w:spacing w:val="-5"/>
            <w:sz w:val="20"/>
          </w:rPr>
          <w:t>D</w:t>
        </w:r>
      </w:hyperlink>
      <w:r>
        <w:rPr>
          <w:color w:val="131413"/>
          <w:spacing w:val="-5"/>
          <w:sz w:val="20"/>
        </w:rPr>
        <w:t>).</w:t>
      </w:r>
    </w:p>
    <w:p>
      <w:pPr>
        <w:pStyle w:val="Heading1"/>
        <w:spacing w:before="90"/>
      </w:pPr>
      <w:r>
        <w:rPr/>
        <w:br w:type="column"/>
      </w:r>
      <w:bookmarkStart w:name="Discussion" w:id="31"/>
      <w:bookmarkEnd w:id="31"/>
      <w:r>
        <w:rPr/>
      </w:r>
      <w:r>
        <w:rPr>
          <w:color w:val="131413"/>
          <w:spacing w:val="-2"/>
        </w:rPr>
        <w:t>Discussion</w:t>
      </w:r>
    </w:p>
    <w:p>
      <w:pPr>
        <w:pStyle w:val="BodyText"/>
        <w:spacing w:line="259" w:lineRule="auto" w:before="261"/>
        <w:ind w:left="28" w:right="9"/>
        <w:jc w:val="both"/>
      </w:pPr>
      <w:r>
        <w:rPr>
          <w:color w:val="131413"/>
        </w:rPr>
        <w:t>Herein,</w:t>
      </w:r>
      <w:r>
        <w:rPr>
          <w:color w:val="131413"/>
          <w:spacing w:val="34"/>
        </w:rPr>
        <w:t> </w:t>
      </w:r>
      <w:r>
        <w:rPr>
          <w:color w:val="131413"/>
        </w:rPr>
        <w:t>we</w:t>
      </w:r>
      <w:r>
        <w:rPr>
          <w:color w:val="131413"/>
          <w:spacing w:val="35"/>
        </w:rPr>
        <w:t> </w:t>
      </w:r>
      <w:r>
        <w:rPr>
          <w:color w:val="131413"/>
        </w:rPr>
        <w:t>described</w:t>
      </w:r>
      <w:r>
        <w:rPr>
          <w:color w:val="131413"/>
          <w:spacing w:val="35"/>
        </w:rPr>
        <w:t> </w:t>
      </w:r>
      <w:r>
        <w:rPr>
          <w:color w:val="131413"/>
        </w:rPr>
        <w:t>novel</w:t>
      </w:r>
      <w:r>
        <w:rPr>
          <w:color w:val="131413"/>
          <w:spacing w:val="35"/>
        </w:rPr>
        <w:t> </w:t>
      </w:r>
      <w:r>
        <w:rPr>
          <w:color w:val="131413"/>
        </w:rPr>
        <w:t>biallelic</w:t>
      </w:r>
      <w:r>
        <w:rPr>
          <w:color w:val="131413"/>
          <w:spacing w:val="33"/>
        </w:rPr>
        <w:t> </w:t>
      </w:r>
      <w:r>
        <w:rPr>
          <w:i/>
          <w:color w:val="131413"/>
        </w:rPr>
        <w:t>POLG</w:t>
      </w:r>
      <w:r>
        <w:rPr>
          <w:i/>
          <w:color w:val="131413"/>
          <w:spacing w:val="34"/>
        </w:rPr>
        <w:t> </w:t>
      </w:r>
      <w:r>
        <w:rPr>
          <w:color w:val="131413"/>
        </w:rPr>
        <w:t>mutations</w:t>
      </w:r>
      <w:r>
        <w:rPr>
          <w:color w:val="131413"/>
          <w:spacing w:val="35"/>
        </w:rPr>
        <w:t> </w:t>
      </w:r>
      <w:r>
        <w:rPr>
          <w:color w:val="131413"/>
        </w:rPr>
        <w:t>in a 33-year-old male with PEO, including a large deletion </w:t>
      </w:r>
      <w:r>
        <w:rPr>
          <w:color w:val="131413"/>
          <w:spacing w:val="15"/>
        </w:rPr>
        <w:t>mutation</w:t>
      </w:r>
      <w:r>
        <w:rPr>
          <w:color w:val="131413"/>
          <w:spacing w:val="15"/>
        </w:rPr>
        <w:t> (exons</w:t>
      </w:r>
      <w:r>
        <w:rPr>
          <w:color w:val="131413"/>
          <w:spacing w:val="15"/>
        </w:rPr>
        <w:t> </w:t>
      </w:r>
      <w:r>
        <w:rPr>
          <w:color w:val="131413"/>
        </w:rPr>
        <w:t>7</w:t>
      </w:r>
      <w:r>
        <w:rPr>
          <w:color w:val="131413"/>
          <w:spacing w:val="-13"/>
        </w:rPr>
        <w:t> </w:t>
      </w:r>
      <w:r>
        <w:rPr>
          <w:rFonts w:ascii="Arial" w:hAnsi="Arial"/>
          <w:color w:val="131413"/>
        </w:rPr>
        <w:t>–</w:t>
      </w:r>
      <w:r>
        <w:rPr>
          <w:rFonts w:ascii="Arial" w:hAnsi="Arial"/>
          <w:color w:val="131413"/>
          <w:spacing w:val="-14"/>
        </w:rPr>
        <w:t> </w:t>
      </w:r>
      <w:r>
        <w:rPr>
          <w:color w:val="131413"/>
        </w:rPr>
        <w:t>21</w:t>
      </w:r>
      <w:r>
        <w:rPr>
          <w:color w:val="131413"/>
          <w:spacing w:val="-12"/>
        </w:rPr>
        <w:t> </w:t>
      </w:r>
      <w:r>
        <w:rPr>
          <w:color w:val="131413"/>
        </w:rPr>
        <w:t>)</w:t>
      </w:r>
      <w:r>
        <w:rPr>
          <w:color w:val="131413"/>
          <w:spacing w:val="12"/>
        </w:rPr>
        <w:t> and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missense</w:t>
      </w:r>
      <w:r>
        <w:rPr>
          <w:color w:val="131413"/>
          <w:spacing w:val="15"/>
        </w:rPr>
        <w:t> variant </w:t>
      </w:r>
      <w:r>
        <w:rPr>
          <w:color w:val="131413"/>
        </w:rPr>
        <w:t>c.1796C&gt;T (p.Thr599Ile). Several lines of evidence sug- gested the pathogenicity of these novel biallelic muta-</w:t>
      </w:r>
      <w:r>
        <w:rPr>
          <w:color w:val="131413"/>
          <w:spacing w:val="40"/>
        </w:rPr>
        <w:t> </w:t>
      </w:r>
      <w:r>
        <w:rPr>
          <w:color w:val="131413"/>
        </w:rPr>
        <w:t>tions. First, this patient exhibited clinical symptoms and histological features consistent with adult-onset PEO. Second, these genetic defects co-segregated with the ob- served phenotype in the affected family. Third, large mtDNA</w:t>
      </w:r>
      <w:r>
        <w:rPr>
          <w:color w:val="131413"/>
          <w:spacing w:val="40"/>
        </w:rPr>
        <w:t> </w:t>
      </w:r>
      <w:r>
        <w:rPr>
          <w:color w:val="131413"/>
        </w:rPr>
        <w:t>deletions</w:t>
      </w:r>
      <w:r>
        <w:rPr>
          <w:color w:val="131413"/>
          <w:spacing w:val="40"/>
        </w:rPr>
        <w:t> </w:t>
      </w:r>
      <w:r>
        <w:rPr>
          <w:color w:val="131413"/>
        </w:rPr>
        <w:t>were</w:t>
      </w:r>
      <w:r>
        <w:rPr>
          <w:color w:val="131413"/>
          <w:spacing w:val="40"/>
        </w:rPr>
        <w:t> </w:t>
      </w:r>
      <w:r>
        <w:rPr>
          <w:color w:val="131413"/>
        </w:rPr>
        <w:t>identified</w:t>
      </w:r>
      <w:r>
        <w:rPr>
          <w:color w:val="131413"/>
          <w:spacing w:val="40"/>
        </w:rPr>
        <w:t> </w:t>
      </w:r>
      <w:r>
        <w:rPr>
          <w:color w:val="131413"/>
        </w:rPr>
        <w:t>in</w:t>
      </w:r>
      <w:r>
        <w:rPr>
          <w:color w:val="131413"/>
          <w:spacing w:val="40"/>
        </w:rPr>
        <w:t> </w:t>
      </w:r>
      <w:r>
        <w:rPr>
          <w:color w:val="131413"/>
        </w:rPr>
        <w:t>muscle</w:t>
      </w:r>
      <w:r>
        <w:rPr>
          <w:color w:val="131413"/>
          <w:spacing w:val="40"/>
        </w:rPr>
        <w:t> </w:t>
      </w:r>
      <w:r>
        <w:rPr>
          <w:color w:val="131413"/>
        </w:rPr>
        <w:t>samples from this patient. Fourth, these biallelic mutations re-</w:t>
      </w:r>
      <w:r>
        <w:rPr>
          <w:color w:val="131413"/>
          <w:spacing w:val="40"/>
        </w:rPr>
        <w:t> </w:t>
      </w:r>
      <w:r>
        <w:rPr>
          <w:color w:val="131413"/>
        </w:rPr>
        <w:t>sulted in reduced mitochondrial respiratory complex ex- pression, with a particularly notable impact on the levels</w:t>
      </w:r>
      <w:r>
        <w:rPr>
          <w:color w:val="131413"/>
          <w:spacing w:val="80"/>
          <w:w w:val="150"/>
        </w:rPr>
        <w:t> </w:t>
      </w:r>
      <w:r>
        <w:rPr>
          <w:color w:val="131413"/>
        </w:rPr>
        <w:t>of complex I, II, and IV subunit expressions in the</w:t>
      </w:r>
      <w:r>
        <w:rPr>
          <w:color w:val="131413"/>
          <w:spacing w:val="40"/>
        </w:rPr>
        <w:t> </w:t>
      </w:r>
      <w:r>
        <w:rPr>
          <w:color w:val="131413"/>
        </w:rPr>
        <w:t>analyzed samples. Finally, LCLs carrying these variants exhibited</w:t>
      </w:r>
      <w:r>
        <w:rPr>
          <w:color w:val="131413"/>
          <w:spacing w:val="40"/>
        </w:rPr>
        <w:t> </w:t>
      </w:r>
      <w:r>
        <w:rPr>
          <w:color w:val="131413"/>
        </w:rPr>
        <w:t>marked</w:t>
      </w:r>
      <w:r>
        <w:rPr>
          <w:color w:val="131413"/>
          <w:spacing w:val="40"/>
        </w:rPr>
        <w:t> </w:t>
      </w:r>
      <w:r>
        <w:rPr>
          <w:color w:val="131413"/>
        </w:rPr>
        <w:t>mitochondrial</w:t>
      </w:r>
      <w:r>
        <w:rPr>
          <w:color w:val="131413"/>
          <w:spacing w:val="40"/>
        </w:rPr>
        <w:t> </w:t>
      </w:r>
      <w:r>
        <w:rPr>
          <w:color w:val="131413"/>
        </w:rPr>
        <w:t>dysfunction.</w:t>
      </w:r>
    </w:p>
    <w:p>
      <w:pPr>
        <w:pStyle w:val="BodyText"/>
        <w:spacing w:line="259" w:lineRule="auto" w:before="9"/>
        <w:ind w:left="28" w:right="17" w:firstLine="226"/>
        <w:jc w:val="both"/>
      </w:pPr>
      <w:r>
        <w:rPr>
          <w:i/>
          <w:color w:val="131413"/>
        </w:rPr>
        <w:t>POLG </w:t>
      </w:r>
      <w:r>
        <w:rPr>
          <w:color w:val="131413"/>
        </w:rPr>
        <w:t>is the nuclear gene that is most often found to be mutated in the context of mitochondrial disease [</w:t>
      </w:r>
      <w:hyperlink w:history="true" w:anchor="_bookmark28">
        <w:r>
          <w:rPr>
            <w:color w:val="0000FF"/>
          </w:rPr>
          <w:t>31</w:t>
        </w:r>
      </w:hyperlink>
      <w:r>
        <w:rPr>
          <w:color w:val="131413"/>
        </w:rPr>
        <w:t>]. Missense</w:t>
      </w:r>
      <w:r>
        <w:rPr>
          <w:color w:val="131413"/>
          <w:spacing w:val="40"/>
        </w:rPr>
        <w:t> </w:t>
      </w:r>
      <w:r>
        <w:rPr>
          <w:color w:val="131413"/>
        </w:rPr>
        <w:t>variants,</w:t>
      </w:r>
      <w:r>
        <w:rPr>
          <w:color w:val="131413"/>
          <w:spacing w:val="40"/>
        </w:rPr>
        <w:t> </w:t>
      </w:r>
      <w:r>
        <w:rPr>
          <w:color w:val="131413"/>
        </w:rPr>
        <w:t>accounting</w:t>
      </w:r>
      <w:r>
        <w:rPr>
          <w:color w:val="131413"/>
          <w:spacing w:val="40"/>
        </w:rPr>
        <w:t> </w:t>
      </w:r>
      <w:r>
        <w:rPr>
          <w:color w:val="131413"/>
        </w:rPr>
        <w:t>for</w:t>
      </w:r>
      <w:r>
        <w:rPr>
          <w:color w:val="131413"/>
          <w:spacing w:val="40"/>
        </w:rPr>
        <w:t> </w:t>
      </w:r>
      <w:r>
        <w:rPr>
          <w:color w:val="131413"/>
        </w:rPr>
        <w:t>90%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reported </w:t>
      </w:r>
      <w:r>
        <w:rPr>
          <w:i/>
          <w:color w:val="131413"/>
        </w:rPr>
        <w:t>POLG </w:t>
      </w:r>
      <w:r>
        <w:rPr>
          <w:color w:val="131413"/>
        </w:rPr>
        <w:t>variants, are the most common form of such mutations.</w:t>
      </w:r>
      <w:r>
        <w:rPr>
          <w:color w:val="131413"/>
          <w:spacing w:val="40"/>
        </w:rPr>
        <w:t> </w:t>
      </w:r>
      <w:r>
        <w:rPr>
          <w:color w:val="131413"/>
        </w:rPr>
        <w:t>Deletion</w:t>
      </w:r>
      <w:r>
        <w:rPr>
          <w:color w:val="131413"/>
          <w:spacing w:val="40"/>
        </w:rPr>
        <w:t> </w:t>
      </w:r>
      <w:r>
        <w:rPr>
          <w:color w:val="131413"/>
        </w:rPr>
        <w:t>variants,</w:t>
      </w:r>
      <w:r>
        <w:rPr>
          <w:color w:val="131413"/>
          <w:spacing w:val="40"/>
        </w:rPr>
        <w:t> </w:t>
      </w:r>
      <w:r>
        <w:rPr>
          <w:color w:val="131413"/>
        </w:rPr>
        <w:t>however,</w:t>
      </w:r>
      <w:r>
        <w:rPr>
          <w:color w:val="131413"/>
          <w:spacing w:val="40"/>
        </w:rPr>
        <w:t> </w:t>
      </w:r>
      <w:r>
        <w:rPr>
          <w:color w:val="131413"/>
        </w:rPr>
        <w:t>are</w:t>
      </w:r>
      <w:r>
        <w:rPr>
          <w:color w:val="131413"/>
          <w:spacing w:val="40"/>
        </w:rPr>
        <w:t> </w:t>
      </w:r>
      <w:r>
        <w:rPr>
          <w:color w:val="131413"/>
        </w:rPr>
        <w:t>extremely rare,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0"/>
        </w:rPr>
        <w:t> </w:t>
      </w:r>
      <w:r>
        <w:rPr>
          <w:color w:val="131413"/>
        </w:rPr>
        <w:t>have</w:t>
      </w:r>
      <w:r>
        <w:rPr>
          <w:color w:val="131413"/>
          <w:spacing w:val="40"/>
        </w:rPr>
        <w:t> </w:t>
      </w:r>
      <w:r>
        <w:rPr>
          <w:color w:val="131413"/>
        </w:rPr>
        <w:t>been</w:t>
      </w:r>
      <w:r>
        <w:rPr>
          <w:color w:val="131413"/>
          <w:spacing w:val="40"/>
        </w:rPr>
        <w:t> </w:t>
      </w:r>
      <w:r>
        <w:rPr>
          <w:color w:val="131413"/>
        </w:rPr>
        <w:t>identified</w:t>
      </w:r>
      <w:r>
        <w:rPr>
          <w:color w:val="131413"/>
          <w:spacing w:val="40"/>
        </w:rPr>
        <w:t> </w:t>
      </w:r>
      <w:r>
        <w:rPr>
          <w:color w:val="131413"/>
        </w:rPr>
        <w:t>only</w:t>
      </w:r>
      <w:r>
        <w:rPr>
          <w:color w:val="131413"/>
          <w:spacing w:val="40"/>
        </w:rPr>
        <w:t> </w:t>
      </w:r>
      <w:r>
        <w:rPr>
          <w:color w:val="131413"/>
        </w:rPr>
        <w:t>sporadically</w:t>
      </w:r>
      <w:r>
        <w:rPr>
          <w:color w:val="131413"/>
          <w:spacing w:val="40"/>
        </w:rPr>
        <w:t> </w:t>
      </w:r>
      <w:r>
        <w:rPr>
          <w:color w:val="131413"/>
        </w:rPr>
        <w:t>to</w:t>
      </w:r>
      <w:r>
        <w:rPr>
          <w:color w:val="131413"/>
          <w:spacing w:val="40"/>
        </w:rPr>
        <w:t> </w:t>
      </w:r>
      <w:r>
        <w:rPr>
          <w:color w:val="131413"/>
        </w:rPr>
        <w:t>date [</w:t>
      </w:r>
      <w:hyperlink w:history="true" w:anchor="_bookmark9">
        <w:r>
          <w:rPr>
            <w:color w:val="0000FF"/>
          </w:rPr>
          <w:t>5</w:t>
        </w:r>
      </w:hyperlink>
      <w:r>
        <w:rPr>
          <w:color w:val="131413"/>
        </w:rPr>
        <w:t>,</w:t>
      </w:r>
      <w:r>
        <w:rPr>
          <w:color w:val="131413"/>
          <w:spacing w:val="40"/>
        </w:rPr>
        <w:t> </w:t>
      </w:r>
      <w:hyperlink w:history="true" w:anchor="_bookmark29">
        <w:r>
          <w:rPr>
            <w:color w:val="0000FF"/>
          </w:rPr>
          <w:t>32</w:t>
        </w:r>
      </w:hyperlink>
      <w:r>
        <w:rPr>
          <w:color w:val="131413"/>
        </w:rPr>
        <w:t>].</w:t>
      </w:r>
      <w:r>
        <w:rPr>
          <w:color w:val="131413"/>
          <w:spacing w:val="40"/>
        </w:rPr>
        <w:t> </w:t>
      </w:r>
      <w:r>
        <w:rPr>
          <w:color w:val="131413"/>
        </w:rPr>
        <w:t>In</w:t>
      </w:r>
      <w:r>
        <w:rPr>
          <w:color w:val="131413"/>
          <w:spacing w:val="40"/>
        </w:rPr>
        <w:t> </w:t>
      </w:r>
      <w:r>
        <w:rPr>
          <w:color w:val="131413"/>
        </w:rPr>
        <w:t>2011,</w:t>
      </w:r>
      <w:r>
        <w:rPr>
          <w:color w:val="131413"/>
          <w:spacing w:val="40"/>
        </w:rPr>
        <w:t> </w:t>
      </w:r>
      <w:r>
        <w:rPr>
          <w:color w:val="131413"/>
        </w:rPr>
        <w:t>Tang</w:t>
      </w:r>
      <w:r>
        <w:rPr>
          <w:color w:val="131413"/>
          <w:spacing w:val="40"/>
        </w:rPr>
        <w:t> </w:t>
      </w:r>
      <w:r>
        <w:rPr>
          <w:color w:val="131413"/>
        </w:rPr>
        <w:t>et</w:t>
      </w:r>
      <w:r>
        <w:rPr>
          <w:color w:val="131413"/>
          <w:spacing w:val="40"/>
        </w:rPr>
        <w:t> </w:t>
      </w:r>
      <w:r>
        <w:rPr>
          <w:color w:val="131413"/>
        </w:rPr>
        <w:t>al.</w:t>
      </w:r>
      <w:r>
        <w:rPr>
          <w:color w:val="131413"/>
          <w:spacing w:val="40"/>
        </w:rPr>
        <w:t> </w:t>
      </w:r>
      <w:r>
        <w:rPr>
          <w:color w:val="131413"/>
        </w:rPr>
        <w:t>first</w:t>
      </w:r>
      <w:r>
        <w:rPr>
          <w:color w:val="131413"/>
          <w:spacing w:val="40"/>
        </w:rPr>
        <w:t> </w:t>
      </w:r>
      <w:r>
        <w:rPr>
          <w:color w:val="131413"/>
        </w:rPr>
        <w:t>reported</w:t>
      </w:r>
      <w:r>
        <w:rPr>
          <w:color w:val="131413"/>
          <w:spacing w:val="40"/>
        </w:rPr>
        <w:t> </w:t>
      </w:r>
      <w:r>
        <w:rPr>
          <w:color w:val="131413"/>
        </w:rPr>
        <w:t>a</w:t>
      </w:r>
      <w:r>
        <w:rPr>
          <w:color w:val="131413"/>
          <w:spacing w:val="40"/>
        </w:rPr>
        <w:t> </w:t>
      </w:r>
      <w:r>
        <w:rPr>
          <w:color w:val="131413"/>
        </w:rPr>
        <w:t>heterozy- gous large intragenic deletion (exons 15</w:t>
      </w:r>
      <w:r>
        <w:rPr>
          <w:rFonts w:ascii="Arial" w:hAnsi="Arial"/>
          <w:color w:val="131413"/>
        </w:rPr>
        <w:t>–</w:t>
      </w:r>
      <w:r>
        <w:rPr>
          <w:color w:val="131413"/>
        </w:rPr>
        <w:t>21) with a common</w:t>
      </w:r>
      <w:r>
        <w:rPr>
          <w:color w:val="131413"/>
          <w:spacing w:val="50"/>
        </w:rPr>
        <w:t> </w:t>
      </w:r>
      <w:r>
        <w:rPr>
          <w:color w:val="131413"/>
        </w:rPr>
        <w:t>p.Ala467Thr</w:t>
      </w:r>
      <w:r>
        <w:rPr>
          <w:color w:val="131413"/>
          <w:spacing w:val="49"/>
        </w:rPr>
        <w:t> </w:t>
      </w:r>
      <w:r>
        <w:rPr>
          <w:color w:val="131413"/>
        </w:rPr>
        <w:t>variant</w:t>
      </w:r>
      <w:r>
        <w:rPr>
          <w:color w:val="131413"/>
          <w:spacing w:val="49"/>
        </w:rPr>
        <w:t> </w:t>
      </w:r>
      <w:r>
        <w:rPr>
          <w:color w:val="131413"/>
        </w:rPr>
        <w:t>in</w:t>
      </w:r>
      <w:r>
        <w:rPr>
          <w:color w:val="131413"/>
          <w:spacing w:val="49"/>
        </w:rPr>
        <w:t> </w:t>
      </w:r>
      <w:r>
        <w:rPr>
          <w:color w:val="131413"/>
        </w:rPr>
        <w:t>the</w:t>
      </w:r>
      <w:r>
        <w:rPr>
          <w:color w:val="131413"/>
          <w:spacing w:val="50"/>
        </w:rPr>
        <w:t> </w:t>
      </w:r>
      <w:r>
        <w:rPr>
          <w:i/>
          <w:color w:val="131413"/>
        </w:rPr>
        <w:t>POLG</w:t>
      </w:r>
      <w:r>
        <w:rPr>
          <w:i/>
          <w:color w:val="131413"/>
          <w:spacing w:val="49"/>
        </w:rPr>
        <w:t> </w:t>
      </w:r>
      <w:r>
        <w:rPr>
          <w:color w:val="131413"/>
        </w:rPr>
        <w:t>gene</w:t>
      </w:r>
      <w:r>
        <w:rPr>
          <w:color w:val="131413"/>
          <w:spacing w:val="49"/>
        </w:rPr>
        <w:t> </w:t>
      </w:r>
      <w:r>
        <w:rPr>
          <w:color w:val="131413"/>
        </w:rPr>
        <w:t>in</w:t>
      </w:r>
      <w:r>
        <w:rPr>
          <w:color w:val="131413"/>
          <w:spacing w:val="50"/>
        </w:rPr>
        <w:t> </w:t>
      </w:r>
      <w:r>
        <w:rPr>
          <w:color w:val="131413"/>
          <w:spacing w:val="-5"/>
        </w:rPr>
        <w:t>an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6" w:space="307"/>
            <w:col w:w="4823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701"/>
      </w:pPr>
      <w:r>
        <w:rPr/>
        <w:drawing>
          <wp:inline distT="0" distB="0" distL="0" distR="0">
            <wp:extent cx="5410354" cy="455676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354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910" w:h="15820"/>
          <w:pgMar w:header="0" w:footer="902" w:top="900" w:bottom="1100" w:left="992" w:right="992"/>
        </w:sectPr>
      </w:pPr>
    </w:p>
    <w:p>
      <w:pPr>
        <w:spacing w:line="244" w:lineRule="auto" w:before="27"/>
        <w:ind w:left="28" w:right="0" w:firstLine="0"/>
        <w:jc w:val="both"/>
        <w:rPr>
          <w:sz w:val="17"/>
        </w:rPr>
      </w:pPr>
      <w:bookmarkStart w:name="_bookmark3" w:id="32"/>
      <w:bookmarkEnd w:id="32"/>
      <w:r>
        <w:rPr/>
      </w:r>
      <w:r>
        <w:rPr>
          <w:rFonts w:ascii="Arial" w:hAnsi="Arial"/>
          <w:color w:val="131413"/>
          <w:sz w:val="17"/>
        </w:rPr>
        <w:t>Fig.</w:t>
      </w:r>
      <w:r>
        <w:rPr>
          <w:rFonts w:ascii="Arial" w:hAnsi="Arial"/>
          <w:color w:val="131413"/>
          <w:spacing w:val="-12"/>
          <w:sz w:val="17"/>
        </w:rPr>
        <w:t> </w:t>
      </w:r>
      <w:r>
        <w:rPr>
          <w:rFonts w:ascii="Arial" w:hAnsi="Arial"/>
          <w:color w:val="131413"/>
          <w:sz w:val="17"/>
        </w:rPr>
        <w:t>4</w:t>
      </w:r>
      <w:r>
        <w:rPr>
          <w:rFonts w:ascii="Arial" w:hAnsi="Arial"/>
          <w:color w:val="131413"/>
          <w:spacing w:val="-12"/>
          <w:sz w:val="17"/>
        </w:rPr>
        <w:t> </w:t>
      </w:r>
      <w:r>
        <w:rPr>
          <w:color w:val="131413"/>
          <w:sz w:val="17"/>
        </w:rPr>
        <w:t>Western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blotting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analysis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mitochondrial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proteins.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analysis of five OXPHOS subunits encoded by the mitochondrial and nuclear genes. In total, 5 </w:t>
      </w:r>
      <w:r>
        <w:rPr>
          <w:rFonts w:ascii="Arial" w:hAnsi="Arial"/>
          <w:color w:val="131413"/>
          <w:sz w:val="17"/>
        </w:rPr>
        <w:t>μ</w:t>
      </w:r>
      <w:r>
        <w:rPr>
          <w:color w:val="131413"/>
          <w:sz w:val="17"/>
        </w:rPr>
        <w:t>g of total protein from the muscle tissue of the patient (P) and controls (C) was analyzed. GAPDH was used as a loading control. Analysis of five mtDNA-encoded subunits (ND1, ND4,</w:t>
      </w:r>
      <w:r>
        <w:rPr>
          <w:color w:val="131413"/>
          <w:spacing w:val="11"/>
          <w:sz w:val="17"/>
        </w:rPr>
        <w:t> </w:t>
      </w:r>
      <w:r>
        <w:rPr>
          <w:color w:val="131413"/>
          <w:sz w:val="17"/>
        </w:rPr>
        <w:t>ND5,</w:t>
      </w:r>
      <w:r>
        <w:rPr>
          <w:color w:val="131413"/>
          <w:spacing w:val="12"/>
          <w:sz w:val="17"/>
        </w:rPr>
        <w:t> </w:t>
      </w:r>
      <w:r>
        <w:rPr>
          <w:color w:val="131413"/>
          <w:sz w:val="17"/>
        </w:rPr>
        <w:t>CYB,</w:t>
      </w:r>
      <w:r>
        <w:rPr>
          <w:color w:val="131413"/>
          <w:spacing w:val="12"/>
          <w:sz w:val="17"/>
        </w:rPr>
        <w:t> </w:t>
      </w:r>
      <w:r>
        <w:rPr>
          <w:color w:val="131413"/>
          <w:sz w:val="17"/>
        </w:rPr>
        <w:t>CO1)</w:t>
      </w:r>
      <w:r>
        <w:rPr>
          <w:color w:val="131413"/>
          <w:spacing w:val="12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12"/>
          <w:sz w:val="17"/>
        </w:rPr>
        <w:t> </w:t>
      </w:r>
      <w:r>
        <w:rPr>
          <w:color w:val="131413"/>
          <w:sz w:val="17"/>
        </w:rPr>
        <w:t>four</w:t>
      </w:r>
      <w:r>
        <w:rPr>
          <w:color w:val="131413"/>
          <w:spacing w:val="11"/>
          <w:sz w:val="17"/>
        </w:rPr>
        <w:t> </w:t>
      </w:r>
      <w:r>
        <w:rPr>
          <w:color w:val="131413"/>
          <w:sz w:val="17"/>
        </w:rPr>
        <w:t>nDNA-encoded</w:t>
      </w:r>
      <w:r>
        <w:rPr>
          <w:color w:val="131413"/>
          <w:spacing w:val="13"/>
          <w:sz w:val="17"/>
        </w:rPr>
        <w:t> </w:t>
      </w:r>
      <w:r>
        <w:rPr>
          <w:color w:val="131413"/>
          <w:sz w:val="17"/>
        </w:rPr>
        <w:t>subunits</w:t>
      </w:r>
      <w:r>
        <w:rPr>
          <w:color w:val="131413"/>
          <w:spacing w:val="12"/>
          <w:sz w:val="17"/>
        </w:rPr>
        <w:t> </w:t>
      </w:r>
      <w:r>
        <w:rPr>
          <w:color w:val="131413"/>
          <w:spacing w:val="-2"/>
          <w:sz w:val="17"/>
        </w:rPr>
        <w:t>(ATP5A,</w:t>
      </w:r>
    </w:p>
    <w:p>
      <w:pPr>
        <w:spacing w:line="244" w:lineRule="auto" w:before="27"/>
        <w:ind w:left="28" w:right="25" w:firstLine="0"/>
        <w:jc w:val="both"/>
        <w:rPr>
          <w:sz w:val="17"/>
        </w:rPr>
      </w:pPr>
      <w:r>
        <w:rPr/>
        <w:br w:type="column"/>
      </w:r>
      <w:r>
        <w:rPr>
          <w:color w:val="131413"/>
          <w:sz w:val="17"/>
        </w:rPr>
        <w:t>CO4, SDHB, and NDUFB8). In total, 20 </w:t>
      </w:r>
      <w:r>
        <w:rPr>
          <w:rFonts w:ascii="Arial" w:hAnsi="Arial"/>
          <w:color w:val="131413"/>
          <w:sz w:val="17"/>
        </w:rPr>
        <w:t>μ</w:t>
      </w:r>
      <w:r>
        <w:rPr>
          <w:color w:val="131413"/>
          <w:sz w:val="17"/>
        </w:rPr>
        <w:t>g samples of protein from mutant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control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LCLs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were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analyzed.</w:t>
      </w:r>
      <w:r>
        <w:rPr>
          <w:color w:val="131413"/>
          <w:spacing w:val="-10"/>
          <w:sz w:val="17"/>
        </w:rPr>
        <w:t> </w:t>
      </w:r>
      <w:r>
        <w:rPr>
          <w:rFonts w:ascii="Arial" w:hAnsi="Arial"/>
          <w:color w:val="131413"/>
          <w:sz w:val="17"/>
        </w:rPr>
        <w:t>β</w:t>
      </w:r>
      <w:r>
        <w:rPr>
          <w:color w:val="131413"/>
          <w:sz w:val="17"/>
        </w:rPr>
        <w:t>-Actin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was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used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loading control. The average levels of mitochondrial protein levels in mutant LCLs were compared to those in the control group. Values are from three separate experiments</w:t>
      </w:r>
    </w:p>
    <w:p>
      <w:pPr>
        <w:spacing w:after="0" w:line="244" w:lineRule="auto"/>
        <w:jc w:val="both"/>
        <w:rPr>
          <w:sz w:val="17"/>
        </w:rPr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4" w:space="308"/>
            <w:col w:w="4824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type w:val="continuous"/>
          <w:pgSz w:w="11910" w:h="15820"/>
          <w:pgMar w:header="0" w:footer="902" w:top="580" w:bottom="1100" w:left="992" w:right="992"/>
        </w:sectPr>
      </w:pPr>
    </w:p>
    <w:p>
      <w:pPr>
        <w:pStyle w:val="BodyText"/>
        <w:spacing w:line="259" w:lineRule="auto" w:before="87"/>
        <w:ind w:left="28"/>
        <w:jc w:val="both"/>
      </w:pPr>
      <w:r>
        <w:rPr>
          <w:color w:val="131413"/>
        </w:rPr>
        <w:t>Alpers syndrome patient [</w:t>
      </w:r>
      <w:hyperlink w:history="true" w:anchor="_bookmark30">
        <w:r>
          <w:rPr>
            <w:color w:val="0000FF"/>
          </w:rPr>
          <w:t>33</w:t>
        </w:r>
      </w:hyperlink>
      <w:r>
        <w:rPr>
          <w:color w:val="131413"/>
        </w:rPr>
        <w:t>]. In 2014, Rouzier et al. demonstrated the presence of a heterozygous large intra- genic deletion mutation (intron 21</w:t>
      </w:r>
      <w:r>
        <w:rPr>
          <w:rFonts w:ascii="Arial" w:hAnsi="Arial"/>
          <w:color w:val="131413"/>
        </w:rPr>
        <w:t>–</w:t>
      </w:r>
      <w:r>
        <w:rPr>
          <w:color w:val="131413"/>
        </w:rPr>
        <w:t>exon 22) and a </w:t>
      </w:r>
      <w:r>
        <w:rPr>
          <w:color w:val="131413"/>
          <w:spacing w:val="12"/>
        </w:rPr>
        <w:t>p.Trp748Ser</w:t>
      </w:r>
      <w:r>
        <w:rPr>
          <w:color w:val="131413"/>
          <w:spacing w:val="12"/>
        </w:rPr>
        <w:t> mutation</w:t>
      </w:r>
      <w:r>
        <w:rPr>
          <w:color w:val="131413"/>
          <w:spacing w:val="12"/>
        </w:rPr>
        <w:t> </w:t>
      </w:r>
      <w:r>
        <w:rPr>
          <w:color w:val="131413"/>
        </w:rPr>
        <w:t>in a </w:t>
      </w:r>
      <w:r>
        <w:rPr>
          <w:color w:val="131413"/>
          <w:spacing w:val="11"/>
        </w:rPr>
        <w:t>child</w:t>
      </w:r>
      <w:r>
        <w:rPr>
          <w:color w:val="131413"/>
          <w:spacing w:val="11"/>
        </w:rPr>
        <w:t> </w:t>
      </w:r>
      <w:r>
        <w:rPr>
          <w:color w:val="131413"/>
          <w:spacing w:val="10"/>
        </w:rPr>
        <w:t>with</w:t>
      </w:r>
      <w:r>
        <w:rPr>
          <w:color w:val="131413"/>
          <w:spacing w:val="10"/>
        </w:rPr>
        <w:t> </w:t>
      </w:r>
      <w:r>
        <w:rPr>
          <w:color w:val="131413"/>
          <w:spacing w:val="14"/>
        </w:rPr>
        <w:t>refractory </w:t>
      </w:r>
      <w:r>
        <w:rPr>
          <w:color w:val="131413"/>
        </w:rPr>
        <w:t>epilepsia</w:t>
      </w:r>
      <w:r>
        <w:rPr>
          <w:color w:val="131413"/>
          <w:spacing w:val="40"/>
        </w:rPr>
        <w:t> </w:t>
      </w:r>
      <w:r>
        <w:rPr>
          <w:color w:val="131413"/>
        </w:rPr>
        <w:t>partialis</w:t>
      </w:r>
      <w:r>
        <w:rPr>
          <w:color w:val="131413"/>
          <w:spacing w:val="40"/>
        </w:rPr>
        <w:t> </w:t>
      </w:r>
      <w:r>
        <w:rPr>
          <w:color w:val="131413"/>
        </w:rPr>
        <w:t>continua</w:t>
      </w:r>
      <w:r>
        <w:rPr>
          <w:color w:val="131413"/>
          <w:spacing w:val="40"/>
        </w:rPr>
        <w:t> </w:t>
      </w:r>
      <w:r>
        <w:rPr>
          <w:color w:val="131413"/>
        </w:rPr>
        <w:t>[</w:t>
      </w:r>
      <w:hyperlink w:history="true" w:anchor="_bookmark31">
        <w:r>
          <w:rPr>
            <w:color w:val="0000FF"/>
          </w:rPr>
          <w:t>34</w:t>
        </w:r>
      </w:hyperlink>
      <w:r>
        <w:rPr>
          <w:color w:val="131413"/>
        </w:rPr>
        <w:t>].</w:t>
      </w:r>
      <w:r>
        <w:rPr>
          <w:color w:val="131413"/>
          <w:spacing w:val="40"/>
        </w:rPr>
        <w:t> </w:t>
      </w:r>
      <w:r>
        <w:rPr>
          <w:color w:val="131413"/>
        </w:rPr>
        <w:t>According</w:t>
      </w:r>
      <w:r>
        <w:rPr>
          <w:color w:val="131413"/>
          <w:spacing w:val="40"/>
        </w:rPr>
        <w:t> </w:t>
      </w:r>
      <w:r>
        <w:rPr>
          <w:color w:val="131413"/>
        </w:rPr>
        <w:t>to</w:t>
      </w:r>
      <w:r>
        <w:rPr>
          <w:color w:val="131413"/>
          <w:spacing w:val="40"/>
        </w:rPr>
        <w:t> </w:t>
      </w:r>
      <w:r>
        <w:rPr>
          <w:color w:val="131413"/>
          <w:spacing w:val="9"/>
        </w:rPr>
        <w:t>the </w:t>
      </w:r>
      <w:r>
        <w:rPr>
          <w:color w:val="131413"/>
        </w:rPr>
        <w:t>ACMG guidelines for the classification of sequence var- iants,</w:t>
      </w:r>
      <w:r>
        <w:rPr>
          <w:color w:val="131413"/>
          <w:spacing w:val="40"/>
        </w:rPr>
        <w:t> </w:t>
      </w:r>
      <w:r>
        <w:rPr>
          <w:color w:val="131413"/>
        </w:rPr>
        <w:t>large</w:t>
      </w:r>
      <w:r>
        <w:rPr>
          <w:color w:val="131413"/>
          <w:spacing w:val="40"/>
        </w:rPr>
        <w:t> </w:t>
      </w:r>
      <w:r>
        <w:rPr>
          <w:color w:val="131413"/>
        </w:rPr>
        <w:t>deletions</w:t>
      </w:r>
      <w:r>
        <w:rPr>
          <w:color w:val="131413"/>
          <w:spacing w:val="40"/>
        </w:rPr>
        <w:t> </w:t>
      </w:r>
      <w:r>
        <w:rPr>
          <w:color w:val="131413"/>
        </w:rPr>
        <w:t>are</w:t>
      </w:r>
      <w:r>
        <w:rPr>
          <w:color w:val="131413"/>
          <w:spacing w:val="40"/>
        </w:rPr>
        <w:t> </w:t>
      </w:r>
      <w:r>
        <w:rPr>
          <w:color w:val="131413"/>
        </w:rPr>
        <w:t>deleterious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0"/>
        </w:rPr>
        <w:t> </w:t>
      </w:r>
      <w:r>
        <w:rPr>
          <w:color w:val="131413"/>
        </w:rPr>
        <w:t>thus</w:t>
      </w:r>
      <w:r>
        <w:rPr>
          <w:color w:val="131413"/>
          <w:spacing w:val="40"/>
        </w:rPr>
        <w:t> </w:t>
      </w:r>
      <w:r>
        <w:rPr>
          <w:color w:val="131413"/>
        </w:rPr>
        <w:t>represent the</w:t>
      </w:r>
      <w:r>
        <w:rPr>
          <w:color w:val="131413"/>
          <w:spacing w:val="40"/>
        </w:rPr>
        <w:t> </w:t>
      </w:r>
      <w:r>
        <w:rPr>
          <w:color w:val="131413"/>
        </w:rPr>
        <w:t>best</w:t>
      </w:r>
      <w:r>
        <w:rPr>
          <w:color w:val="131413"/>
          <w:spacing w:val="40"/>
        </w:rPr>
        <w:t> </w:t>
      </w:r>
      <w:r>
        <w:rPr>
          <w:color w:val="131413"/>
        </w:rPr>
        <w:t>candidates</w:t>
      </w:r>
      <w:r>
        <w:rPr>
          <w:color w:val="131413"/>
          <w:spacing w:val="40"/>
        </w:rPr>
        <w:t> </w:t>
      </w:r>
      <w:r>
        <w:rPr>
          <w:color w:val="131413"/>
        </w:rPr>
        <w:t>for</w:t>
      </w:r>
      <w:r>
        <w:rPr>
          <w:color w:val="131413"/>
          <w:spacing w:val="40"/>
        </w:rPr>
        <w:t> </w:t>
      </w:r>
      <w:r>
        <w:rPr>
          <w:color w:val="131413"/>
        </w:rPr>
        <w:t>pathogenic</w:t>
      </w:r>
      <w:r>
        <w:rPr>
          <w:color w:val="131413"/>
          <w:spacing w:val="40"/>
        </w:rPr>
        <w:t> </w:t>
      </w:r>
      <w:r>
        <w:rPr>
          <w:color w:val="131413"/>
        </w:rPr>
        <w:t>variants</w:t>
      </w:r>
      <w:r>
        <w:rPr>
          <w:color w:val="131413"/>
          <w:spacing w:val="40"/>
        </w:rPr>
        <w:t> </w:t>
      </w:r>
      <w:r>
        <w:rPr>
          <w:color w:val="131413"/>
        </w:rPr>
        <w:t>[</w:t>
      </w:r>
      <w:hyperlink w:history="true" w:anchor="_bookmark32">
        <w:r>
          <w:rPr>
            <w:color w:val="0000FF"/>
          </w:rPr>
          <w:t>35</w:t>
        </w:r>
      </w:hyperlink>
      <w:r>
        <w:rPr>
          <w:color w:val="131413"/>
        </w:rPr>
        <w:t>].</w:t>
      </w:r>
      <w:r>
        <w:rPr>
          <w:color w:val="131413"/>
          <w:spacing w:val="40"/>
        </w:rPr>
        <w:t> </w:t>
      </w:r>
      <w:r>
        <w:rPr>
          <w:color w:val="131413"/>
        </w:rPr>
        <w:t>The case reported in the present study was the third patient found</w:t>
      </w:r>
      <w:r>
        <w:rPr>
          <w:color w:val="131413"/>
          <w:spacing w:val="40"/>
        </w:rPr>
        <w:t> </w:t>
      </w:r>
      <w:r>
        <w:rPr>
          <w:color w:val="131413"/>
        </w:rPr>
        <w:t>to</w:t>
      </w:r>
      <w:r>
        <w:rPr>
          <w:color w:val="131413"/>
          <w:spacing w:val="40"/>
        </w:rPr>
        <w:t> </w:t>
      </w:r>
      <w:r>
        <w:rPr>
          <w:color w:val="131413"/>
        </w:rPr>
        <w:t>harbor</w:t>
      </w:r>
      <w:r>
        <w:rPr>
          <w:color w:val="131413"/>
          <w:spacing w:val="40"/>
        </w:rPr>
        <w:t> </w:t>
      </w:r>
      <w:r>
        <w:rPr>
          <w:color w:val="131413"/>
        </w:rPr>
        <w:t>large</w:t>
      </w:r>
      <w:r>
        <w:rPr>
          <w:color w:val="131413"/>
          <w:spacing w:val="40"/>
        </w:rPr>
        <w:t> </w:t>
      </w:r>
      <w:r>
        <w:rPr>
          <w:color w:val="131413"/>
        </w:rPr>
        <w:t>deletion</w:t>
      </w:r>
      <w:r>
        <w:rPr>
          <w:color w:val="131413"/>
          <w:spacing w:val="40"/>
        </w:rPr>
        <w:t> </w:t>
      </w:r>
      <w:r>
        <w:rPr>
          <w:color w:val="131413"/>
        </w:rPr>
        <w:t>mutation</w:t>
      </w:r>
      <w:r>
        <w:rPr>
          <w:color w:val="131413"/>
          <w:spacing w:val="40"/>
        </w:rPr>
        <w:t> </w:t>
      </w:r>
      <w:r>
        <w:rPr>
          <w:color w:val="131413"/>
        </w:rPr>
        <w:t>in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i/>
          <w:color w:val="131413"/>
        </w:rPr>
        <w:t>POLG </w:t>
      </w:r>
      <w:r>
        <w:rPr>
          <w:color w:val="131413"/>
        </w:rPr>
        <w:t>gene</w:t>
      </w:r>
      <w:r>
        <w:rPr>
          <w:color w:val="131413"/>
          <w:spacing w:val="40"/>
        </w:rPr>
        <w:t> </w:t>
      </w:r>
      <w:r>
        <w:rPr>
          <w:color w:val="131413"/>
        </w:rPr>
        <w:t>to</w:t>
      </w:r>
      <w:r>
        <w:rPr>
          <w:color w:val="131413"/>
          <w:spacing w:val="40"/>
        </w:rPr>
        <w:t> </w:t>
      </w:r>
      <w:r>
        <w:rPr>
          <w:color w:val="131413"/>
        </w:rPr>
        <w:t>date.</w:t>
      </w:r>
    </w:p>
    <w:p>
      <w:pPr>
        <w:pStyle w:val="BodyText"/>
        <w:spacing w:line="259" w:lineRule="auto" w:before="7"/>
        <w:ind w:left="28" w:right="7" w:firstLine="226"/>
        <w:jc w:val="both"/>
      </w:pPr>
      <w:r>
        <w:rPr>
          <w:color w:val="131413"/>
        </w:rPr>
        <w:t>We assessed the pathogenicity of the novel p.T599I variant. First, this variant fully co-segregated with the observed disease phenotype. The affected amino acid residue</w:t>
      </w:r>
      <w:r>
        <w:rPr>
          <w:color w:val="131413"/>
          <w:spacing w:val="40"/>
        </w:rPr>
        <w:t> </w:t>
      </w:r>
      <w:r>
        <w:rPr>
          <w:color w:val="131413"/>
        </w:rPr>
        <w:t>was</w:t>
      </w:r>
      <w:r>
        <w:rPr>
          <w:color w:val="131413"/>
          <w:spacing w:val="40"/>
        </w:rPr>
        <w:t> </w:t>
      </w:r>
      <w:r>
        <w:rPr>
          <w:color w:val="131413"/>
        </w:rPr>
        <w:t>highly</w:t>
      </w:r>
      <w:r>
        <w:rPr>
          <w:color w:val="131413"/>
          <w:spacing w:val="40"/>
        </w:rPr>
        <w:t> </w:t>
      </w:r>
      <w:r>
        <w:rPr>
          <w:color w:val="131413"/>
        </w:rPr>
        <w:t>conserved</w:t>
      </w:r>
      <w:r>
        <w:rPr>
          <w:color w:val="131413"/>
          <w:spacing w:val="40"/>
        </w:rPr>
        <w:t> </w:t>
      </w:r>
      <w:r>
        <w:rPr>
          <w:color w:val="131413"/>
        </w:rPr>
        <w:t>across</w:t>
      </w:r>
      <w:r>
        <w:rPr>
          <w:color w:val="131413"/>
          <w:spacing w:val="40"/>
        </w:rPr>
        <w:t> </w:t>
      </w:r>
      <w:r>
        <w:rPr>
          <w:color w:val="131413"/>
        </w:rPr>
        <w:t>various</w:t>
      </w:r>
      <w:r>
        <w:rPr>
          <w:color w:val="131413"/>
          <w:spacing w:val="40"/>
        </w:rPr>
        <w:t> </w:t>
      </w:r>
      <w:r>
        <w:rPr>
          <w:color w:val="131413"/>
        </w:rPr>
        <w:t>species,</w:t>
      </w:r>
      <w:r>
        <w:rPr>
          <w:color w:val="131413"/>
          <w:spacing w:val="40"/>
        </w:rPr>
        <w:t> </w:t>
      </w:r>
      <w:r>
        <w:rPr>
          <w:color w:val="131413"/>
        </w:rPr>
        <w:t>and the PolyPhen and MutationTaster predictive tools designated this variant as being damaging. Second, the threonine</w:t>
      </w:r>
      <w:r>
        <w:rPr>
          <w:color w:val="131413"/>
          <w:spacing w:val="45"/>
        </w:rPr>
        <w:t> </w:t>
      </w:r>
      <w:r>
        <w:rPr>
          <w:color w:val="131413"/>
        </w:rPr>
        <w:t>at</w:t>
      </w:r>
      <w:r>
        <w:rPr>
          <w:color w:val="131413"/>
          <w:spacing w:val="45"/>
        </w:rPr>
        <w:t> </w:t>
      </w:r>
      <w:r>
        <w:rPr>
          <w:color w:val="131413"/>
        </w:rPr>
        <w:t>position</w:t>
      </w:r>
      <w:r>
        <w:rPr>
          <w:color w:val="131413"/>
          <w:spacing w:val="45"/>
        </w:rPr>
        <w:t> </w:t>
      </w:r>
      <w:r>
        <w:rPr>
          <w:color w:val="131413"/>
        </w:rPr>
        <w:t>599</w:t>
      </w:r>
      <w:r>
        <w:rPr>
          <w:color w:val="131413"/>
          <w:spacing w:val="46"/>
        </w:rPr>
        <w:t> </w:t>
      </w:r>
      <w:r>
        <w:rPr>
          <w:color w:val="131413"/>
        </w:rPr>
        <w:t>is</w:t>
      </w:r>
      <w:r>
        <w:rPr>
          <w:color w:val="131413"/>
          <w:spacing w:val="46"/>
        </w:rPr>
        <w:t> </w:t>
      </w:r>
      <w:r>
        <w:rPr>
          <w:color w:val="131413"/>
        </w:rPr>
        <w:t>a</w:t>
      </w:r>
      <w:r>
        <w:rPr>
          <w:color w:val="131413"/>
          <w:spacing w:val="45"/>
        </w:rPr>
        <w:t> </w:t>
      </w:r>
      <w:r>
        <w:rPr>
          <w:color w:val="131413"/>
        </w:rPr>
        <w:t>crucial</w:t>
      </w:r>
      <w:r>
        <w:rPr>
          <w:color w:val="131413"/>
          <w:spacing w:val="45"/>
        </w:rPr>
        <w:t> </w:t>
      </w:r>
      <w:r>
        <w:rPr>
          <w:color w:val="131413"/>
        </w:rPr>
        <w:t>residue</w:t>
      </w:r>
      <w:r>
        <w:rPr>
          <w:color w:val="131413"/>
          <w:spacing w:val="45"/>
        </w:rPr>
        <w:t> </w:t>
      </w:r>
      <w:r>
        <w:rPr>
          <w:color w:val="131413"/>
          <w:spacing w:val="-2"/>
        </w:rPr>
        <w:t>important</w:t>
      </w:r>
    </w:p>
    <w:p>
      <w:pPr>
        <w:pStyle w:val="BodyText"/>
        <w:spacing w:line="259" w:lineRule="auto" w:before="87"/>
        <w:ind w:left="28" w:right="4"/>
        <w:jc w:val="both"/>
      </w:pPr>
      <w:r>
        <w:rPr/>
        <w:br w:type="column"/>
      </w:r>
      <w:r>
        <w:rPr>
          <w:color w:val="131413"/>
        </w:rPr>
        <w:t>for binding to upstream DNA. Using the PyMOL soft- ware, we found that the mutation of Thr-599 to Ile-599 disrupts hydrogen bond formation between residues 599 and 593, leading to the instability of the original hydro-</w:t>
      </w:r>
      <w:r>
        <w:rPr>
          <w:color w:val="131413"/>
          <w:spacing w:val="80"/>
        </w:rPr>
        <w:t> </w:t>
      </w:r>
      <w:r>
        <w:rPr>
          <w:color w:val="131413"/>
        </w:rPr>
        <w:t>gen bonding framework and interfering with normal conformational transmission. Third, the novel T599I missense</w:t>
      </w:r>
      <w:r>
        <w:rPr>
          <w:color w:val="131413"/>
          <w:spacing w:val="40"/>
        </w:rPr>
        <w:t> </w:t>
      </w:r>
      <w:r>
        <w:rPr>
          <w:color w:val="131413"/>
        </w:rPr>
        <w:t>variant</w:t>
      </w:r>
      <w:r>
        <w:rPr>
          <w:color w:val="131413"/>
          <w:spacing w:val="40"/>
        </w:rPr>
        <w:t> </w:t>
      </w:r>
      <w:r>
        <w:rPr>
          <w:color w:val="131413"/>
        </w:rPr>
        <w:t>affected</w:t>
      </w:r>
      <w:r>
        <w:rPr>
          <w:color w:val="131413"/>
          <w:spacing w:val="40"/>
        </w:rPr>
        <w:t> </w:t>
      </w:r>
      <w:r>
        <w:rPr>
          <w:color w:val="131413"/>
        </w:rPr>
        <w:t>a</w:t>
      </w:r>
      <w:r>
        <w:rPr>
          <w:color w:val="131413"/>
          <w:spacing w:val="40"/>
        </w:rPr>
        <w:t> </w:t>
      </w:r>
      <w:r>
        <w:rPr>
          <w:color w:val="131413"/>
        </w:rPr>
        <w:t>highly</w:t>
      </w:r>
      <w:r>
        <w:rPr>
          <w:color w:val="131413"/>
          <w:spacing w:val="40"/>
        </w:rPr>
        <w:t> </w:t>
      </w:r>
      <w:r>
        <w:rPr>
          <w:color w:val="131413"/>
        </w:rPr>
        <w:t>conserved</w:t>
      </w:r>
      <w:r>
        <w:rPr>
          <w:color w:val="131413"/>
          <w:spacing w:val="40"/>
        </w:rPr>
        <w:t> </w:t>
      </w:r>
      <w:r>
        <w:rPr>
          <w:color w:val="131413"/>
        </w:rPr>
        <w:t>residue</w:t>
      </w:r>
      <w:r>
        <w:rPr>
          <w:color w:val="131413"/>
          <w:spacing w:val="40"/>
        </w:rPr>
        <w:t> </w:t>
      </w:r>
      <w:r>
        <w:rPr>
          <w:color w:val="131413"/>
        </w:rPr>
        <w:t>in the spacer domain. The spacer domain influences the conformation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wall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DNA-binding</w:t>
      </w:r>
      <w:r>
        <w:rPr>
          <w:color w:val="131413"/>
          <w:spacing w:val="40"/>
        </w:rPr>
        <w:t> </w:t>
      </w:r>
      <w:r>
        <w:rPr>
          <w:color w:val="131413"/>
        </w:rPr>
        <w:t>domain and is located between the exonuclease and polymerase </w:t>
      </w:r>
      <w:r>
        <w:rPr>
          <w:color w:val="131413"/>
          <w:spacing w:val="17"/>
        </w:rPr>
        <w:t>domains </w:t>
      </w:r>
      <w:r>
        <w:rPr>
          <w:color w:val="131413"/>
          <w:spacing w:val="16"/>
        </w:rPr>
        <w:t>where</w:t>
      </w:r>
      <w:r>
        <w:rPr>
          <w:color w:val="131413"/>
          <w:spacing w:val="16"/>
        </w:rPr>
        <w:t> </w:t>
      </w:r>
      <w:r>
        <w:rPr>
          <w:color w:val="131413"/>
          <w:spacing w:val="10"/>
        </w:rPr>
        <w:t>it is </w:t>
      </w:r>
      <w:r>
        <w:rPr>
          <w:color w:val="131413"/>
          <w:spacing w:val="18"/>
        </w:rPr>
        <w:t>connected</w:t>
      </w:r>
      <w:r>
        <w:rPr>
          <w:color w:val="131413"/>
          <w:spacing w:val="18"/>
        </w:rPr>
        <w:t> </w:t>
      </w:r>
      <w:r>
        <w:rPr>
          <w:color w:val="131413"/>
          <w:spacing w:val="10"/>
        </w:rPr>
        <w:t>by</w:t>
      </w:r>
      <w:r>
        <w:rPr>
          <w:color w:val="131413"/>
          <w:spacing w:val="10"/>
        </w:rPr>
        <w:t> </w:t>
      </w:r>
      <w:r>
        <w:rPr>
          <w:color w:val="131413"/>
          <w:spacing w:val="14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16"/>
        </w:rPr>
        <w:t>thumb </w:t>
      </w:r>
      <w:r>
        <w:rPr>
          <w:color w:val="131413"/>
        </w:rPr>
        <w:t>subdomains [</w:t>
      </w:r>
      <w:hyperlink w:history="true" w:anchor="_bookmark33">
        <w:r>
          <w:rPr>
            <w:color w:val="0000FF"/>
          </w:rPr>
          <w:t>36</w:t>
        </w:r>
      </w:hyperlink>
      <w:r>
        <w:rPr>
          <w:color w:val="131413"/>
        </w:rPr>
        <w:t>]. Using the PyMOL and UCSF chimera programs, we found that the T599I variant blocks the</w:t>
      </w:r>
      <w:r>
        <w:rPr>
          <w:color w:val="131413"/>
          <w:spacing w:val="40"/>
        </w:rPr>
        <w:t> </w:t>
      </w:r>
      <w:r>
        <w:rPr>
          <w:color w:val="131413"/>
        </w:rPr>
        <w:t>DNA-binding channel and results in decreased DNA- binding</w:t>
      </w:r>
      <w:r>
        <w:rPr>
          <w:color w:val="131413"/>
          <w:spacing w:val="40"/>
        </w:rPr>
        <w:t> </w:t>
      </w:r>
      <w:r>
        <w:rPr>
          <w:color w:val="131413"/>
        </w:rPr>
        <w:t>affinity.</w:t>
      </w:r>
    </w:p>
    <w:p>
      <w:pPr>
        <w:pStyle w:val="BodyText"/>
        <w:spacing w:line="259" w:lineRule="auto" w:before="11"/>
        <w:ind w:left="28" w:right="23" w:firstLine="226"/>
        <w:jc w:val="both"/>
      </w:pPr>
      <w:r>
        <w:rPr>
          <w:color w:val="131413"/>
        </w:rPr>
        <w:t>Most disease-causing missense variants in </w:t>
      </w:r>
      <w:r>
        <w:rPr>
          <w:i/>
          <w:color w:val="131413"/>
        </w:rPr>
        <w:t>POLG </w:t>
      </w:r>
      <w:r>
        <w:rPr>
          <w:color w:val="131413"/>
        </w:rPr>
        <w:t>are known to be associated with three common variations: p.A467T,</w:t>
      </w:r>
      <w:r>
        <w:rPr>
          <w:color w:val="131413"/>
          <w:spacing w:val="43"/>
        </w:rPr>
        <w:t> </w:t>
      </w:r>
      <w:r>
        <w:rPr>
          <w:color w:val="131413"/>
        </w:rPr>
        <w:t>p.W748S,</w:t>
      </w:r>
      <w:r>
        <w:rPr>
          <w:color w:val="131413"/>
          <w:spacing w:val="45"/>
        </w:rPr>
        <w:t> </w:t>
      </w:r>
      <w:r>
        <w:rPr>
          <w:color w:val="131413"/>
        </w:rPr>
        <w:t>and</w:t>
      </w:r>
      <w:r>
        <w:rPr>
          <w:color w:val="131413"/>
          <w:spacing w:val="45"/>
        </w:rPr>
        <w:t> </w:t>
      </w:r>
      <w:r>
        <w:rPr>
          <w:color w:val="131413"/>
        </w:rPr>
        <w:t>p.G848S</w:t>
      </w:r>
      <w:r>
        <w:rPr>
          <w:color w:val="131413"/>
          <w:spacing w:val="45"/>
        </w:rPr>
        <w:t> </w:t>
      </w:r>
      <w:r>
        <w:rPr>
          <w:color w:val="131413"/>
        </w:rPr>
        <w:t>[</w:t>
      </w:r>
      <w:hyperlink w:history="true" w:anchor="_bookmark20">
        <w:r>
          <w:rPr>
            <w:color w:val="0000FF"/>
          </w:rPr>
          <w:t>22</w:t>
        </w:r>
      </w:hyperlink>
      <w:r>
        <w:rPr>
          <w:color w:val="131413"/>
        </w:rPr>
        <w:t>,</w:t>
      </w:r>
      <w:r>
        <w:rPr>
          <w:color w:val="131413"/>
          <w:spacing w:val="45"/>
        </w:rPr>
        <w:t> </w:t>
      </w:r>
      <w:hyperlink w:history="true" w:anchor="_bookmark21">
        <w:r>
          <w:rPr>
            <w:color w:val="0000FF"/>
          </w:rPr>
          <w:t>23</w:t>
        </w:r>
      </w:hyperlink>
      <w:r>
        <w:rPr>
          <w:color w:val="131413"/>
        </w:rPr>
        <w:t>,</w:t>
      </w:r>
      <w:r>
        <w:rPr>
          <w:color w:val="131413"/>
          <w:spacing w:val="45"/>
        </w:rPr>
        <w:t> </w:t>
      </w:r>
      <w:hyperlink w:history="true" w:anchor="_bookmark34">
        <w:r>
          <w:rPr>
            <w:color w:val="0000FF"/>
          </w:rPr>
          <w:t>37</w:t>
        </w:r>
      </w:hyperlink>
      <w:r>
        <w:rPr>
          <w:rFonts w:ascii="Arial" w:hAnsi="Arial"/>
          <w:color w:val="131413"/>
        </w:rPr>
        <w:t>–</w:t>
      </w:r>
      <w:hyperlink w:history="true" w:anchor="_bookmark37">
        <w:r>
          <w:rPr>
            <w:color w:val="0000FF"/>
          </w:rPr>
          <w:t>40</w:t>
        </w:r>
      </w:hyperlink>
      <w:r>
        <w:rPr>
          <w:color w:val="131413"/>
        </w:rPr>
        <w:t>].</w:t>
      </w:r>
      <w:r>
        <w:rPr>
          <w:color w:val="131413"/>
          <w:spacing w:val="45"/>
        </w:rPr>
        <w:t> </w:t>
      </w:r>
      <w:r>
        <w:rPr>
          <w:color w:val="131413"/>
          <w:spacing w:val="-5"/>
        </w:rPr>
        <w:t>The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0" w:footer="902" w:top="580" w:bottom="1100" w:left="992" w:right="992"/>
          <w:cols w:num="2" w:equalWidth="0">
            <w:col w:w="4806" w:space="297"/>
            <w:col w:w="4823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701"/>
      </w:pPr>
      <w:r>
        <w:rPr/>
        <w:drawing>
          <wp:inline distT="0" distB="0" distL="0" distR="0">
            <wp:extent cx="5412722" cy="3956304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722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910" w:h="15820"/>
          <w:pgMar w:header="0" w:footer="902" w:top="900" w:bottom="1100" w:left="992" w:right="992"/>
        </w:sectPr>
      </w:pPr>
    </w:p>
    <w:p>
      <w:pPr>
        <w:spacing w:line="244" w:lineRule="auto" w:before="24"/>
        <w:ind w:left="28" w:right="0" w:firstLine="0"/>
        <w:jc w:val="both"/>
        <w:rPr>
          <w:sz w:val="17"/>
        </w:rPr>
      </w:pPr>
      <w:bookmarkStart w:name="_bookmark4" w:id="33"/>
      <w:bookmarkEnd w:id="33"/>
      <w:r>
        <w:rPr/>
      </w:r>
      <w:r>
        <w:rPr>
          <w:rFonts w:ascii="Arial"/>
          <w:color w:val="131413"/>
          <w:sz w:val="17"/>
        </w:rPr>
        <w:t>Fig.</w:t>
      </w:r>
      <w:r>
        <w:rPr>
          <w:rFonts w:ascii="Arial"/>
          <w:color w:val="131413"/>
          <w:spacing w:val="-12"/>
          <w:sz w:val="17"/>
        </w:rPr>
        <w:t> </w:t>
      </w:r>
      <w:r>
        <w:rPr>
          <w:rFonts w:ascii="Arial"/>
          <w:color w:val="131413"/>
          <w:sz w:val="17"/>
        </w:rPr>
        <w:t>5</w:t>
      </w:r>
      <w:r>
        <w:rPr>
          <w:rFonts w:ascii="Arial"/>
          <w:color w:val="131413"/>
          <w:spacing w:val="-12"/>
          <w:sz w:val="17"/>
        </w:rPr>
        <w:t> </w:t>
      </w:r>
      <w:r>
        <w:rPr>
          <w:color w:val="131413"/>
          <w:sz w:val="17"/>
        </w:rPr>
        <w:t>Cellular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respiration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analysis.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Analysis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OCR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mutant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and </w:t>
      </w:r>
      <w:r>
        <w:rPr>
          <w:color w:val="131413"/>
          <w:spacing w:val="-4"/>
          <w:sz w:val="17"/>
        </w:rPr>
        <w:t>control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LCLs treated with different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inhibitors.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Bar graphs indicating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basal</w:t>
      </w:r>
      <w:r>
        <w:rPr>
          <w:color w:val="131413"/>
          <w:sz w:val="17"/>
        </w:rPr>
        <w:t> respiration OCR, ATP production OCR, proton leak OCR, </w:t>
      </w:r>
      <w:r>
        <w:rPr>
          <w:color w:val="131413"/>
          <w:sz w:val="17"/>
        </w:rPr>
        <w:t>maximal respiration OCR, and spare capacity OCR. Data were compared via a two-sample </w:t>
      </w:r>
      <w:r>
        <w:rPr>
          <w:i/>
          <w:color w:val="131413"/>
          <w:sz w:val="17"/>
        </w:rPr>
        <w:t>t</w:t>
      </w:r>
      <w:r>
        <w:rPr>
          <w:color w:val="131413"/>
          <w:sz w:val="17"/>
        </w:rPr>
        <w:t>-test. *</w:t>
      </w:r>
      <w:r>
        <w:rPr>
          <w:i/>
          <w:color w:val="131413"/>
          <w:sz w:val="17"/>
        </w:rPr>
        <w:t>P </w:t>
      </w:r>
      <w:r>
        <w:rPr>
          <w:color w:val="131413"/>
          <w:sz w:val="17"/>
        </w:rPr>
        <w:t>&lt; 0.05; **</w:t>
      </w:r>
      <w:r>
        <w:rPr>
          <w:i/>
          <w:color w:val="131413"/>
          <w:sz w:val="17"/>
        </w:rPr>
        <w:t>P </w:t>
      </w:r>
      <w:r>
        <w:rPr>
          <w:color w:val="131413"/>
          <w:sz w:val="17"/>
        </w:rPr>
        <w:t>&lt; 0.05; ***</w:t>
      </w:r>
      <w:r>
        <w:rPr>
          <w:i/>
          <w:color w:val="131413"/>
          <w:sz w:val="17"/>
        </w:rPr>
        <w:t>P </w:t>
      </w:r>
      <w:r>
        <w:rPr>
          <w:color w:val="131413"/>
          <w:sz w:val="17"/>
        </w:rPr>
        <w:t>&lt; 0.001. Analysis of complex</w:t>
      </w:r>
      <w:r>
        <w:rPr>
          <w:color w:val="131413"/>
          <w:spacing w:val="26"/>
          <w:sz w:val="17"/>
        </w:rPr>
        <w:t> </w:t>
      </w:r>
      <w:r>
        <w:rPr>
          <w:color w:val="131413"/>
          <w:sz w:val="17"/>
        </w:rPr>
        <w:t>I-,</w:t>
      </w:r>
      <w:r>
        <w:rPr>
          <w:color w:val="131413"/>
          <w:spacing w:val="27"/>
          <w:sz w:val="17"/>
        </w:rPr>
        <w:t> </w:t>
      </w:r>
      <w:r>
        <w:rPr>
          <w:color w:val="131413"/>
          <w:sz w:val="17"/>
        </w:rPr>
        <w:t>II-</w:t>
      </w:r>
      <w:r>
        <w:rPr>
          <w:color w:val="131413"/>
          <w:spacing w:val="27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28"/>
          <w:sz w:val="17"/>
        </w:rPr>
        <w:t> </w:t>
      </w:r>
      <w:r>
        <w:rPr>
          <w:color w:val="131413"/>
          <w:sz w:val="17"/>
        </w:rPr>
        <w:t>IV-mediated</w:t>
      </w:r>
      <w:r>
        <w:rPr>
          <w:color w:val="131413"/>
          <w:spacing w:val="27"/>
          <w:sz w:val="17"/>
        </w:rPr>
        <w:t> </w:t>
      </w:r>
      <w:r>
        <w:rPr>
          <w:color w:val="131413"/>
          <w:sz w:val="17"/>
        </w:rPr>
        <w:t>respiratory</w:t>
      </w:r>
      <w:r>
        <w:rPr>
          <w:color w:val="131413"/>
          <w:spacing w:val="27"/>
          <w:sz w:val="17"/>
        </w:rPr>
        <w:t> </w:t>
      </w:r>
      <w:r>
        <w:rPr>
          <w:color w:val="131413"/>
          <w:sz w:val="17"/>
        </w:rPr>
        <w:t>activity</w:t>
      </w:r>
      <w:r>
        <w:rPr>
          <w:color w:val="131413"/>
          <w:spacing w:val="26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27"/>
          <w:sz w:val="17"/>
        </w:rPr>
        <w:t> </w:t>
      </w:r>
      <w:r>
        <w:rPr>
          <w:color w:val="131413"/>
          <w:sz w:val="17"/>
        </w:rPr>
        <w:t>mutant</w:t>
      </w:r>
      <w:r>
        <w:rPr>
          <w:color w:val="131413"/>
          <w:spacing w:val="26"/>
          <w:sz w:val="17"/>
        </w:rPr>
        <w:t> </w:t>
      </w:r>
      <w:r>
        <w:rPr>
          <w:color w:val="131413"/>
          <w:spacing w:val="-5"/>
          <w:sz w:val="17"/>
        </w:rPr>
        <w:t>and</w:t>
      </w:r>
    </w:p>
    <w:p>
      <w:pPr>
        <w:spacing w:line="244" w:lineRule="auto" w:before="24"/>
        <w:ind w:left="28" w:right="26" w:firstLine="0"/>
        <w:jc w:val="both"/>
        <w:rPr>
          <w:i/>
          <w:sz w:val="17"/>
        </w:rPr>
      </w:pPr>
      <w:r>
        <w:rPr/>
        <w:br w:type="column"/>
      </w:r>
      <w:r>
        <w:rPr>
          <w:color w:val="131413"/>
          <w:sz w:val="17"/>
        </w:rPr>
        <w:t>control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LCLs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following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injection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indicated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compounds.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Bar graphs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indicating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complex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I-,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II-,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IV-mediated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respiratory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activity. </w:t>
      </w:r>
      <w:r>
        <w:rPr>
          <w:color w:val="131413"/>
          <w:spacing w:val="-4"/>
          <w:sz w:val="17"/>
        </w:rPr>
        <w:t>Data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4"/>
          <w:sz w:val="17"/>
        </w:rPr>
        <w:t>were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4"/>
          <w:sz w:val="17"/>
        </w:rPr>
        <w:t>compared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via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a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two-sample</w:t>
      </w:r>
      <w:r>
        <w:rPr>
          <w:color w:val="131413"/>
          <w:spacing w:val="-5"/>
          <w:sz w:val="17"/>
        </w:rPr>
        <w:t> </w:t>
      </w:r>
      <w:r>
        <w:rPr>
          <w:i/>
          <w:color w:val="131413"/>
          <w:spacing w:val="-4"/>
          <w:sz w:val="17"/>
        </w:rPr>
        <w:t>t</w:t>
      </w:r>
      <w:r>
        <w:rPr>
          <w:color w:val="131413"/>
          <w:spacing w:val="-4"/>
          <w:sz w:val="17"/>
        </w:rPr>
        <w:t>-test.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*</w:t>
      </w:r>
      <w:r>
        <w:rPr>
          <w:i/>
          <w:color w:val="131413"/>
          <w:spacing w:val="-4"/>
          <w:sz w:val="17"/>
        </w:rPr>
        <w:t>P</w:t>
      </w:r>
      <w:r>
        <w:rPr>
          <w:i/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&lt;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0.05;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**</w:t>
      </w:r>
      <w:r>
        <w:rPr>
          <w:i/>
          <w:color w:val="131413"/>
          <w:spacing w:val="-4"/>
          <w:sz w:val="17"/>
        </w:rPr>
        <w:t>P</w:t>
      </w:r>
      <w:r>
        <w:rPr>
          <w:i/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&lt;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0.05;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***</w:t>
      </w:r>
      <w:r>
        <w:rPr>
          <w:i/>
          <w:color w:val="131413"/>
          <w:spacing w:val="-4"/>
          <w:sz w:val="17"/>
        </w:rPr>
        <w:t>P</w:t>
      </w:r>
    </w:p>
    <w:p>
      <w:pPr>
        <w:spacing w:line="244" w:lineRule="auto" w:before="0"/>
        <w:ind w:left="28" w:right="25" w:firstLine="0"/>
        <w:jc w:val="both"/>
        <w:rPr>
          <w:sz w:val="17"/>
        </w:rPr>
      </w:pPr>
      <w:r>
        <w:rPr>
          <w:color w:val="131413"/>
          <w:sz w:val="17"/>
        </w:rPr>
        <w:t>&lt; 0.001. OCR, oxygen consumption rate; LCLs, lymphoblastoid </w:t>
      </w:r>
      <w:r>
        <w:rPr>
          <w:color w:val="131413"/>
          <w:sz w:val="17"/>
        </w:rPr>
        <w:t>cell </w:t>
      </w:r>
      <w:r>
        <w:rPr>
          <w:color w:val="131413"/>
          <w:spacing w:val="-2"/>
          <w:sz w:val="17"/>
        </w:rPr>
        <w:t>lines</w:t>
      </w:r>
    </w:p>
    <w:p>
      <w:pPr>
        <w:spacing w:after="0" w:line="244" w:lineRule="auto"/>
        <w:jc w:val="both"/>
        <w:rPr>
          <w:sz w:val="17"/>
        </w:rPr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3" w:space="309"/>
            <w:col w:w="482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7"/>
      </w:pPr>
    </w:p>
    <w:p>
      <w:pPr>
        <w:pStyle w:val="BodyText"/>
        <w:spacing w:after="0"/>
        <w:sectPr>
          <w:type w:val="continuous"/>
          <w:pgSz w:w="11910" w:h="15820"/>
          <w:pgMar w:header="0" w:footer="902" w:top="580" w:bottom="1100" w:left="992" w:right="992"/>
        </w:sectPr>
      </w:pPr>
    </w:p>
    <w:p>
      <w:pPr>
        <w:pStyle w:val="BodyText"/>
        <w:spacing w:line="259" w:lineRule="auto" w:before="102"/>
        <w:ind w:left="28"/>
        <w:jc w:val="both"/>
      </w:pPr>
      <w:r>
        <w:rPr>
          <w:color w:val="131413"/>
        </w:rPr>
        <w:t>A467T</w:t>
      </w:r>
      <w:r>
        <w:rPr>
          <w:color w:val="131413"/>
          <w:spacing w:val="40"/>
        </w:rPr>
        <w:t> </w:t>
      </w:r>
      <w:r>
        <w:rPr>
          <w:color w:val="131413"/>
        </w:rPr>
        <w:t>mutation</w:t>
      </w:r>
      <w:r>
        <w:rPr>
          <w:color w:val="131413"/>
          <w:spacing w:val="40"/>
        </w:rPr>
        <w:t> </w:t>
      </w:r>
      <w:r>
        <w:rPr>
          <w:color w:val="131413"/>
        </w:rPr>
        <w:t>is</w:t>
      </w:r>
      <w:r>
        <w:rPr>
          <w:color w:val="131413"/>
          <w:spacing w:val="40"/>
        </w:rPr>
        <w:t> </w:t>
      </w:r>
      <w:r>
        <w:rPr>
          <w:color w:val="131413"/>
        </w:rPr>
        <w:t>detected</w:t>
      </w:r>
      <w:r>
        <w:rPr>
          <w:color w:val="131413"/>
          <w:spacing w:val="40"/>
        </w:rPr>
        <w:t> </w:t>
      </w:r>
      <w:r>
        <w:rPr>
          <w:color w:val="131413"/>
        </w:rPr>
        <w:t>in</w:t>
      </w:r>
      <w:r>
        <w:rPr>
          <w:color w:val="131413"/>
          <w:spacing w:val="40"/>
        </w:rPr>
        <w:t> </w:t>
      </w:r>
      <w:r>
        <w:rPr>
          <w:color w:val="131413"/>
        </w:rPr>
        <w:t>roughly</w:t>
      </w:r>
      <w:r>
        <w:rPr>
          <w:color w:val="131413"/>
          <w:spacing w:val="40"/>
        </w:rPr>
        <w:t> </w:t>
      </w:r>
      <w:r>
        <w:rPr>
          <w:color w:val="131413"/>
        </w:rPr>
        <w:t>36%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all POLG disease alleles, and it prevents the interaction between the POLG and POLG2 subunits, adversely impacting DNA synthesis and Pol</w:t>
      </w:r>
      <w:r>
        <w:rPr>
          <w:rFonts w:ascii="Arial" w:hAnsi="Arial"/>
          <w:color w:val="131413"/>
        </w:rPr>
        <w:t>γ </w:t>
      </w:r>
      <w:r>
        <w:rPr>
          <w:color w:val="131413"/>
        </w:rPr>
        <w:t>activity [</w:t>
      </w:r>
      <w:hyperlink w:history="true" w:anchor="_bookmark35">
        <w:r>
          <w:rPr>
            <w:color w:val="0000FF"/>
          </w:rPr>
          <w:t>38</w:t>
        </w:r>
      </w:hyperlink>
      <w:r>
        <w:rPr>
          <w:color w:val="131413"/>
        </w:rPr>
        <w:t>]. The W748S variant is the second most commonly document-</w:t>
      </w:r>
      <w:r>
        <w:rPr>
          <w:color w:val="131413"/>
          <w:spacing w:val="40"/>
        </w:rPr>
        <w:t> </w:t>
      </w:r>
      <w:r>
        <w:rPr>
          <w:color w:val="131413"/>
        </w:rPr>
        <w:t>ed POLG mutation in the POLG mutation database, </w:t>
      </w:r>
      <w:r>
        <w:rPr>
          <w:color w:val="131413"/>
          <w:spacing w:val="11"/>
        </w:rPr>
        <w:t>exhibiting</w:t>
      </w:r>
      <w:r>
        <w:rPr>
          <w:color w:val="131413"/>
          <w:spacing w:val="11"/>
        </w:rPr>
        <w:t> </w:t>
      </w:r>
      <w:r>
        <w:rPr>
          <w:color w:val="131413"/>
          <w:spacing w:val="13"/>
        </w:rPr>
        <w:t>low-</w:t>
      </w:r>
      <w:r>
        <w:rPr>
          <w:color w:val="131413"/>
          <w:spacing w:val="11"/>
        </w:rPr>
        <w:t>affinity</w:t>
      </w:r>
      <w:r>
        <w:rPr>
          <w:color w:val="131413"/>
          <w:spacing w:val="11"/>
        </w:rPr>
        <w:t> </w:t>
      </w:r>
      <w:r>
        <w:rPr>
          <w:color w:val="131413"/>
          <w:spacing w:val="13"/>
        </w:rPr>
        <w:t>DNA-</w:t>
      </w:r>
      <w:r>
        <w:rPr>
          <w:color w:val="131413"/>
          <w:spacing w:val="11"/>
        </w:rPr>
        <w:t>binding</w:t>
      </w:r>
      <w:r>
        <w:rPr>
          <w:color w:val="131413"/>
          <w:spacing w:val="11"/>
        </w:rPr>
        <w:t> activity</w:t>
      </w:r>
      <w:r>
        <w:rPr>
          <w:color w:val="131413"/>
          <w:spacing w:val="11"/>
        </w:rPr>
        <w:t> </w:t>
      </w:r>
      <w:r>
        <w:rPr>
          <w:color w:val="131413"/>
          <w:spacing w:val="13"/>
        </w:rPr>
        <w:t>and </w:t>
      </w:r>
      <w:r>
        <w:rPr>
          <w:color w:val="131413"/>
        </w:rPr>
        <w:t>processivity but normal POLG2 interactions [</w:t>
      </w:r>
      <w:hyperlink w:history="true" w:anchor="_bookmark36">
        <w:r>
          <w:rPr>
            <w:color w:val="0000FF"/>
          </w:rPr>
          <w:t>39</w:t>
        </w:r>
      </w:hyperlink>
      <w:r>
        <w:rPr>
          <w:color w:val="131413"/>
        </w:rPr>
        <w:t>]. The G848S mutation is the third-most frequently detected POLG mutation and causes severely reduced DNA po- lymerase</w:t>
      </w:r>
      <w:r>
        <w:rPr>
          <w:color w:val="131413"/>
          <w:spacing w:val="40"/>
        </w:rPr>
        <w:t> </w:t>
      </w:r>
      <w:r>
        <w:rPr>
          <w:color w:val="131413"/>
        </w:rPr>
        <w:t>activity</w:t>
      </w:r>
      <w:r>
        <w:rPr>
          <w:color w:val="131413"/>
          <w:spacing w:val="40"/>
        </w:rPr>
        <w:t> </w:t>
      </w:r>
      <w:r>
        <w:rPr>
          <w:color w:val="131413"/>
        </w:rPr>
        <w:t>[</w:t>
      </w:r>
      <w:hyperlink w:history="true" w:anchor="_bookmark37">
        <w:r>
          <w:rPr>
            <w:color w:val="0000FF"/>
          </w:rPr>
          <w:t>40</w:t>
        </w:r>
      </w:hyperlink>
      <w:r>
        <w:rPr>
          <w:color w:val="131413"/>
        </w:rPr>
        <w:t>].</w:t>
      </w:r>
    </w:p>
    <w:p>
      <w:pPr>
        <w:pStyle w:val="BodyText"/>
        <w:spacing w:line="259" w:lineRule="auto" w:before="6"/>
        <w:ind w:left="27" w:right="8" w:firstLine="227"/>
        <w:jc w:val="both"/>
      </w:pPr>
      <w:r>
        <w:rPr>
          <w:color w:val="131413"/>
        </w:rPr>
        <w:t>In</w:t>
      </w:r>
      <w:r>
        <w:rPr>
          <w:color w:val="131413"/>
          <w:spacing w:val="-1"/>
        </w:rPr>
        <w:t> </w:t>
      </w:r>
      <w:r>
        <w:rPr>
          <w:color w:val="131413"/>
        </w:rPr>
        <w:t>conclusion,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-2"/>
        </w:rPr>
        <w:t> </w:t>
      </w:r>
      <w:r>
        <w:rPr>
          <w:color w:val="131413"/>
        </w:rPr>
        <w:t>described</w:t>
      </w:r>
      <w:r>
        <w:rPr>
          <w:color w:val="131413"/>
          <w:spacing w:val="-3"/>
        </w:rPr>
        <w:t> </w:t>
      </w:r>
      <w:r>
        <w:rPr>
          <w:color w:val="131413"/>
        </w:rPr>
        <w:t>novel</w:t>
      </w:r>
      <w:r>
        <w:rPr>
          <w:color w:val="131413"/>
          <w:spacing w:val="-2"/>
        </w:rPr>
        <w:t> </w:t>
      </w:r>
      <w:r>
        <w:rPr>
          <w:color w:val="131413"/>
        </w:rPr>
        <w:t>biallelic</w:t>
      </w:r>
      <w:r>
        <w:rPr>
          <w:color w:val="131413"/>
          <w:spacing w:val="-1"/>
        </w:rPr>
        <w:t> </w:t>
      </w:r>
      <w:r>
        <w:rPr>
          <w:i/>
          <w:color w:val="131413"/>
        </w:rPr>
        <w:t>POLG </w:t>
      </w:r>
      <w:r>
        <w:rPr>
          <w:color w:val="131413"/>
        </w:rPr>
        <w:t>muta- tions,</w:t>
      </w:r>
      <w:r>
        <w:rPr>
          <w:color w:val="131413"/>
          <w:spacing w:val="-2"/>
        </w:rPr>
        <w:t> </w:t>
      </w:r>
      <w:r>
        <w:rPr>
          <w:color w:val="131413"/>
        </w:rPr>
        <w:t>including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</w:rPr>
        <w:t>large</w:t>
      </w:r>
      <w:r>
        <w:rPr>
          <w:color w:val="131413"/>
          <w:spacing w:val="-1"/>
        </w:rPr>
        <w:t> </w:t>
      </w:r>
      <w:r>
        <w:rPr>
          <w:color w:val="131413"/>
        </w:rPr>
        <w:t>deletion</w:t>
      </w:r>
      <w:r>
        <w:rPr>
          <w:color w:val="131413"/>
          <w:spacing w:val="-3"/>
        </w:rPr>
        <w:t> </w:t>
      </w:r>
      <w:r>
        <w:rPr>
          <w:color w:val="131413"/>
        </w:rPr>
        <w:t>(exons</w:t>
      </w:r>
      <w:r>
        <w:rPr>
          <w:color w:val="131413"/>
          <w:spacing w:val="-1"/>
        </w:rPr>
        <w:t> </w:t>
      </w:r>
      <w:r>
        <w:rPr>
          <w:color w:val="131413"/>
        </w:rPr>
        <w:t>7</w:t>
      </w:r>
      <w:r>
        <w:rPr>
          <w:rFonts w:ascii="Arial" w:hAnsi="Arial"/>
          <w:color w:val="131413"/>
        </w:rPr>
        <w:t>–</w:t>
      </w:r>
      <w:r>
        <w:rPr>
          <w:color w:val="131413"/>
        </w:rPr>
        <w:t>21)</w:t>
      </w:r>
      <w:r>
        <w:rPr>
          <w:color w:val="131413"/>
          <w:spacing w:val="-2"/>
        </w:rPr>
        <w:t> </w:t>
      </w:r>
      <w:r>
        <w:rPr>
          <w:color w:val="131413"/>
        </w:rPr>
        <w:t>mutation</w:t>
      </w:r>
      <w:r>
        <w:rPr>
          <w:color w:val="131413"/>
          <w:spacing w:val="-3"/>
        </w:rPr>
        <w:t> </w:t>
      </w:r>
      <w:r>
        <w:rPr>
          <w:color w:val="131413"/>
        </w:rPr>
        <w:t>and a</w:t>
      </w:r>
      <w:r>
        <w:rPr>
          <w:color w:val="131413"/>
          <w:spacing w:val="-1"/>
        </w:rPr>
        <w:t> </w:t>
      </w:r>
      <w:r>
        <w:rPr>
          <w:color w:val="131413"/>
        </w:rPr>
        <w:t>missense</w:t>
      </w:r>
      <w:r>
        <w:rPr>
          <w:color w:val="131413"/>
          <w:spacing w:val="-1"/>
        </w:rPr>
        <w:t> </w:t>
      </w:r>
      <w:r>
        <w:rPr>
          <w:color w:val="131413"/>
        </w:rPr>
        <w:t>variant c.1796C&gt;T</w:t>
      </w:r>
      <w:r>
        <w:rPr>
          <w:color w:val="131413"/>
          <w:spacing w:val="-1"/>
        </w:rPr>
        <w:t> </w:t>
      </w:r>
      <w:r>
        <w:rPr>
          <w:color w:val="131413"/>
        </w:rPr>
        <w:t>(p.T599I),</w:t>
      </w:r>
      <w:r>
        <w:rPr>
          <w:color w:val="131413"/>
          <w:spacing w:val="-2"/>
        </w:rPr>
        <w:t> </w:t>
      </w:r>
      <w:r>
        <w:rPr>
          <w:color w:val="131413"/>
        </w:rPr>
        <w:t>which</w:t>
      </w:r>
      <w:r>
        <w:rPr>
          <w:color w:val="131413"/>
          <w:spacing w:val="-2"/>
        </w:rPr>
        <w:t> </w:t>
      </w:r>
      <w:r>
        <w:rPr>
          <w:color w:val="131413"/>
        </w:rPr>
        <w:t>were</w:t>
      </w:r>
      <w:r>
        <w:rPr>
          <w:color w:val="131413"/>
          <w:spacing w:val="-1"/>
        </w:rPr>
        <w:t> </w:t>
      </w:r>
      <w:r>
        <w:rPr>
          <w:color w:val="131413"/>
        </w:rPr>
        <w:t>asso- ciated with a clinical presentation of PEO in a 33-year-old male. Biochemical investigations demonstrated that these variants severely impaired mitochondrial function, thereby leading to mitochondrial disease. Our study expands the spectrum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i/>
          <w:color w:val="131413"/>
        </w:rPr>
        <w:t>POLG</w:t>
      </w:r>
      <w:r>
        <w:rPr>
          <w:i/>
          <w:color w:val="131413"/>
          <w:spacing w:val="7"/>
        </w:rPr>
        <w:t> </w:t>
      </w:r>
      <w:r>
        <w:rPr>
          <w:color w:val="131413"/>
        </w:rPr>
        <w:t>variants</w:t>
      </w:r>
      <w:r>
        <w:rPr>
          <w:color w:val="131413"/>
          <w:spacing w:val="6"/>
        </w:rPr>
        <w:t> </w:t>
      </w:r>
      <w:r>
        <w:rPr>
          <w:color w:val="131413"/>
        </w:rPr>
        <w:t>known</w:t>
      </w:r>
      <w:r>
        <w:rPr>
          <w:color w:val="131413"/>
          <w:spacing w:val="8"/>
        </w:rPr>
        <w:t> </w:t>
      </w:r>
      <w:r>
        <w:rPr>
          <w:color w:val="131413"/>
        </w:rPr>
        <w:t>to</w:t>
      </w:r>
      <w:r>
        <w:rPr>
          <w:color w:val="131413"/>
          <w:spacing w:val="5"/>
        </w:rPr>
        <w:t> </w:t>
      </w:r>
      <w:r>
        <w:rPr>
          <w:color w:val="131413"/>
        </w:rPr>
        <w:t>cause</w:t>
      </w:r>
      <w:r>
        <w:rPr>
          <w:color w:val="131413"/>
          <w:spacing w:val="8"/>
        </w:rPr>
        <w:t> </w:t>
      </w:r>
      <w:r>
        <w:rPr>
          <w:color w:val="131413"/>
        </w:rPr>
        <w:t>PEO,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offering</w:t>
      </w:r>
    </w:p>
    <w:p>
      <w:pPr>
        <w:pStyle w:val="BodyText"/>
        <w:spacing w:line="259" w:lineRule="auto" w:before="102"/>
        <w:ind w:left="27" w:right="26"/>
        <w:jc w:val="both"/>
      </w:pPr>
      <w:r>
        <w:rPr/>
        <w:br w:type="column"/>
      </w:r>
      <w:r>
        <w:rPr>
          <w:color w:val="131413"/>
        </w:rPr>
        <w:t>valuable new insights into </w:t>
      </w:r>
      <w:r>
        <w:rPr>
          <w:i/>
          <w:color w:val="131413"/>
        </w:rPr>
        <w:t>POLG </w:t>
      </w:r>
      <w:r>
        <w:rPr>
          <w:color w:val="131413"/>
        </w:rPr>
        <w:t>variants with respect to both their structural and functional consequences.</w:t>
      </w:r>
    </w:p>
    <w:p>
      <w:pPr>
        <w:pStyle w:val="BodyText"/>
        <w:spacing w:before="8"/>
      </w:pPr>
    </w:p>
    <w:p>
      <w:pPr>
        <w:spacing w:line="244" w:lineRule="auto" w:before="0"/>
        <w:ind w:left="28" w:right="27" w:firstLine="0"/>
        <w:jc w:val="both"/>
        <w:rPr>
          <w:sz w:val="17"/>
        </w:rPr>
      </w:pPr>
      <w:r>
        <w:rPr>
          <w:rFonts w:ascii="Arial"/>
          <w:color w:val="131413"/>
          <w:spacing w:val="-4"/>
          <w:sz w:val="17"/>
        </w:rPr>
        <w:t>Supplementary</w:t>
      </w:r>
      <w:r>
        <w:rPr>
          <w:rFonts w:ascii="Arial"/>
          <w:color w:val="131413"/>
          <w:spacing w:val="-8"/>
          <w:sz w:val="17"/>
        </w:rPr>
        <w:t> </w:t>
      </w:r>
      <w:r>
        <w:rPr>
          <w:rFonts w:ascii="Arial"/>
          <w:color w:val="131413"/>
          <w:spacing w:val="-4"/>
          <w:sz w:val="17"/>
        </w:rPr>
        <w:t>Information</w:t>
      </w:r>
      <w:r>
        <w:rPr>
          <w:rFonts w:ascii="Arial"/>
          <w:color w:val="131413"/>
          <w:spacing w:val="-8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online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version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contains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supplementary</w:t>
      </w:r>
      <w:r>
        <w:rPr>
          <w:color w:val="131413"/>
          <w:sz w:val="17"/>
        </w:rPr>
        <w:t> material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available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at</w:t>
      </w:r>
      <w:r>
        <w:rPr>
          <w:color w:val="131413"/>
          <w:spacing w:val="-10"/>
          <w:sz w:val="17"/>
        </w:rPr>
        <w:t> </w:t>
      </w:r>
      <w:hyperlink r:id="rId27">
        <w:r>
          <w:rPr>
            <w:color w:val="0000FF"/>
            <w:sz w:val="17"/>
          </w:rPr>
          <w:t>https://doi.org/10.1007/s10072-021-05380-2</w:t>
        </w:r>
      </w:hyperlink>
      <w:r>
        <w:rPr>
          <w:color w:val="131413"/>
          <w:sz w:val="17"/>
        </w:rPr>
        <w:t>.</w:t>
      </w:r>
    </w:p>
    <w:p>
      <w:pPr>
        <w:pStyle w:val="BodyText"/>
        <w:spacing w:before="12"/>
        <w:rPr>
          <w:sz w:val="17"/>
        </w:rPr>
      </w:pPr>
    </w:p>
    <w:p>
      <w:pPr>
        <w:spacing w:line="244" w:lineRule="auto" w:before="1"/>
        <w:ind w:left="28" w:right="26" w:firstLine="0"/>
        <w:jc w:val="both"/>
        <w:rPr>
          <w:sz w:val="17"/>
        </w:rPr>
      </w:pPr>
      <w:r>
        <w:rPr>
          <w:rFonts w:ascii="Arial"/>
          <w:color w:val="131413"/>
          <w:sz w:val="17"/>
        </w:rPr>
        <w:t>Acknowledgements</w:t>
      </w:r>
      <w:r>
        <w:rPr>
          <w:rFonts w:ascii="Arial"/>
          <w:color w:val="131413"/>
          <w:spacing w:val="-12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authors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thank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proband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his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family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for giving consent, samples, and additional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information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for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this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study.</w:t>
      </w:r>
    </w:p>
    <w:p>
      <w:pPr>
        <w:pStyle w:val="BodyText"/>
        <w:spacing w:before="52"/>
        <w:rPr>
          <w:sz w:val="17"/>
        </w:rPr>
      </w:pPr>
    </w:p>
    <w:p>
      <w:pPr>
        <w:spacing w:line="244" w:lineRule="auto" w:before="0"/>
        <w:ind w:left="28" w:right="24" w:firstLine="0"/>
        <w:jc w:val="both"/>
        <w:rPr>
          <w:sz w:val="17"/>
        </w:rPr>
      </w:pPr>
      <w:r>
        <w:rPr>
          <w:rFonts w:ascii="Arial"/>
          <w:color w:val="131413"/>
          <w:spacing w:val="-4"/>
          <w:sz w:val="17"/>
        </w:rPr>
        <w:t>Author</w:t>
      </w:r>
      <w:r>
        <w:rPr>
          <w:rFonts w:ascii="Arial"/>
          <w:color w:val="131413"/>
          <w:spacing w:val="-7"/>
          <w:sz w:val="17"/>
        </w:rPr>
        <w:t> </w:t>
      </w:r>
      <w:r>
        <w:rPr>
          <w:rFonts w:ascii="Arial"/>
          <w:color w:val="131413"/>
          <w:spacing w:val="-4"/>
          <w:sz w:val="17"/>
        </w:rPr>
        <w:t>contribution</w:t>
      </w:r>
      <w:r>
        <w:rPr>
          <w:rFonts w:ascii="Arial"/>
          <w:color w:val="131413"/>
          <w:spacing w:val="20"/>
          <w:sz w:val="17"/>
        </w:rPr>
        <w:t> </w:t>
      </w:r>
      <w:r>
        <w:rPr>
          <w:color w:val="131413"/>
          <w:spacing w:val="-4"/>
          <w:sz w:val="17"/>
        </w:rPr>
        <w:t>Yan Lin: writing original draft.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Jixiang Du and Wei</w:t>
      </w:r>
      <w:r>
        <w:rPr>
          <w:color w:val="131413"/>
          <w:sz w:val="17"/>
        </w:rPr>
        <w:t> Wang: data curation and assisted genetic testing. Hong Ren and Dandan Zhao: methodology and validation. Yuying Zhao, Pengfei Lin, and Fuchen Liu: supervision. Kunqian Ji and Chuanzhu Yan: review</w:t>
      </w:r>
      <w:r>
        <w:rPr>
          <w:color w:val="131413"/>
          <w:spacing w:val="40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40"/>
          <w:sz w:val="17"/>
        </w:rPr>
        <w:t> </w:t>
      </w:r>
      <w:r>
        <w:rPr>
          <w:color w:val="131413"/>
          <w:sz w:val="17"/>
        </w:rPr>
        <w:t>final</w:t>
      </w:r>
      <w:r>
        <w:rPr>
          <w:color w:val="131413"/>
          <w:spacing w:val="40"/>
          <w:sz w:val="17"/>
        </w:rPr>
        <w:t> </w:t>
      </w:r>
      <w:r>
        <w:rPr>
          <w:color w:val="131413"/>
          <w:sz w:val="17"/>
        </w:rPr>
        <w:t>manuscript.</w:t>
      </w:r>
    </w:p>
    <w:p>
      <w:pPr>
        <w:pStyle w:val="BodyText"/>
        <w:spacing w:before="62"/>
        <w:rPr>
          <w:sz w:val="17"/>
        </w:rPr>
      </w:pPr>
    </w:p>
    <w:p>
      <w:pPr>
        <w:spacing w:line="244" w:lineRule="auto" w:before="0"/>
        <w:ind w:left="28" w:right="19" w:firstLine="0"/>
        <w:jc w:val="both"/>
        <w:rPr>
          <w:sz w:val="17"/>
        </w:rPr>
      </w:pPr>
      <w:r>
        <w:rPr>
          <w:rFonts w:ascii="Arial" w:hAnsi="Arial"/>
          <w:color w:val="131413"/>
          <w:sz w:val="17"/>
        </w:rPr>
        <w:t>Funding </w:t>
      </w:r>
      <w:r>
        <w:rPr>
          <w:color w:val="131413"/>
          <w:sz w:val="17"/>
        </w:rPr>
        <w:t>This study was supported by the National Natural Science Foundation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China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(No.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81701237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81671235),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People</w:t>
      </w:r>
      <w:r>
        <w:rPr>
          <w:rFonts w:ascii="Arial" w:hAnsi="Arial"/>
          <w:color w:val="131413"/>
          <w:sz w:val="17"/>
        </w:rPr>
        <w:t>’</w:t>
      </w:r>
      <w:r>
        <w:rPr>
          <w:color w:val="131413"/>
          <w:sz w:val="17"/>
        </w:rPr>
        <w:t>s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Benefit Project of Science and Technology in Qingdao (16-6-2-1-nsh), Collaborative Innovation and Achievement Transformation in Universities and Research Institutes of Jinan (2019GXRC050), Qingdao Key Health Discipline Development Fund, and the Taishan Scholars Program of Shandong Province.</w:t>
      </w:r>
    </w:p>
    <w:p>
      <w:pPr>
        <w:spacing w:after="0" w:line="244" w:lineRule="auto"/>
        <w:jc w:val="both"/>
        <w:rPr>
          <w:sz w:val="17"/>
        </w:rPr>
        <w:sectPr>
          <w:type w:val="continuous"/>
          <w:pgSz w:w="11910" w:h="15820"/>
          <w:pgMar w:header="0" w:footer="902" w:top="580" w:bottom="1100" w:left="992" w:right="992"/>
          <w:cols w:num="2" w:equalWidth="0">
            <w:col w:w="4804" w:space="298"/>
            <w:col w:w="4824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pgSz w:w="11910" w:h="15820"/>
          <w:pgMar w:header="0" w:footer="902" w:top="900" w:bottom="1100" w:left="992" w:right="992"/>
        </w:sectPr>
      </w:pPr>
    </w:p>
    <w:p>
      <w:pPr>
        <w:spacing w:line="244" w:lineRule="auto" w:before="91"/>
        <w:ind w:left="28" w:right="0" w:firstLine="0"/>
        <w:jc w:val="left"/>
        <w:rPr>
          <w:sz w:val="17"/>
        </w:rPr>
      </w:pPr>
      <w:r>
        <w:rPr>
          <w:rFonts w:ascii="Arial"/>
          <w:color w:val="131413"/>
          <w:spacing w:val="-4"/>
          <w:sz w:val="17"/>
        </w:rPr>
        <w:t>Data</w:t>
      </w:r>
      <w:r>
        <w:rPr>
          <w:rFonts w:ascii="Arial"/>
          <w:color w:val="131413"/>
          <w:spacing w:val="-14"/>
          <w:sz w:val="17"/>
        </w:rPr>
        <w:t> </w:t>
      </w:r>
      <w:r>
        <w:rPr>
          <w:rFonts w:ascii="Arial"/>
          <w:color w:val="131413"/>
          <w:spacing w:val="-4"/>
          <w:sz w:val="17"/>
        </w:rPr>
        <w:t>availabilty</w:t>
      </w:r>
      <w:r>
        <w:rPr>
          <w:rFonts w:ascii="Arial"/>
          <w:color w:val="131413"/>
          <w:spacing w:val="34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data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that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support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findings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4"/>
          <w:sz w:val="17"/>
        </w:rPr>
        <w:t>of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this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study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4"/>
          <w:sz w:val="17"/>
        </w:rPr>
        <w:t>are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4"/>
          <w:sz w:val="17"/>
        </w:rPr>
        <w:t>avail-</w:t>
      </w:r>
      <w:r>
        <w:rPr>
          <w:color w:val="131413"/>
          <w:sz w:val="17"/>
        </w:rPr>
        <w:t> able from the corresponding author upon reasonable request.</w:t>
      </w:r>
    </w:p>
    <w:p>
      <w:pPr>
        <w:pStyle w:val="BodyText"/>
        <w:spacing w:before="65"/>
        <w:rPr>
          <w:sz w:val="17"/>
        </w:rPr>
      </w:pPr>
    </w:p>
    <w:p>
      <w:pPr>
        <w:pStyle w:val="Heading2"/>
        <w:spacing w:before="1"/>
      </w:pPr>
      <w:r>
        <w:rPr>
          <w:color w:val="131413"/>
          <w:spacing w:val="-2"/>
        </w:rPr>
        <w:t>Declarations</w:t>
      </w:r>
    </w:p>
    <w:p>
      <w:pPr>
        <w:spacing w:before="241"/>
        <w:ind w:left="28" w:right="0" w:firstLine="0"/>
        <w:jc w:val="left"/>
        <w:rPr>
          <w:sz w:val="17"/>
        </w:rPr>
      </w:pPr>
      <w:r>
        <w:rPr>
          <w:rFonts w:ascii="Arial"/>
          <w:color w:val="131413"/>
          <w:spacing w:val="-4"/>
          <w:sz w:val="17"/>
        </w:rPr>
        <w:t>Conflict</w:t>
      </w:r>
      <w:r>
        <w:rPr>
          <w:rFonts w:ascii="Arial"/>
          <w:color w:val="131413"/>
          <w:spacing w:val="-7"/>
          <w:sz w:val="17"/>
        </w:rPr>
        <w:t> </w:t>
      </w:r>
      <w:r>
        <w:rPr>
          <w:rFonts w:ascii="Arial"/>
          <w:color w:val="131413"/>
          <w:spacing w:val="-4"/>
          <w:sz w:val="17"/>
        </w:rPr>
        <w:t>of</w:t>
      </w:r>
      <w:r>
        <w:rPr>
          <w:rFonts w:ascii="Arial"/>
          <w:color w:val="131413"/>
          <w:spacing w:val="-8"/>
          <w:sz w:val="17"/>
        </w:rPr>
        <w:t> </w:t>
      </w:r>
      <w:r>
        <w:rPr>
          <w:rFonts w:ascii="Arial"/>
          <w:color w:val="131413"/>
          <w:spacing w:val="-4"/>
          <w:sz w:val="17"/>
        </w:rPr>
        <w:t>interest</w:t>
      </w:r>
      <w:r>
        <w:rPr>
          <w:rFonts w:ascii="Arial"/>
          <w:color w:val="131413"/>
          <w:spacing w:val="30"/>
          <w:sz w:val="17"/>
        </w:rPr>
        <w:t> 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4"/>
          <w:sz w:val="17"/>
        </w:rPr>
        <w:t>authors declare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4"/>
          <w:sz w:val="17"/>
        </w:rPr>
        <w:t>no conflict of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4"/>
          <w:sz w:val="17"/>
        </w:rPr>
        <w:t>interest.</w:t>
      </w:r>
    </w:p>
    <w:p>
      <w:pPr>
        <w:pStyle w:val="BodyText"/>
        <w:spacing w:before="56"/>
        <w:rPr>
          <w:sz w:val="17"/>
        </w:rPr>
      </w:pPr>
    </w:p>
    <w:p>
      <w:pPr>
        <w:spacing w:line="244" w:lineRule="auto" w:before="0"/>
        <w:ind w:left="28" w:right="0" w:firstLine="0"/>
        <w:jc w:val="left"/>
        <w:rPr>
          <w:sz w:val="17"/>
        </w:rPr>
      </w:pPr>
      <w:r>
        <w:rPr>
          <w:rFonts w:ascii="Arial"/>
          <w:color w:val="131413"/>
          <w:spacing w:val="-4"/>
          <w:sz w:val="17"/>
        </w:rPr>
        <w:t>Ethical</w:t>
      </w:r>
      <w:r>
        <w:rPr>
          <w:rFonts w:ascii="Arial"/>
          <w:color w:val="131413"/>
          <w:spacing w:val="-13"/>
          <w:sz w:val="17"/>
        </w:rPr>
        <w:t> </w:t>
      </w:r>
      <w:r>
        <w:rPr>
          <w:rFonts w:ascii="Arial"/>
          <w:color w:val="131413"/>
          <w:spacing w:val="-4"/>
          <w:sz w:val="17"/>
        </w:rPr>
        <w:t>approval</w:t>
      </w:r>
      <w:r>
        <w:rPr>
          <w:rFonts w:ascii="Arial"/>
          <w:color w:val="131413"/>
          <w:spacing w:val="77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study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4"/>
          <w:sz w:val="17"/>
        </w:rPr>
        <w:t>was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4"/>
          <w:sz w:val="17"/>
        </w:rPr>
        <w:t>approved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4"/>
          <w:sz w:val="17"/>
        </w:rPr>
        <w:t>by</w:t>
      </w:r>
      <w:r>
        <w:rPr>
          <w:color w:val="131413"/>
          <w:spacing w:val="-11"/>
          <w:sz w:val="17"/>
        </w:rPr>
        <w:t> </w:t>
      </w:r>
      <w:r>
        <w:rPr>
          <w:color w:val="131413"/>
          <w:spacing w:val="-4"/>
          <w:sz w:val="17"/>
        </w:rPr>
        <w:t>the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4"/>
          <w:sz w:val="17"/>
        </w:rPr>
        <w:t>Research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Ethics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Board</w:t>
      </w:r>
      <w:r>
        <w:rPr>
          <w:color w:val="131413"/>
          <w:sz w:val="17"/>
        </w:rPr>
        <w:t> of Qilu Hospital.</w:t>
      </w:r>
    </w:p>
    <w:p>
      <w:pPr>
        <w:pStyle w:val="BodyText"/>
        <w:spacing w:before="52"/>
        <w:rPr>
          <w:sz w:val="17"/>
        </w:rPr>
      </w:pPr>
    </w:p>
    <w:p>
      <w:pPr>
        <w:spacing w:before="1"/>
        <w:ind w:left="28" w:right="0" w:firstLine="0"/>
        <w:jc w:val="left"/>
        <w:rPr>
          <w:sz w:val="17"/>
        </w:rPr>
      </w:pPr>
      <w:r>
        <w:rPr>
          <w:rFonts w:ascii="Arial"/>
          <w:color w:val="131413"/>
          <w:spacing w:val="-4"/>
          <w:sz w:val="17"/>
        </w:rPr>
        <w:t>Informed</w:t>
      </w:r>
      <w:r>
        <w:rPr>
          <w:rFonts w:ascii="Arial"/>
          <w:color w:val="131413"/>
          <w:spacing w:val="-8"/>
          <w:sz w:val="17"/>
        </w:rPr>
        <w:t> </w:t>
      </w:r>
      <w:r>
        <w:rPr>
          <w:rFonts w:ascii="Arial"/>
          <w:color w:val="131413"/>
          <w:spacing w:val="-4"/>
          <w:sz w:val="17"/>
        </w:rPr>
        <w:t>consent</w:t>
      </w:r>
      <w:r>
        <w:rPr>
          <w:rFonts w:ascii="Arial"/>
          <w:color w:val="131413"/>
          <w:spacing w:val="73"/>
          <w:w w:val="150"/>
          <w:sz w:val="17"/>
        </w:rPr>
        <w:t> </w:t>
      </w:r>
      <w:r>
        <w:rPr>
          <w:color w:val="131413"/>
          <w:spacing w:val="-4"/>
          <w:sz w:val="17"/>
        </w:rPr>
        <w:t>We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obtained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4"/>
          <w:sz w:val="17"/>
        </w:rPr>
        <w:t>all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appropriate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patient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consent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forms.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31"/>
        <w:rPr>
          <w:sz w:val="17"/>
        </w:rPr>
      </w:pPr>
    </w:p>
    <w:p>
      <w:pPr>
        <w:pStyle w:val="Heading1"/>
      </w:pPr>
      <w:bookmarkStart w:name="References" w:id="34"/>
      <w:bookmarkEnd w:id="34"/>
      <w:r>
        <w:rPr/>
      </w:r>
      <w:r>
        <w:rPr>
          <w:color w:val="131413"/>
          <w:spacing w:val="-2"/>
        </w:rPr>
        <w:t>References</w:t>
      </w:r>
    </w:p>
    <w:p>
      <w:pPr>
        <w:pStyle w:val="ListParagraph"/>
        <w:numPr>
          <w:ilvl w:val="2"/>
          <w:numId w:val="2"/>
        </w:numPr>
        <w:tabs>
          <w:tab w:pos="412" w:val="left" w:leader="none"/>
        </w:tabs>
        <w:spacing w:line="244" w:lineRule="auto" w:before="239" w:after="0"/>
        <w:ind w:left="412" w:right="4" w:hanging="299"/>
        <w:jc w:val="both"/>
        <w:rPr>
          <w:sz w:val="17"/>
        </w:rPr>
      </w:pPr>
      <w:bookmarkStart w:name="_bookmark5" w:id="35"/>
      <w:bookmarkEnd w:id="35"/>
      <w:r>
        <w:rPr/>
      </w:r>
      <w:r>
        <w:rPr>
          <w:color w:val="131413"/>
          <w:spacing w:val="-4"/>
          <w:sz w:val="17"/>
        </w:rPr>
        <w:t>Lightowlers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RN, Taylor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RW, Turnbull DM (2015) Mutations caus-</w:t>
      </w:r>
      <w:r>
        <w:rPr>
          <w:color w:val="131413"/>
          <w:sz w:val="17"/>
        </w:rPr>
        <w:t> ing mitochondrial disease: what is new and what challenges re- main? Science 349(6255):1494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1499. </w:t>
      </w:r>
      <w:hyperlink r:id="rId28">
        <w:r>
          <w:rPr>
            <w:color w:val="0000FF"/>
            <w:sz w:val="17"/>
          </w:rPr>
          <w:t>https://doi.org/10.1126/</w:t>
        </w:r>
      </w:hyperlink>
      <w:r>
        <w:rPr>
          <w:color w:val="0000FF"/>
          <w:sz w:val="17"/>
        </w:rPr>
        <w:t> </w:t>
      </w:r>
      <w:bookmarkStart w:name="_bookmark6" w:id="36"/>
      <w:bookmarkEnd w:id="36"/>
      <w:r>
        <w:rPr>
          <w:color w:val="0000FF"/>
          <w:spacing w:val="1"/>
          <w:w w:val="98"/>
          <w:sz w:val="17"/>
        </w:rPr>
      </w:r>
      <w:hyperlink r:id="rId28">
        <w:r>
          <w:rPr>
            <w:color w:val="0000FF"/>
            <w:spacing w:val="-2"/>
            <w:sz w:val="17"/>
          </w:rPr>
          <w:t>science.aac7516</w:t>
        </w:r>
      </w:hyperlink>
    </w:p>
    <w:p>
      <w:pPr>
        <w:pStyle w:val="ListParagraph"/>
        <w:numPr>
          <w:ilvl w:val="2"/>
          <w:numId w:val="2"/>
        </w:numPr>
        <w:tabs>
          <w:tab w:pos="413" w:val="left" w:leader="none"/>
        </w:tabs>
        <w:spacing w:line="244" w:lineRule="auto" w:before="5" w:after="0"/>
        <w:ind w:left="413" w:right="3" w:hanging="299"/>
        <w:jc w:val="both"/>
        <w:rPr>
          <w:sz w:val="17"/>
        </w:rPr>
      </w:pPr>
      <w:r>
        <w:rPr>
          <w:color w:val="131413"/>
          <w:sz w:val="17"/>
        </w:rPr>
        <w:t>Gorman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GS,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Schaefer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AM,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Ng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Y,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Gomez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N,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Blakely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EL,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Alston CL,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Feeney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C,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Horvath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R,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Yu-Wai-Man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P,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Chinnery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PF,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Taylor </w:t>
      </w:r>
      <w:r>
        <w:rPr>
          <w:color w:val="131413"/>
          <w:spacing w:val="-4"/>
          <w:sz w:val="17"/>
        </w:rPr>
        <w:t>RW, Turnbull DM, McFarland R (2015) Prevalence of nuclear and</w:t>
      </w:r>
      <w:r>
        <w:rPr>
          <w:color w:val="131413"/>
          <w:sz w:val="17"/>
        </w:rPr>
        <w:t> mitochondrial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DNA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mutations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related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to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adult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mitochondrial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dis- ease. Ann Neurol 77(5):753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759. </w:t>
      </w:r>
      <w:hyperlink r:id="rId29">
        <w:r>
          <w:rPr>
            <w:color w:val="0000FF"/>
            <w:sz w:val="17"/>
          </w:rPr>
          <w:t>https://doi.org/10.1002/ana.</w:t>
        </w:r>
      </w:hyperlink>
      <w:r>
        <w:rPr>
          <w:color w:val="0000FF"/>
          <w:sz w:val="17"/>
        </w:rPr>
        <w:t> </w:t>
      </w:r>
      <w:bookmarkStart w:name="_bookmark7" w:id="37"/>
      <w:bookmarkEnd w:id="37"/>
      <w:r>
        <w:rPr>
          <w:color w:val="0000FF"/>
          <w:w w:val="99"/>
          <w:sz w:val="17"/>
        </w:rPr>
      </w:r>
      <w:hyperlink r:id="rId29">
        <w:r>
          <w:rPr>
            <w:color w:val="0000FF"/>
            <w:spacing w:val="-2"/>
            <w:sz w:val="17"/>
          </w:rPr>
          <w:t>24362</w:t>
        </w:r>
      </w:hyperlink>
    </w:p>
    <w:p>
      <w:pPr>
        <w:pStyle w:val="ListParagraph"/>
        <w:numPr>
          <w:ilvl w:val="2"/>
          <w:numId w:val="2"/>
        </w:numPr>
        <w:tabs>
          <w:tab w:pos="413" w:val="left" w:leader="none"/>
        </w:tabs>
        <w:spacing w:line="244" w:lineRule="auto" w:before="4" w:after="0"/>
        <w:ind w:left="413" w:right="3" w:hanging="299"/>
        <w:jc w:val="both"/>
        <w:rPr>
          <w:sz w:val="17"/>
        </w:rPr>
      </w:pPr>
      <w:r>
        <w:rPr>
          <w:color w:val="131413"/>
          <w:spacing w:val="-4"/>
          <w:sz w:val="17"/>
        </w:rPr>
        <w:t>Wong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LJ,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Boles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RG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(2005)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Mitochondrial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DNA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analysis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in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clinical</w:t>
      </w:r>
      <w:r>
        <w:rPr>
          <w:color w:val="131413"/>
          <w:spacing w:val="-2"/>
          <w:sz w:val="17"/>
        </w:rPr>
        <w:t> laboratory diagnostics. Clin Chim Acta 354:1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20. </w:t>
      </w:r>
      <w:hyperlink r:id="rId30">
        <w:r>
          <w:rPr>
            <w:color w:val="0000FF"/>
            <w:spacing w:val="-2"/>
            <w:sz w:val="17"/>
          </w:rPr>
          <w:t>https://doi.org/</w:t>
        </w:r>
      </w:hyperlink>
      <w:r>
        <w:rPr>
          <w:color w:val="0000FF"/>
          <w:spacing w:val="-2"/>
          <w:sz w:val="17"/>
        </w:rPr>
        <w:t> </w:t>
      </w:r>
      <w:bookmarkStart w:name="_bookmark8" w:id="38"/>
      <w:bookmarkEnd w:id="38"/>
      <w:r>
        <w:rPr>
          <w:color w:val="0000FF"/>
          <w:w w:val="98"/>
          <w:sz w:val="17"/>
        </w:rPr>
      </w:r>
      <w:hyperlink r:id="rId30">
        <w:r>
          <w:rPr>
            <w:color w:val="0000FF"/>
            <w:spacing w:val="-2"/>
            <w:sz w:val="17"/>
          </w:rPr>
          <w:t>10.1016/j.cccn.2004.11.003</w:t>
        </w:r>
      </w:hyperlink>
    </w:p>
    <w:p>
      <w:pPr>
        <w:pStyle w:val="ListParagraph"/>
        <w:numPr>
          <w:ilvl w:val="2"/>
          <w:numId w:val="2"/>
        </w:numPr>
        <w:tabs>
          <w:tab w:pos="413" w:val="left" w:leader="none"/>
        </w:tabs>
        <w:spacing w:line="244" w:lineRule="auto" w:before="3" w:after="0"/>
        <w:ind w:left="413" w:right="5" w:hanging="299"/>
        <w:jc w:val="both"/>
        <w:rPr>
          <w:sz w:val="17"/>
        </w:rPr>
      </w:pPr>
      <w:r>
        <w:rPr>
          <w:color w:val="131413"/>
          <w:sz w:val="17"/>
        </w:rPr>
        <w:t>Calvo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SE,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Clauser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KR,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Mootha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VK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(2016)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MitoCarta2.0: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an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up- dated inventory of mammalian mitochondrial proteins. </w:t>
      </w:r>
      <w:r>
        <w:rPr>
          <w:color w:val="131413"/>
          <w:sz w:val="17"/>
        </w:rPr>
        <w:t>Nucleic </w:t>
      </w:r>
      <w:bookmarkStart w:name="_bookmark9" w:id="39"/>
      <w:bookmarkEnd w:id="39"/>
      <w:r>
        <w:rPr>
          <w:color w:val="131413"/>
          <w:spacing w:val="-4"/>
          <w:sz w:val="17"/>
        </w:rPr>
        <w:t>A</w:t>
      </w:r>
      <w:r>
        <w:rPr>
          <w:color w:val="131413"/>
          <w:spacing w:val="-4"/>
          <w:sz w:val="17"/>
        </w:rPr>
        <w:t>cids Res 44:D1251</w:t>
      </w:r>
      <w:r>
        <w:rPr>
          <w:rFonts w:ascii="Arial" w:hAnsi="Arial"/>
          <w:color w:val="131413"/>
          <w:spacing w:val="-4"/>
          <w:sz w:val="17"/>
        </w:rPr>
        <w:t>–</w:t>
      </w:r>
      <w:r>
        <w:rPr>
          <w:color w:val="131413"/>
          <w:spacing w:val="-4"/>
          <w:sz w:val="17"/>
        </w:rPr>
        <w:t>D1257. </w:t>
      </w:r>
      <w:hyperlink r:id="rId31">
        <w:r>
          <w:rPr>
            <w:color w:val="0000FF"/>
            <w:spacing w:val="-4"/>
            <w:sz w:val="17"/>
          </w:rPr>
          <w:t>https://doi.org/10.1093/nar/gkv1003</w:t>
        </w:r>
      </w:hyperlink>
    </w:p>
    <w:p>
      <w:pPr>
        <w:pStyle w:val="ListParagraph"/>
        <w:numPr>
          <w:ilvl w:val="2"/>
          <w:numId w:val="2"/>
        </w:numPr>
        <w:tabs>
          <w:tab w:pos="413" w:val="left" w:leader="none"/>
        </w:tabs>
        <w:spacing w:line="244" w:lineRule="auto" w:before="4" w:after="0"/>
        <w:ind w:left="413" w:right="5" w:hanging="299"/>
        <w:jc w:val="both"/>
        <w:rPr>
          <w:sz w:val="17"/>
        </w:rPr>
      </w:pPr>
      <w:r>
        <w:rPr>
          <w:color w:val="131413"/>
          <w:spacing w:val="-4"/>
          <w:sz w:val="17"/>
        </w:rPr>
        <w:t>Rahman S,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Copeland WC (2019) POLG-related disorders and their</w:t>
      </w:r>
      <w:r>
        <w:rPr>
          <w:color w:val="131413"/>
          <w:spacing w:val="-2"/>
          <w:sz w:val="17"/>
        </w:rPr>
        <w:t> neurological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manifestations.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Nat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Rev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Neurol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15(1):40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52.</w:t>
      </w:r>
      <w:r>
        <w:rPr>
          <w:color w:val="131413"/>
          <w:spacing w:val="-6"/>
          <w:sz w:val="17"/>
        </w:rPr>
        <w:t> </w:t>
      </w:r>
      <w:hyperlink r:id="rId32">
        <w:r>
          <w:rPr>
            <w:color w:val="0000FF"/>
            <w:spacing w:val="-2"/>
            <w:sz w:val="17"/>
          </w:rPr>
          <w:t>https://</w:t>
        </w:r>
      </w:hyperlink>
      <w:r>
        <w:rPr>
          <w:color w:val="0000FF"/>
          <w:spacing w:val="-2"/>
          <w:sz w:val="17"/>
        </w:rPr>
        <w:t> </w:t>
      </w:r>
      <w:hyperlink r:id="rId32">
        <w:r>
          <w:rPr>
            <w:color w:val="0000FF"/>
            <w:spacing w:val="-2"/>
            <w:sz w:val="17"/>
          </w:rPr>
          <w:t>doi.org/10.1038/s41582-018-0101-0</w:t>
        </w:r>
      </w:hyperlink>
    </w:p>
    <w:p>
      <w:pPr>
        <w:pStyle w:val="ListParagraph"/>
        <w:numPr>
          <w:ilvl w:val="2"/>
          <w:numId w:val="2"/>
        </w:numPr>
        <w:tabs>
          <w:tab w:pos="419" w:val="left" w:leader="none"/>
          <w:tab w:pos="421" w:val="left" w:leader="none"/>
        </w:tabs>
        <w:spacing w:line="244" w:lineRule="auto" w:before="3" w:after="0"/>
        <w:ind w:left="421" w:right="4" w:hanging="307"/>
        <w:jc w:val="both"/>
        <w:rPr>
          <w:sz w:val="17"/>
        </w:rPr>
      </w:pPr>
      <w:r>
        <w:rPr>
          <w:color w:val="131413"/>
          <w:sz w:val="17"/>
        </w:rPr>
        <w:t>Roos S, Macao B, Fusté JM, Lindberg C, Jemt E, Holme E, Moslemi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AR,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Oldfors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A,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Falkenberg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(2013)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Subnormal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levels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POL</w:t>
      </w:r>
      <w:r>
        <w:rPr>
          <w:rFonts w:ascii="Arial" w:hAnsi="Arial"/>
          <w:color w:val="131413"/>
          <w:spacing w:val="-2"/>
          <w:sz w:val="17"/>
        </w:rPr>
        <w:t>γ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cause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inefficient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initiation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light-strand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DNA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synthe- </w:t>
      </w:r>
      <w:r>
        <w:rPr>
          <w:color w:val="131413"/>
          <w:spacing w:val="-4"/>
          <w:sz w:val="17"/>
        </w:rPr>
        <w:t>sis and lead to mitochondrial DNA deletions and progressive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exter-</w:t>
      </w:r>
      <w:r>
        <w:rPr>
          <w:color w:val="131413"/>
          <w:sz w:val="17"/>
        </w:rPr>
        <w:t> nal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ophthalmoplegia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[corrected].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Hum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Mol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Genet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22(12):2411</w:t>
      </w:r>
      <w:r>
        <w:rPr>
          <w:rFonts w:ascii="Arial" w:hAnsi="Arial"/>
          <w:color w:val="131413"/>
          <w:sz w:val="17"/>
        </w:rPr>
        <w:t>– </w:t>
      </w:r>
      <w:bookmarkStart w:name="_bookmark10" w:id="40"/>
      <w:bookmarkEnd w:id="40"/>
      <w:r>
        <w:rPr>
          <w:rFonts w:ascii="Arial" w:hAnsi="Arial"/>
          <w:color w:val="131413"/>
          <w:w w:val="89"/>
          <w:sz w:val="17"/>
        </w:rPr>
      </w:r>
      <w:r>
        <w:rPr>
          <w:color w:val="131413"/>
          <w:sz w:val="17"/>
        </w:rPr>
        <w:t>2422. </w:t>
      </w:r>
      <w:hyperlink r:id="rId33">
        <w:r>
          <w:rPr>
            <w:color w:val="0000FF"/>
            <w:sz w:val="17"/>
          </w:rPr>
          <w:t>https://doi.org/10.1093/hmg/ddt094</w:t>
        </w:r>
      </w:hyperlink>
    </w:p>
    <w:p>
      <w:pPr>
        <w:pStyle w:val="ListParagraph"/>
        <w:numPr>
          <w:ilvl w:val="2"/>
          <w:numId w:val="2"/>
        </w:numPr>
        <w:tabs>
          <w:tab w:pos="413" w:val="left" w:leader="none"/>
        </w:tabs>
        <w:spacing w:line="244" w:lineRule="auto" w:before="4" w:after="0"/>
        <w:ind w:left="413" w:right="3" w:hanging="299"/>
        <w:jc w:val="both"/>
        <w:rPr>
          <w:sz w:val="17"/>
        </w:rPr>
      </w:pPr>
      <w:r>
        <w:rPr>
          <w:color w:val="131413"/>
          <w:spacing w:val="-2"/>
          <w:sz w:val="17"/>
        </w:rPr>
        <w:t>Anderson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AP,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Luo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X,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Russell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W,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Yin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YW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(2020)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Oxidative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dam- </w:t>
      </w:r>
      <w:r>
        <w:rPr>
          <w:color w:val="131413"/>
          <w:spacing w:val="-4"/>
          <w:sz w:val="17"/>
        </w:rPr>
        <w:t>age diminishes mitochondrial DNA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polymerase replication fidelity.</w:t>
      </w:r>
      <w:r>
        <w:rPr>
          <w:color w:val="131413"/>
          <w:sz w:val="17"/>
        </w:rPr>
        <w:t> Nucleic Acids Res 48(2):817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829. </w:t>
      </w:r>
      <w:hyperlink r:id="rId34">
        <w:r>
          <w:rPr>
            <w:color w:val="0000FF"/>
            <w:sz w:val="17"/>
          </w:rPr>
          <w:t>https://doi.org/10.1093/nar/</w:t>
        </w:r>
      </w:hyperlink>
      <w:r>
        <w:rPr>
          <w:color w:val="0000FF"/>
          <w:sz w:val="17"/>
        </w:rPr>
        <w:t> </w:t>
      </w:r>
      <w:bookmarkStart w:name="_bookmark11" w:id="41"/>
      <w:bookmarkEnd w:id="41"/>
      <w:r>
        <w:rPr>
          <w:color w:val="0000FF"/>
          <w:w w:val="96"/>
          <w:sz w:val="17"/>
        </w:rPr>
      </w:r>
      <w:hyperlink r:id="rId34">
        <w:r>
          <w:rPr>
            <w:color w:val="0000FF"/>
            <w:spacing w:val="-2"/>
            <w:sz w:val="17"/>
          </w:rPr>
          <w:t>gkz1018</w:t>
        </w:r>
      </w:hyperlink>
    </w:p>
    <w:p>
      <w:pPr>
        <w:pStyle w:val="ListParagraph"/>
        <w:numPr>
          <w:ilvl w:val="2"/>
          <w:numId w:val="2"/>
        </w:numPr>
        <w:tabs>
          <w:tab w:pos="413" w:val="left" w:leader="none"/>
        </w:tabs>
        <w:spacing w:line="244" w:lineRule="auto" w:before="4" w:after="0"/>
        <w:ind w:left="413" w:right="1" w:hanging="299"/>
        <w:jc w:val="both"/>
        <w:rPr>
          <w:sz w:val="17"/>
        </w:rPr>
      </w:pPr>
      <w:r>
        <w:rPr>
          <w:color w:val="131413"/>
          <w:sz w:val="17"/>
        </w:rPr>
        <w:t>Milone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M,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Benarroch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EE,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Wong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LJ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(2011)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POLG-related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disor- </w:t>
      </w:r>
      <w:r>
        <w:rPr>
          <w:color w:val="131413"/>
          <w:spacing w:val="-2"/>
          <w:sz w:val="17"/>
        </w:rPr>
        <w:t>ders: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defects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nuclear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mitochondrial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genome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interaction. </w:t>
      </w:r>
      <w:r>
        <w:rPr>
          <w:color w:val="131413"/>
          <w:sz w:val="17"/>
        </w:rPr>
        <w:t>Neurology 77(20):1847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1852. </w:t>
      </w:r>
      <w:hyperlink r:id="rId35">
        <w:r>
          <w:rPr>
            <w:color w:val="0000FF"/>
            <w:sz w:val="17"/>
          </w:rPr>
          <w:t>https://doi.org/10.1212/WNL.</w:t>
        </w:r>
      </w:hyperlink>
      <w:r>
        <w:rPr>
          <w:color w:val="0000FF"/>
          <w:sz w:val="17"/>
        </w:rPr>
        <w:t> </w:t>
      </w:r>
      <w:bookmarkStart w:name="_bookmark12" w:id="42"/>
      <w:bookmarkEnd w:id="42"/>
      <w:r>
        <w:rPr>
          <w:color w:val="0000FF"/>
          <w:spacing w:val="3"/>
          <w:w w:val="99"/>
          <w:sz w:val="17"/>
        </w:rPr>
      </w:r>
      <w:hyperlink r:id="rId35">
        <w:r>
          <w:rPr>
            <w:color w:val="0000FF"/>
            <w:spacing w:val="-2"/>
            <w:sz w:val="17"/>
          </w:rPr>
          <w:t>0b013e318238863a</w:t>
        </w:r>
      </w:hyperlink>
    </w:p>
    <w:p>
      <w:pPr>
        <w:pStyle w:val="ListParagraph"/>
        <w:numPr>
          <w:ilvl w:val="2"/>
          <w:numId w:val="2"/>
        </w:numPr>
        <w:tabs>
          <w:tab w:pos="413" w:val="left" w:leader="none"/>
        </w:tabs>
        <w:spacing w:line="244" w:lineRule="auto" w:before="5" w:after="0"/>
        <w:ind w:left="413" w:right="3" w:hanging="299"/>
        <w:jc w:val="both"/>
        <w:rPr>
          <w:sz w:val="17"/>
        </w:rPr>
      </w:pPr>
      <w:r>
        <w:rPr>
          <w:color w:val="131413"/>
          <w:spacing w:val="-4"/>
          <w:sz w:val="17"/>
        </w:rPr>
        <w:t>Gaudó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P,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Emperador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S,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Garrido-Pérez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4"/>
          <w:sz w:val="17"/>
        </w:rPr>
        <w:t>N, Ruiz-Pesini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E,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Yubero D,</w:t>
      </w:r>
      <w:r>
        <w:rPr>
          <w:color w:val="131413"/>
          <w:sz w:val="17"/>
        </w:rPr>
        <w:t> García-Cazorla A, Artuch R, Montoya J, Bayona-Bafaluy MP </w:t>
      </w:r>
      <w:r>
        <w:rPr>
          <w:color w:val="131413"/>
          <w:spacing w:val="-4"/>
          <w:sz w:val="17"/>
        </w:rPr>
        <w:t>(2020) Infectious stress triggers a POLG-related mitochondrial dis-</w:t>
      </w:r>
      <w:r>
        <w:rPr>
          <w:color w:val="131413"/>
          <w:spacing w:val="-2"/>
          <w:sz w:val="17"/>
        </w:rPr>
        <w:t> ease.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Neurogenetics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21(1):19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27.</w:t>
      </w:r>
      <w:r>
        <w:rPr>
          <w:color w:val="131413"/>
          <w:spacing w:val="-8"/>
          <w:sz w:val="17"/>
        </w:rPr>
        <w:t> </w:t>
      </w:r>
      <w:hyperlink r:id="rId36">
        <w:r>
          <w:rPr>
            <w:color w:val="0000FF"/>
            <w:spacing w:val="-2"/>
            <w:sz w:val="17"/>
          </w:rPr>
          <w:t>https://doi.org/10.1007/s10048-</w:t>
        </w:r>
      </w:hyperlink>
      <w:r>
        <w:rPr>
          <w:color w:val="0000FF"/>
          <w:spacing w:val="-2"/>
          <w:sz w:val="17"/>
        </w:rPr>
        <w:t> </w:t>
      </w:r>
      <w:bookmarkStart w:name="_bookmark13" w:id="43"/>
      <w:bookmarkEnd w:id="43"/>
      <w:r>
        <w:rPr>
          <w:color w:val="0000FF"/>
          <w:w w:val="96"/>
          <w:sz w:val="17"/>
        </w:rPr>
      </w:r>
      <w:hyperlink r:id="rId36">
        <w:r>
          <w:rPr>
            <w:color w:val="0000FF"/>
            <w:spacing w:val="-2"/>
            <w:sz w:val="17"/>
          </w:rPr>
          <w:t>019-00593-2</w:t>
        </w:r>
      </w:hyperlink>
    </w:p>
    <w:p>
      <w:pPr>
        <w:pStyle w:val="ListParagraph"/>
        <w:numPr>
          <w:ilvl w:val="2"/>
          <w:numId w:val="2"/>
        </w:numPr>
        <w:tabs>
          <w:tab w:pos="435" w:val="left" w:leader="none"/>
          <w:tab w:pos="437" w:val="left" w:leader="none"/>
        </w:tabs>
        <w:spacing w:line="244" w:lineRule="auto" w:before="4" w:after="0"/>
        <w:ind w:left="437" w:right="0" w:hanging="409"/>
        <w:jc w:val="both"/>
        <w:rPr>
          <w:sz w:val="17"/>
        </w:rPr>
      </w:pPr>
      <w:r>
        <w:rPr>
          <w:color w:val="131413"/>
          <w:sz w:val="17"/>
        </w:rPr>
        <w:t>Van Goethem G, Dermaut B, Löfgren A, Martin JJ, Van </w:t>
      </w:r>
      <w:r>
        <w:rPr>
          <w:color w:val="131413"/>
          <w:spacing w:val="-2"/>
          <w:sz w:val="17"/>
        </w:rPr>
        <w:t>Broeckhoven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C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(2001)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Mutation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POLG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is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associated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with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pro- gressive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external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ophthalmoplegia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characterized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by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mtDNA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dele- </w:t>
      </w:r>
      <w:bookmarkStart w:name="_bookmark14" w:id="44"/>
      <w:bookmarkEnd w:id="44"/>
      <w:r>
        <w:rPr>
          <w:color w:val="131413"/>
          <w:sz w:val="17"/>
        </w:rPr>
        <w:t>t</w:t>
      </w:r>
      <w:r>
        <w:rPr>
          <w:color w:val="131413"/>
          <w:sz w:val="17"/>
        </w:rPr>
        <w:t>ions. Nat Genet 28(3):211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212.</w:t>
      </w:r>
      <w:r>
        <w:rPr>
          <w:color w:val="131413"/>
          <w:spacing w:val="-3"/>
          <w:sz w:val="17"/>
        </w:rPr>
        <w:t> </w:t>
      </w:r>
      <w:hyperlink r:id="rId37">
        <w:r>
          <w:rPr>
            <w:color w:val="0000FF"/>
            <w:sz w:val="17"/>
          </w:rPr>
          <w:t>https://doi.org/10.1038/90034</w:t>
        </w:r>
      </w:hyperlink>
    </w:p>
    <w:p>
      <w:pPr>
        <w:pStyle w:val="ListParagraph"/>
        <w:numPr>
          <w:ilvl w:val="2"/>
          <w:numId w:val="2"/>
        </w:numPr>
        <w:tabs>
          <w:tab w:pos="410" w:val="left" w:leader="none"/>
        </w:tabs>
        <w:spacing w:line="244" w:lineRule="auto" w:before="3" w:after="0"/>
        <w:ind w:left="410" w:right="3" w:hanging="381"/>
        <w:jc w:val="both"/>
        <w:rPr>
          <w:sz w:val="17"/>
        </w:rPr>
      </w:pPr>
      <w:r>
        <w:rPr>
          <w:color w:val="131413"/>
          <w:sz w:val="17"/>
        </w:rPr>
        <w:t>Krasich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R,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Copeland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WC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(2017)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DNA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polymerases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mito- chondria: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critical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review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evidence.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Front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Biosci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22:692</w:t>
      </w:r>
      <w:r>
        <w:rPr>
          <w:rFonts w:ascii="Arial" w:hAnsi="Arial"/>
          <w:color w:val="131413"/>
          <w:sz w:val="17"/>
        </w:rPr>
        <w:t>– </w:t>
      </w:r>
      <w:r>
        <w:rPr>
          <w:color w:val="131413"/>
          <w:sz w:val="17"/>
        </w:rPr>
        <w:t>709. </w:t>
      </w:r>
      <w:hyperlink r:id="rId38">
        <w:r>
          <w:rPr>
            <w:color w:val="0000FF"/>
            <w:sz w:val="17"/>
          </w:rPr>
          <w:t>https://doi.org/10.2741/4510</w:t>
        </w:r>
      </w:hyperlink>
    </w:p>
    <w:p>
      <w:pPr>
        <w:pStyle w:val="ListParagraph"/>
        <w:numPr>
          <w:ilvl w:val="2"/>
          <w:numId w:val="2"/>
        </w:numPr>
        <w:tabs>
          <w:tab w:pos="410" w:val="left" w:leader="none"/>
        </w:tabs>
        <w:spacing w:line="244" w:lineRule="auto" w:before="4" w:after="0"/>
        <w:ind w:left="410" w:right="3" w:hanging="381"/>
        <w:jc w:val="both"/>
        <w:rPr>
          <w:sz w:val="17"/>
        </w:rPr>
      </w:pPr>
      <w:r>
        <w:rPr>
          <w:color w:val="131413"/>
          <w:spacing w:val="-4"/>
          <w:sz w:val="17"/>
        </w:rPr>
        <w:t>Hedberg-Oldfors C, Macao B, Basu S, Lindberg C, Peter B, Erdinc</w:t>
      </w:r>
      <w:r>
        <w:rPr>
          <w:color w:val="131413"/>
          <w:sz w:val="17"/>
        </w:rPr>
        <w:t> D, Uhler JP, Larsson E, Falkenberg M, Oldfors A (2020) Deep</w:t>
      </w:r>
    </w:p>
    <w:p>
      <w:pPr>
        <w:spacing w:line="244" w:lineRule="auto" w:before="90"/>
        <w:ind w:left="410" w:right="23" w:firstLine="0"/>
        <w:jc w:val="both"/>
        <w:rPr>
          <w:sz w:val="17"/>
        </w:rPr>
      </w:pPr>
      <w:r>
        <w:rPr/>
        <w:br w:type="column"/>
      </w:r>
      <w:r>
        <w:rPr>
          <w:color w:val="131413"/>
          <w:spacing w:val="-2"/>
          <w:sz w:val="17"/>
        </w:rPr>
        <w:t>sequencing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mitochondrial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DNA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characterization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novel POLG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mutation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in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patient with arPEO.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Neurol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Genet 6(1):e391. </w:t>
      </w:r>
      <w:hyperlink r:id="rId39">
        <w:r>
          <w:rPr>
            <w:color w:val="0000FF"/>
            <w:spacing w:val="-2"/>
            <w:sz w:val="17"/>
          </w:rPr>
          <w:t>https://doi.org/10.1212/nxg.0000000000000391</w:t>
        </w:r>
      </w:hyperlink>
    </w:p>
    <w:p>
      <w:pPr>
        <w:pStyle w:val="ListParagraph"/>
        <w:numPr>
          <w:ilvl w:val="2"/>
          <w:numId w:val="2"/>
        </w:numPr>
        <w:tabs>
          <w:tab w:pos="410" w:val="left" w:leader="none"/>
        </w:tabs>
        <w:spacing w:line="244" w:lineRule="auto" w:before="18" w:after="0"/>
        <w:ind w:left="410" w:right="24" w:hanging="381"/>
        <w:jc w:val="both"/>
        <w:rPr>
          <w:sz w:val="17"/>
        </w:rPr>
      </w:pPr>
      <w:r>
        <w:rPr>
          <w:color w:val="131413"/>
          <w:spacing w:val="-4"/>
          <w:sz w:val="17"/>
        </w:rPr>
        <w:t>Fuke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Kametani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M,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Yamada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K,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Kasahara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Kubota-Sakashita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M,</w:t>
      </w:r>
      <w:r>
        <w:rPr>
          <w:color w:val="131413"/>
          <w:sz w:val="17"/>
        </w:rPr>
        <w:t> </w:t>
      </w:r>
      <w:r>
        <w:rPr>
          <w:color w:val="131413"/>
          <w:spacing w:val="-4"/>
          <w:sz w:val="17"/>
        </w:rPr>
        <w:t>Kujoth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GC,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Prolla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TA,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Hitoshi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Kato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(2014)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Heterozygous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Polg</w:t>
      </w:r>
      <w:r>
        <w:rPr>
          <w:color w:val="131413"/>
          <w:spacing w:val="-2"/>
          <w:sz w:val="17"/>
        </w:rPr>
        <w:t> mutation causes motor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dysfunction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due to mtDNA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deletions. Ann </w:t>
      </w:r>
      <w:r>
        <w:rPr>
          <w:color w:val="131413"/>
          <w:sz w:val="17"/>
        </w:rPr>
        <w:t>Clin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Transl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Neurol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1(11):909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920.</w:t>
      </w:r>
      <w:r>
        <w:rPr>
          <w:color w:val="131413"/>
          <w:spacing w:val="-11"/>
          <w:sz w:val="17"/>
        </w:rPr>
        <w:t> </w:t>
      </w:r>
      <w:hyperlink r:id="rId40">
        <w:r>
          <w:rPr>
            <w:color w:val="0000FF"/>
            <w:sz w:val="17"/>
          </w:rPr>
          <w:t>https://doi.org/10.1002/acn3.</w:t>
        </w:r>
      </w:hyperlink>
      <w:r>
        <w:rPr>
          <w:color w:val="0000FF"/>
          <w:sz w:val="17"/>
        </w:rPr>
        <w:t> </w:t>
      </w:r>
      <w:hyperlink r:id="rId40">
        <w:r>
          <w:rPr>
            <w:color w:val="0000FF"/>
            <w:spacing w:val="-4"/>
            <w:sz w:val="17"/>
          </w:rPr>
          <w:t>133</w:t>
        </w:r>
      </w:hyperlink>
    </w:p>
    <w:p>
      <w:pPr>
        <w:pStyle w:val="ListParagraph"/>
        <w:numPr>
          <w:ilvl w:val="2"/>
          <w:numId w:val="2"/>
        </w:numPr>
        <w:tabs>
          <w:tab w:pos="410" w:val="left" w:leader="none"/>
        </w:tabs>
        <w:spacing w:line="244" w:lineRule="auto" w:before="20" w:after="0"/>
        <w:ind w:left="410" w:right="24" w:hanging="381"/>
        <w:jc w:val="both"/>
        <w:rPr>
          <w:sz w:val="17"/>
        </w:rPr>
      </w:pPr>
      <w:r>
        <w:rPr>
          <w:color w:val="131413"/>
          <w:sz w:val="17"/>
        </w:rPr>
        <w:t>Da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Pozzo P,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Cardaioli E, Rubegni A, Gallus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GN, Malandrini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A, </w:t>
      </w:r>
      <w:r>
        <w:rPr>
          <w:color w:val="131413"/>
          <w:spacing w:val="-4"/>
          <w:sz w:val="17"/>
        </w:rPr>
        <w:t>Rufa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A,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Battisti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C,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Carluccio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MA,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Rocchi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R,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Giannini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F,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Bianchi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A,</w:t>
      </w:r>
      <w:r>
        <w:rPr>
          <w:color w:val="131413"/>
          <w:sz w:val="17"/>
        </w:rPr>
        <w:t> Mancuso M, Siciliano G, Dotti MT, Federico A (2017) Novel </w:t>
      </w:r>
      <w:r>
        <w:rPr>
          <w:color w:val="131413"/>
          <w:spacing w:val="-2"/>
          <w:sz w:val="17"/>
        </w:rPr>
        <w:t>POLG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mutations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variable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clinical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phenotypes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in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13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Italian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pa- tients.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Neurol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Sci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38(4):563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570.</w:t>
      </w:r>
      <w:r>
        <w:rPr>
          <w:color w:val="131413"/>
          <w:spacing w:val="-4"/>
          <w:sz w:val="17"/>
        </w:rPr>
        <w:t> </w:t>
      </w:r>
      <w:hyperlink r:id="rId41">
        <w:r>
          <w:rPr>
            <w:color w:val="0000FF"/>
            <w:spacing w:val="-2"/>
            <w:sz w:val="17"/>
          </w:rPr>
          <w:t>https://doi.org/10.1007/s10072-</w:t>
        </w:r>
      </w:hyperlink>
      <w:r>
        <w:rPr>
          <w:color w:val="0000FF"/>
          <w:spacing w:val="-2"/>
          <w:sz w:val="17"/>
        </w:rPr>
        <w:t> </w:t>
      </w:r>
      <w:bookmarkStart w:name="_bookmark15" w:id="45"/>
      <w:bookmarkEnd w:id="45"/>
      <w:r>
        <w:rPr>
          <w:color w:val="0000FF"/>
          <w:w w:val="98"/>
          <w:sz w:val="17"/>
        </w:rPr>
      </w:r>
      <w:hyperlink r:id="rId41">
        <w:r>
          <w:rPr>
            <w:color w:val="0000FF"/>
            <w:spacing w:val="-2"/>
            <w:sz w:val="17"/>
          </w:rPr>
          <w:t>016-2734-3</w:t>
        </w:r>
      </w:hyperlink>
    </w:p>
    <w:p>
      <w:pPr>
        <w:pStyle w:val="ListParagraph"/>
        <w:numPr>
          <w:ilvl w:val="2"/>
          <w:numId w:val="2"/>
        </w:numPr>
        <w:tabs>
          <w:tab w:pos="410" w:val="left" w:leader="none"/>
        </w:tabs>
        <w:spacing w:line="244" w:lineRule="auto" w:before="19" w:after="0"/>
        <w:ind w:left="410" w:right="25" w:hanging="381"/>
        <w:jc w:val="both"/>
        <w:rPr>
          <w:sz w:val="17"/>
        </w:rPr>
      </w:pPr>
      <w:r>
        <w:rPr>
          <w:color w:val="131413"/>
          <w:spacing w:val="-2"/>
          <w:sz w:val="17"/>
        </w:rPr>
        <w:t>Finsterer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J,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Scorza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FA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(2018)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Phenotypic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spectrum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POLG1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mu- </w:t>
      </w:r>
      <w:r>
        <w:rPr>
          <w:color w:val="131413"/>
          <w:spacing w:val="-4"/>
          <w:sz w:val="17"/>
        </w:rPr>
        <w:t>tations. Neurol Sci 39(3):571</w:t>
      </w:r>
      <w:r>
        <w:rPr>
          <w:rFonts w:ascii="Arial" w:hAnsi="Arial"/>
          <w:color w:val="131413"/>
          <w:spacing w:val="-4"/>
          <w:sz w:val="17"/>
        </w:rPr>
        <w:t>–</w:t>
      </w:r>
      <w:r>
        <w:rPr>
          <w:color w:val="131413"/>
          <w:spacing w:val="-4"/>
          <w:sz w:val="17"/>
        </w:rPr>
        <w:t>573. </w:t>
      </w:r>
      <w:hyperlink r:id="rId42">
        <w:r>
          <w:rPr>
            <w:color w:val="0000FF"/>
            <w:spacing w:val="-4"/>
            <w:sz w:val="17"/>
          </w:rPr>
          <w:t>https://doi.org/10.1007/s10072-</w:t>
        </w:r>
      </w:hyperlink>
      <w:r>
        <w:rPr>
          <w:color w:val="0000FF"/>
          <w:sz w:val="17"/>
        </w:rPr>
        <w:t> </w:t>
      </w:r>
      <w:bookmarkStart w:name="_bookmark16" w:id="46"/>
      <w:bookmarkEnd w:id="46"/>
      <w:r>
        <w:rPr>
          <w:color w:val="0000FF"/>
          <w:w w:val="96"/>
          <w:sz w:val="17"/>
        </w:rPr>
      </w:r>
      <w:hyperlink r:id="rId42">
        <w:r>
          <w:rPr>
            <w:color w:val="0000FF"/>
            <w:spacing w:val="-2"/>
            <w:sz w:val="17"/>
          </w:rPr>
          <w:t>017-3116-1</w:t>
        </w:r>
      </w:hyperlink>
    </w:p>
    <w:p>
      <w:pPr>
        <w:pStyle w:val="ListParagraph"/>
        <w:numPr>
          <w:ilvl w:val="2"/>
          <w:numId w:val="2"/>
        </w:numPr>
        <w:tabs>
          <w:tab w:pos="410" w:val="left" w:leader="none"/>
          <w:tab w:pos="412" w:val="left" w:leader="none"/>
        </w:tabs>
        <w:spacing w:line="244" w:lineRule="auto" w:before="18" w:after="0"/>
        <w:ind w:left="412" w:right="15" w:hanging="384"/>
        <w:jc w:val="both"/>
        <w:rPr>
          <w:sz w:val="17"/>
        </w:rPr>
      </w:pPr>
      <w:r>
        <w:rPr>
          <w:color w:val="131413"/>
          <w:sz w:val="17"/>
        </w:rPr>
        <w:t>Heighton JN, Brady LI, Sadikovic B, Bulman DE, Tarnopolsky MA </w:t>
      </w:r>
      <w:r>
        <w:rPr>
          <w:color w:val="131413"/>
          <w:spacing w:val="9"/>
          <w:sz w:val="17"/>
        </w:rPr>
        <w:t>(2019)</w:t>
      </w:r>
      <w:r>
        <w:rPr>
          <w:color w:val="131413"/>
          <w:spacing w:val="9"/>
          <w:sz w:val="17"/>
        </w:rPr>
        <w:t> </w:t>
      </w:r>
      <w:r>
        <w:rPr>
          <w:color w:val="131413"/>
          <w:spacing w:val="10"/>
          <w:sz w:val="17"/>
        </w:rPr>
        <w:t>Genotypes</w:t>
      </w:r>
      <w:r>
        <w:rPr>
          <w:color w:val="131413"/>
          <w:spacing w:val="10"/>
          <w:sz w:val="17"/>
        </w:rPr>
        <w:t> </w:t>
      </w:r>
      <w:r>
        <w:rPr>
          <w:color w:val="131413"/>
          <w:sz w:val="17"/>
        </w:rPr>
        <w:t>of </w:t>
      </w:r>
      <w:r>
        <w:rPr>
          <w:color w:val="131413"/>
          <w:spacing w:val="9"/>
          <w:sz w:val="17"/>
        </w:rPr>
        <w:t>chronic</w:t>
      </w:r>
      <w:r>
        <w:rPr>
          <w:color w:val="131413"/>
          <w:spacing w:val="9"/>
          <w:sz w:val="17"/>
        </w:rPr>
        <w:t> </w:t>
      </w:r>
      <w:r>
        <w:rPr>
          <w:color w:val="131413"/>
          <w:spacing w:val="10"/>
          <w:sz w:val="17"/>
        </w:rPr>
        <w:t>progressive</w:t>
      </w:r>
      <w:r>
        <w:rPr>
          <w:color w:val="131413"/>
          <w:spacing w:val="10"/>
          <w:sz w:val="17"/>
        </w:rPr>
        <w:t> </w:t>
      </w:r>
      <w:r>
        <w:rPr>
          <w:color w:val="131413"/>
          <w:spacing w:val="11"/>
          <w:sz w:val="17"/>
        </w:rPr>
        <w:t>external </w:t>
      </w:r>
      <w:r>
        <w:rPr>
          <w:color w:val="131413"/>
          <w:sz w:val="17"/>
        </w:rPr>
        <w:t>ophthalmoplegia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large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adult-onset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cohort.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Mitochondrion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49: </w:t>
      </w:r>
      <w:bookmarkStart w:name="_bookmark17" w:id="47"/>
      <w:bookmarkEnd w:id="47"/>
      <w:r>
        <w:rPr>
          <w:color w:val="131413"/>
          <w:sz w:val="17"/>
        </w:rPr>
        <w:t>2</w:t>
      </w:r>
      <w:r>
        <w:rPr>
          <w:color w:val="131413"/>
          <w:sz w:val="17"/>
        </w:rPr>
        <w:t>27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231. </w:t>
      </w:r>
      <w:hyperlink r:id="rId43">
        <w:r>
          <w:rPr>
            <w:color w:val="0000FF"/>
            <w:sz w:val="17"/>
          </w:rPr>
          <w:t>https://doi.org/10.1016/j.mito.2019.09.002</w:t>
        </w:r>
      </w:hyperlink>
    </w:p>
    <w:p>
      <w:pPr>
        <w:pStyle w:val="ListParagraph"/>
        <w:numPr>
          <w:ilvl w:val="2"/>
          <w:numId w:val="2"/>
        </w:numPr>
        <w:tabs>
          <w:tab w:pos="413" w:val="left" w:leader="none"/>
        </w:tabs>
        <w:spacing w:line="244" w:lineRule="auto" w:before="21" w:after="0"/>
        <w:ind w:left="413" w:right="25" w:hanging="384"/>
        <w:jc w:val="both"/>
        <w:rPr>
          <w:sz w:val="17"/>
        </w:rPr>
      </w:pPr>
      <w:r>
        <w:rPr>
          <w:color w:val="131413"/>
          <w:sz w:val="17"/>
        </w:rPr>
        <w:t>Rodríguez-López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C,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García-Cárdaba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LM,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Blázquez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A,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Serrano- Lorenzo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P,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Gutiérrez-Gutiérrez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G,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San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Millán-Tejado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B,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Muelas N, Hernández-Laín A, Vílchez JJ, Gutiérrez-Rivas E, Arenas J, </w:t>
      </w:r>
      <w:r>
        <w:rPr>
          <w:color w:val="131413"/>
          <w:spacing w:val="-2"/>
          <w:sz w:val="17"/>
        </w:rPr>
        <w:t>Martín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MA,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Domínguez-González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C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(2020)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Clinical,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pathological and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genetic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spectrum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in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89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cases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mitochondrial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progressive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ex- </w:t>
      </w:r>
      <w:r>
        <w:rPr>
          <w:color w:val="131413"/>
          <w:sz w:val="17"/>
        </w:rPr>
        <w:t>ternal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ophthalmoplegia.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J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Med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Genet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57(9):643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646.</w:t>
      </w:r>
      <w:r>
        <w:rPr>
          <w:color w:val="131413"/>
          <w:spacing w:val="-11"/>
          <w:sz w:val="17"/>
        </w:rPr>
        <w:t> </w:t>
      </w:r>
      <w:hyperlink r:id="rId44">
        <w:r>
          <w:rPr>
            <w:color w:val="0000FF"/>
            <w:sz w:val="17"/>
          </w:rPr>
          <w:t>https://doi.</w:t>
        </w:r>
      </w:hyperlink>
      <w:r>
        <w:rPr>
          <w:color w:val="0000FF"/>
          <w:sz w:val="17"/>
        </w:rPr>
        <w:t> </w:t>
      </w:r>
      <w:bookmarkStart w:name="_bookmark18" w:id="48"/>
      <w:bookmarkEnd w:id="48"/>
      <w:r>
        <w:rPr>
          <w:color w:val="0000FF"/>
          <w:w w:val="98"/>
          <w:sz w:val="17"/>
        </w:rPr>
      </w:r>
      <w:hyperlink r:id="rId44">
        <w:r>
          <w:rPr>
            <w:color w:val="0000FF"/>
            <w:spacing w:val="-2"/>
            <w:sz w:val="17"/>
          </w:rPr>
          <w:t>org/10.1136/jmedgenet-2019-106649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0" w:after="0"/>
        <w:ind w:left="409" w:right="21" w:hanging="381"/>
        <w:jc w:val="both"/>
        <w:rPr>
          <w:sz w:val="17"/>
        </w:rPr>
      </w:pPr>
      <w:r>
        <w:rPr>
          <w:color w:val="131413"/>
          <w:sz w:val="17"/>
        </w:rPr>
        <w:t>Sommerville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EW,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Chinnery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PF,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Gorman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GS,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Taylor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RW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(2014) Adult-onset Mendelian PEO Associated with Mitochondrial Disease. J Neuromuscul Dis 1(2):119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133 doi:undefined</w:t>
      </w:r>
    </w:p>
    <w:p>
      <w:pPr>
        <w:pStyle w:val="ListParagraph"/>
        <w:numPr>
          <w:ilvl w:val="2"/>
          <w:numId w:val="2"/>
        </w:numPr>
        <w:tabs>
          <w:tab w:pos="411" w:val="left" w:leader="none"/>
          <w:tab w:pos="413" w:val="left" w:leader="none"/>
        </w:tabs>
        <w:spacing w:line="244" w:lineRule="auto" w:before="17" w:after="0"/>
        <w:ind w:left="413" w:right="24" w:hanging="386"/>
        <w:jc w:val="both"/>
        <w:rPr>
          <w:sz w:val="17"/>
        </w:rPr>
      </w:pPr>
      <w:r>
        <w:rPr>
          <w:color w:val="131413"/>
          <w:sz w:val="17"/>
        </w:rPr>
        <w:t>Milone M, Brunetti-Pierri N, Tang LY, Kumar N, Mezei MM, Josephs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K,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Powell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S,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Simpson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E,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Wong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LJ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(2008)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Sensory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ataxic neuropathy with ophthalmoparesis caused by POLG mutations. Neuromuscul Disord 18(8):626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632. </w:t>
      </w:r>
      <w:hyperlink r:id="rId45">
        <w:r>
          <w:rPr>
            <w:color w:val="0000FF"/>
            <w:sz w:val="17"/>
          </w:rPr>
          <w:t>https://doi.org/10.1016/j.</w:t>
        </w:r>
      </w:hyperlink>
      <w:r>
        <w:rPr>
          <w:color w:val="0000FF"/>
          <w:sz w:val="17"/>
        </w:rPr>
        <w:t> </w:t>
      </w:r>
      <w:hyperlink r:id="rId45">
        <w:r>
          <w:rPr>
            <w:color w:val="0000FF"/>
            <w:spacing w:val="-2"/>
            <w:sz w:val="17"/>
          </w:rPr>
          <w:t>nmd.2008.05.009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0" w:after="0"/>
        <w:ind w:left="409" w:right="24" w:hanging="381"/>
        <w:jc w:val="both"/>
        <w:rPr>
          <w:sz w:val="17"/>
        </w:rPr>
      </w:pPr>
      <w:r>
        <w:rPr>
          <w:color w:val="131413"/>
          <w:spacing w:val="-4"/>
          <w:sz w:val="17"/>
        </w:rPr>
        <w:t>Ji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K,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Liu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K,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Lin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P,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Wen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B,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Luo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YB,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Zhao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Y,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Yan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C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(2014)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Twinkle</w:t>
      </w:r>
      <w:r>
        <w:rPr>
          <w:color w:val="131413"/>
          <w:sz w:val="17"/>
        </w:rPr>
        <w:t> mutations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two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Chinese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families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with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autosomal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dominant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pro- gressive external ophthalmoplegia. Neurol Sci 35(3):443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448. </w:t>
      </w:r>
      <w:bookmarkStart w:name="_bookmark19" w:id="49"/>
      <w:bookmarkEnd w:id="49"/>
      <w:r>
        <w:rPr>
          <w:color w:val="131413"/>
          <w:spacing w:val="1"/>
          <w:w w:val="99"/>
          <w:sz w:val="17"/>
        </w:rPr>
      </w:r>
      <w:hyperlink r:id="rId46">
        <w:r>
          <w:rPr>
            <w:color w:val="0000FF"/>
            <w:spacing w:val="-2"/>
            <w:sz w:val="17"/>
          </w:rPr>
          <w:t>https://doi.org/10.1007/s10072-013-1557-8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19" w:after="0"/>
        <w:ind w:left="409" w:right="24" w:hanging="381"/>
        <w:jc w:val="both"/>
        <w:rPr>
          <w:sz w:val="17"/>
        </w:rPr>
      </w:pPr>
      <w:r>
        <w:rPr>
          <w:color w:val="131413"/>
          <w:spacing w:val="-2"/>
          <w:sz w:val="17"/>
        </w:rPr>
        <w:t>Da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Pozzo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Rubegni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Rufa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Cardaioli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E,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Taglia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I,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Gallus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GN, Malandrini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Federico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(2015)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Sporadic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PEO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caused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by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novel </w:t>
      </w:r>
      <w:r>
        <w:rPr>
          <w:color w:val="131413"/>
          <w:sz w:val="17"/>
        </w:rPr>
        <w:t>POLG variation and a Twinkle mutation: digenic inheritance? </w:t>
      </w:r>
      <w:bookmarkStart w:name="_bookmark20" w:id="50"/>
      <w:bookmarkEnd w:id="50"/>
      <w:r>
        <w:rPr>
          <w:color w:val="131413"/>
          <w:spacing w:val="-2"/>
          <w:sz w:val="17"/>
        </w:rPr>
        <w:t>N</w:t>
      </w:r>
      <w:r>
        <w:rPr>
          <w:color w:val="131413"/>
          <w:spacing w:val="-2"/>
          <w:sz w:val="17"/>
        </w:rPr>
        <w:t>eurol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Sci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36(9):1713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1715.</w:t>
      </w:r>
      <w:r>
        <w:rPr>
          <w:color w:val="131413"/>
          <w:spacing w:val="-8"/>
          <w:sz w:val="17"/>
        </w:rPr>
        <w:t> </w:t>
      </w:r>
      <w:hyperlink r:id="rId47">
        <w:r>
          <w:rPr>
            <w:color w:val="0000FF"/>
            <w:spacing w:val="-2"/>
            <w:sz w:val="17"/>
          </w:rPr>
          <w:t>https://doi.org/10.1007/s10072-015-</w:t>
        </w:r>
      </w:hyperlink>
      <w:r>
        <w:rPr>
          <w:color w:val="0000FF"/>
          <w:spacing w:val="-2"/>
          <w:sz w:val="17"/>
        </w:rPr>
        <w:t> </w:t>
      </w:r>
      <w:hyperlink r:id="rId47">
        <w:r>
          <w:rPr>
            <w:color w:val="0000FF"/>
            <w:spacing w:val="-2"/>
            <w:sz w:val="17"/>
          </w:rPr>
          <w:t>2247-5</w:t>
        </w:r>
      </w:hyperlink>
    </w:p>
    <w:p>
      <w:pPr>
        <w:pStyle w:val="ListParagraph"/>
        <w:numPr>
          <w:ilvl w:val="2"/>
          <w:numId w:val="2"/>
        </w:numPr>
        <w:tabs>
          <w:tab w:pos="415" w:val="left" w:leader="none"/>
          <w:tab w:pos="417" w:val="left" w:leader="none"/>
        </w:tabs>
        <w:spacing w:line="244" w:lineRule="auto" w:before="18" w:after="0"/>
        <w:ind w:left="417" w:right="24" w:hanging="389"/>
        <w:jc w:val="both"/>
        <w:rPr>
          <w:sz w:val="17"/>
        </w:rPr>
      </w:pPr>
      <w:r>
        <w:rPr>
          <w:color w:val="131413"/>
          <w:sz w:val="17"/>
        </w:rPr>
        <w:t>Neeve VC, Samuels DC, Bindoff LA, van den Bosch B, Van Goethem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G,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Smeets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H,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Lombès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Jardel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C,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Hirano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M,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Dimauro </w:t>
      </w:r>
      <w:r>
        <w:rPr>
          <w:color w:val="131413"/>
          <w:spacing w:val="-4"/>
          <w:sz w:val="17"/>
        </w:rPr>
        <w:t>S,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De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Vries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M,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Smeitink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J,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Smits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BW,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de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Coo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IF,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Saft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C,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Klopstock</w:t>
      </w:r>
      <w:r>
        <w:rPr>
          <w:color w:val="131413"/>
          <w:sz w:val="17"/>
        </w:rPr>
        <w:t> T, Keiling BC, Czermin B, Abicht A, Lochmülle H, Hudson G, Gorman GG, Turnbull DM, Taylor RW, Holinski-Feder E, </w:t>
      </w:r>
      <w:r>
        <w:rPr>
          <w:color w:val="131413"/>
          <w:spacing w:val="-2"/>
          <w:sz w:val="17"/>
        </w:rPr>
        <w:t>Chinnery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PF,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Horvath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R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(2012)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What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is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influencing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the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phenotype </w:t>
      </w:r>
      <w:bookmarkStart w:name="_bookmark21" w:id="51"/>
      <w:bookmarkEnd w:id="51"/>
      <w:r>
        <w:rPr>
          <w:color w:val="131413"/>
          <w:spacing w:val="-4"/>
          <w:sz w:val="17"/>
        </w:rPr>
        <w:t>of</w:t>
      </w:r>
      <w:r>
        <w:rPr>
          <w:color w:val="131413"/>
          <w:spacing w:val="-4"/>
          <w:sz w:val="17"/>
        </w:rPr>
        <w:t> the common homozygous polymerase-</w:t>
      </w:r>
      <w:r>
        <w:rPr>
          <w:rFonts w:ascii="Arial" w:hAnsi="Arial"/>
          <w:color w:val="131413"/>
          <w:spacing w:val="-4"/>
          <w:sz w:val="17"/>
        </w:rPr>
        <w:t>γ </w:t>
      </w:r>
      <w:r>
        <w:rPr>
          <w:color w:val="131413"/>
          <w:spacing w:val="-4"/>
          <w:sz w:val="17"/>
        </w:rPr>
        <w:t>mutation p.Ala467Thr?</w:t>
      </w:r>
      <w:r>
        <w:rPr>
          <w:color w:val="131413"/>
          <w:sz w:val="17"/>
        </w:rPr>
        <w:t> Brain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135:3614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3626.</w:t>
      </w:r>
      <w:r>
        <w:rPr>
          <w:color w:val="131413"/>
          <w:spacing w:val="-2"/>
          <w:sz w:val="17"/>
        </w:rPr>
        <w:t> </w:t>
      </w:r>
      <w:hyperlink r:id="rId48">
        <w:r>
          <w:rPr>
            <w:color w:val="0000FF"/>
            <w:sz w:val="17"/>
          </w:rPr>
          <w:t>https://doi.org/10.1093/brain/aws298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0" w:after="0"/>
        <w:ind w:left="409" w:right="24" w:hanging="381"/>
        <w:jc w:val="both"/>
        <w:rPr>
          <w:sz w:val="17"/>
        </w:rPr>
      </w:pPr>
      <w:r>
        <w:rPr>
          <w:color w:val="131413"/>
          <w:spacing w:val="-2"/>
          <w:sz w:val="17"/>
        </w:rPr>
        <w:t>Horvath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R,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Hudson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G,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Ferrari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G,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Fütterer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N,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Ahola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Lamantea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E, Prokisch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H,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Lochmüller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H,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McFarland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R,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Ramesh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V,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Klopstock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T, </w:t>
      </w:r>
      <w:r>
        <w:rPr>
          <w:color w:val="131413"/>
          <w:sz w:val="17"/>
        </w:rPr>
        <w:t>Freisinger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P,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Salvi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F,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Mayr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JA,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Santer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R,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Tesarova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M,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Zeman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J, </w:t>
      </w:r>
      <w:r>
        <w:rPr>
          <w:color w:val="131413"/>
          <w:spacing w:val="-2"/>
          <w:sz w:val="17"/>
        </w:rPr>
        <w:t>Udd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B,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Taylor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RW,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Turnbull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D,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Hanna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Fialho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D,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Suomalainen </w:t>
      </w:r>
      <w:r>
        <w:rPr>
          <w:color w:val="131413"/>
          <w:spacing w:val="-4"/>
          <w:sz w:val="17"/>
        </w:rPr>
        <w:t>A, Zeviani M, Chinnery PF (2006) Phenotypic spectrum associated</w:t>
      </w:r>
      <w:r>
        <w:rPr>
          <w:color w:val="131413"/>
          <w:sz w:val="17"/>
        </w:rPr>
        <w:t> </w:t>
      </w:r>
      <w:bookmarkStart w:name="_bookmark22" w:id="52"/>
      <w:bookmarkEnd w:id="52"/>
      <w:r>
        <w:rPr>
          <w:color w:val="131413"/>
          <w:sz w:val="17"/>
        </w:rPr>
        <w:t>w</w:t>
      </w:r>
      <w:r>
        <w:rPr>
          <w:color w:val="131413"/>
          <w:sz w:val="17"/>
        </w:rPr>
        <w:t>ith mutations of the mitochondrial polymerase gamma gene. Brain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129:1674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1684.</w:t>
      </w:r>
      <w:r>
        <w:rPr>
          <w:color w:val="131413"/>
          <w:spacing w:val="-3"/>
          <w:sz w:val="17"/>
        </w:rPr>
        <w:t> </w:t>
      </w:r>
      <w:hyperlink r:id="rId49">
        <w:r>
          <w:rPr>
            <w:color w:val="0000FF"/>
            <w:sz w:val="17"/>
          </w:rPr>
          <w:t>https://doi.org/10.1093/brain/awl088</w:t>
        </w:r>
      </w:hyperlink>
    </w:p>
    <w:p>
      <w:pPr>
        <w:pStyle w:val="ListParagraph"/>
        <w:numPr>
          <w:ilvl w:val="2"/>
          <w:numId w:val="2"/>
        </w:numPr>
        <w:tabs>
          <w:tab w:pos="408" w:val="left" w:leader="none"/>
          <w:tab w:pos="410" w:val="left" w:leader="none"/>
        </w:tabs>
        <w:spacing w:line="244" w:lineRule="auto" w:before="19" w:after="0"/>
        <w:ind w:left="410" w:right="24" w:hanging="383"/>
        <w:jc w:val="both"/>
        <w:rPr>
          <w:sz w:val="17"/>
        </w:rPr>
      </w:pPr>
      <w:r>
        <w:rPr>
          <w:color w:val="131413"/>
          <w:sz w:val="17"/>
        </w:rPr>
        <w:t>Kollberg G, Moslemi AR, Darin N, Nennesmo I, Bjarnadottir I, Uvebrant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P,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Holme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E,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Melberg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A,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Tulinius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M,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Oldfors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(2006) POLG1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mutations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associated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with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progressive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encephalopathy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in childhood.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J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Neuropathol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Exp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Neurol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65(8):758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768.</w:t>
      </w:r>
      <w:r>
        <w:rPr>
          <w:color w:val="131413"/>
          <w:spacing w:val="-10"/>
          <w:sz w:val="17"/>
        </w:rPr>
        <w:t> </w:t>
      </w:r>
      <w:hyperlink r:id="rId50">
        <w:r>
          <w:rPr>
            <w:color w:val="0000FF"/>
            <w:sz w:val="17"/>
          </w:rPr>
          <w:t>https://doi.</w:t>
        </w:r>
      </w:hyperlink>
      <w:r>
        <w:rPr>
          <w:color w:val="0000FF"/>
          <w:sz w:val="17"/>
        </w:rPr>
        <w:t> </w:t>
      </w:r>
      <w:hyperlink r:id="rId50">
        <w:r>
          <w:rPr>
            <w:color w:val="0000FF"/>
            <w:spacing w:val="-2"/>
            <w:sz w:val="17"/>
          </w:rPr>
          <w:t>org/10.1097/01.jnen.0000229987.17548.6e</w:t>
        </w:r>
      </w:hyperlink>
    </w:p>
    <w:p>
      <w:pPr>
        <w:pStyle w:val="ListParagraph"/>
        <w:spacing w:after="0" w:line="244" w:lineRule="auto"/>
        <w:jc w:val="both"/>
        <w:rPr>
          <w:sz w:val="17"/>
        </w:rPr>
        <w:sectPr>
          <w:type w:val="continuous"/>
          <w:pgSz w:w="11910" w:h="15820"/>
          <w:pgMar w:header="0" w:footer="902" w:top="580" w:bottom="1100" w:left="992" w:right="992"/>
          <w:cols w:num="2" w:equalWidth="0">
            <w:col w:w="4799" w:space="303"/>
            <w:col w:w="4824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pgSz w:w="11910" w:h="15820"/>
          <w:pgMar w:header="0" w:footer="902" w:top="900" w:bottom="1100" w:left="992" w:right="992"/>
        </w:sectPr>
      </w:pPr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91" w:after="0"/>
        <w:ind w:left="409" w:right="0" w:hanging="381"/>
        <w:jc w:val="both"/>
        <w:rPr>
          <w:sz w:val="17"/>
        </w:rPr>
      </w:pPr>
      <w:bookmarkStart w:name="_bookmark23" w:id="53"/>
      <w:bookmarkEnd w:id="53"/>
      <w:r>
        <w:rPr/>
      </w:r>
      <w:r>
        <w:rPr>
          <w:color w:val="131413"/>
          <w:sz w:val="17"/>
        </w:rPr>
        <w:t>Yang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J,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Yan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R,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Roy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A, Xu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D,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Poisson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J,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Zhang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Y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(2015)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I- TASSER Suite: protein structure and function prediction. Nat Methods 12(1):7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8. </w:t>
      </w:r>
      <w:hyperlink r:id="rId51">
        <w:r>
          <w:rPr>
            <w:color w:val="0000FF"/>
            <w:sz w:val="17"/>
          </w:rPr>
          <w:t>https://doi.org/10.1038/nmeth.3213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0" w:after="0"/>
        <w:ind w:left="409" w:right="0" w:hanging="381"/>
        <w:jc w:val="both"/>
        <w:rPr>
          <w:sz w:val="17"/>
        </w:rPr>
      </w:pPr>
      <w:r>
        <w:rPr>
          <w:color w:val="131413"/>
          <w:spacing w:val="-2"/>
          <w:sz w:val="17"/>
        </w:rPr>
        <w:t>Kelley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LA,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Mezulis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Yates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CM,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Wass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MN,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Sternberg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MJ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(2015) The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Phyre2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web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portal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for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protein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modeling,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prediction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analy- </w:t>
      </w:r>
      <w:r>
        <w:rPr>
          <w:color w:val="131413"/>
          <w:spacing w:val="-4"/>
          <w:sz w:val="17"/>
        </w:rPr>
        <w:t>sis. Nat Protoc 10(6):845</w:t>
      </w:r>
      <w:r>
        <w:rPr>
          <w:rFonts w:ascii="Arial" w:hAnsi="Arial"/>
          <w:color w:val="131413"/>
          <w:spacing w:val="-4"/>
          <w:sz w:val="17"/>
        </w:rPr>
        <w:t>–</w:t>
      </w:r>
      <w:r>
        <w:rPr>
          <w:color w:val="131413"/>
          <w:spacing w:val="-4"/>
          <w:sz w:val="17"/>
        </w:rPr>
        <w:t>858. </w:t>
      </w:r>
      <w:hyperlink r:id="rId52">
        <w:r>
          <w:rPr>
            <w:color w:val="0000FF"/>
            <w:spacing w:val="-4"/>
            <w:sz w:val="17"/>
          </w:rPr>
          <w:t>https://doi.org/10.1038/nprot.2015.</w:t>
        </w:r>
      </w:hyperlink>
      <w:r>
        <w:rPr>
          <w:color w:val="0000FF"/>
          <w:sz w:val="17"/>
        </w:rPr>
        <w:t> </w:t>
      </w:r>
      <w:bookmarkStart w:name="_bookmark24" w:id="54"/>
      <w:bookmarkEnd w:id="54"/>
      <w:r>
        <w:rPr>
          <w:color w:val="0000FF"/>
          <w:w w:val="99"/>
          <w:sz w:val="17"/>
        </w:rPr>
      </w:r>
      <w:hyperlink r:id="rId52">
        <w:r>
          <w:rPr>
            <w:color w:val="0000FF"/>
            <w:spacing w:val="-4"/>
            <w:sz w:val="17"/>
          </w:rPr>
          <w:t>053</w:t>
        </w:r>
      </w:hyperlink>
    </w:p>
    <w:p>
      <w:pPr>
        <w:pStyle w:val="ListParagraph"/>
        <w:numPr>
          <w:ilvl w:val="2"/>
          <w:numId w:val="2"/>
        </w:numPr>
        <w:tabs>
          <w:tab w:pos="420" w:val="left" w:leader="none"/>
          <w:tab w:pos="422" w:val="left" w:leader="none"/>
        </w:tabs>
        <w:spacing w:line="244" w:lineRule="auto" w:before="1" w:after="0"/>
        <w:ind w:left="422" w:right="0" w:hanging="394"/>
        <w:jc w:val="both"/>
        <w:rPr>
          <w:sz w:val="17"/>
        </w:rPr>
      </w:pPr>
      <w:r>
        <w:rPr>
          <w:color w:val="131413"/>
          <w:sz w:val="17"/>
        </w:rPr>
        <w:t>Waterhouse A, Bertoni M, Bienert S, Studer G, Tauriello G, Gumienny R, Heer FT, de Beer TAP, Rempfer C, Bordoli L, </w:t>
      </w:r>
      <w:r>
        <w:rPr>
          <w:color w:val="131413"/>
          <w:spacing w:val="-2"/>
          <w:sz w:val="17"/>
        </w:rPr>
        <w:t>Lepore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R,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Schwede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(2018)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SWISS-MODEL: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homology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model- </w:t>
      </w:r>
      <w:r>
        <w:rPr>
          <w:color w:val="131413"/>
          <w:sz w:val="17"/>
        </w:rPr>
        <w:t>ling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protein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structures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and complexes.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Nucleic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Acids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Res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46: </w:t>
      </w:r>
      <w:bookmarkStart w:name="_bookmark25" w:id="55"/>
      <w:bookmarkEnd w:id="55"/>
      <w:r>
        <w:rPr>
          <w:color w:val="131413"/>
          <w:sz w:val="17"/>
        </w:rPr>
        <w:t>W</w:t>
      </w:r>
      <w:r>
        <w:rPr>
          <w:color w:val="131413"/>
          <w:sz w:val="17"/>
        </w:rPr>
        <w:t>296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W303. </w:t>
      </w:r>
      <w:hyperlink r:id="rId53">
        <w:r>
          <w:rPr>
            <w:color w:val="0000FF"/>
            <w:sz w:val="17"/>
          </w:rPr>
          <w:t>https://doi.org/10.1093/nar/gky427</w:t>
        </w:r>
      </w:hyperlink>
    </w:p>
    <w:p>
      <w:pPr>
        <w:pStyle w:val="ListParagraph"/>
        <w:numPr>
          <w:ilvl w:val="2"/>
          <w:numId w:val="2"/>
        </w:numPr>
        <w:tabs>
          <w:tab w:pos="416" w:val="left" w:leader="none"/>
          <w:tab w:pos="419" w:val="left" w:leader="none"/>
        </w:tabs>
        <w:spacing w:line="244" w:lineRule="auto" w:before="1" w:after="0"/>
        <w:ind w:left="419" w:right="1" w:hanging="392"/>
        <w:jc w:val="both"/>
        <w:rPr>
          <w:sz w:val="17"/>
        </w:rPr>
      </w:pPr>
      <w:r>
        <w:rPr>
          <w:color w:val="131413"/>
          <w:sz w:val="17"/>
        </w:rPr>
        <w:t>Dubowitz V, Sewry CA, Oldfors A (2013) Muscle biopsy. A </w:t>
      </w:r>
      <w:bookmarkStart w:name="_bookmark26" w:id="56"/>
      <w:bookmarkEnd w:id="56"/>
      <w:r>
        <w:rPr>
          <w:color w:val="131413"/>
          <w:sz w:val="17"/>
        </w:rPr>
        <w:t>P</w:t>
      </w:r>
      <w:r>
        <w:rPr>
          <w:color w:val="131413"/>
          <w:sz w:val="17"/>
        </w:rPr>
        <w:t>ractical Approach, 4th edn. Elsevier, Philadelphia,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pp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1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592</w:t>
      </w:r>
    </w:p>
    <w:p>
      <w:pPr>
        <w:pStyle w:val="ListParagraph"/>
        <w:numPr>
          <w:ilvl w:val="2"/>
          <w:numId w:val="2"/>
        </w:numPr>
        <w:tabs>
          <w:tab w:pos="413" w:val="left" w:leader="none"/>
          <w:tab w:pos="415" w:val="left" w:leader="none"/>
        </w:tabs>
        <w:spacing w:line="244" w:lineRule="auto" w:before="1" w:after="0"/>
        <w:ind w:left="415" w:right="1" w:hanging="387"/>
        <w:jc w:val="both"/>
        <w:rPr>
          <w:sz w:val="17"/>
        </w:rPr>
      </w:pPr>
      <w:r>
        <w:rPr>
          <w:color w:val="131413"/>
          <w:sz w:val="17"/>
        </w:rPr>
        <w:t>Miller G, Lipman M (1973) Release of infectious Epstein-</w:t>
      </w:r>
      <w:r>
        <w:rPr>
          <w:color w:val="131413"/>
          <w:sz w:val="17"/>
        </w:rPr>
        <w:t>Barr virus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by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transformed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marmoset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leukocytes.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Proc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Natl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Acad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Sci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U </w:t>
      </w:r>
      <w:bookmarkStart w:name="_bookmark27" w:id="57"/>
      <w:bookmarkEnd w:id="57"/>
      <w:r>
        <w:rPr>
          <w:color w:val="131413"/>
          <w:sz w:val="17"/>
        </w:rPr>
        <w:t>S</w:t>
      </w:r>
      <w:r>
        <w:rPr>
          <w:color w:val="131413"/>
          <w:sz w:val="17"/>
        </w:rPr>
        <w:t> A 70(1):190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194. </w:t>
      </w:r>
      <w:hyperlink r:id="rId54">
        <w:r>
          <w:rPr>
            <w:color w:val="0000FF"/>
            <w:sz w:val="17"/>
          </w:rPr>
          <w:t>https://doi.org/10.1073/pnas.70.1.190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1" w:after="0"/>
        <w:ind w:left="409" w:right="0" w:hanging="381"/>
        <w:jc w:val="both"/>
        <w:rPr>
          <w:sz w:val="17"/>
        </w:rPr>
      </w:pPr>
      <w:r>
        <w:rPr>
          <w:color w:val="131413"/>
          <w:sz w:val="17"/>
        </w:rPr>
        <w:t>van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der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Windt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GJW,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Changm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CH,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Pearce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EL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(2016)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Measuring </w:t>
      </w:r>
      <w:r>
        <w:rPr>
          <w:color w:val="131413"/>
          <w:spacing w:val="-4"/>
          <w:sz w:val="17"/>
        </w:rPr>
        <w:t>bioenergetics in T cells using a seahorse extracellular flux analyzer.</w:t>
      </w:r>
      <w:r>
        <w:rPr>
          <w:color w:val="131413"/>
          <w:spacing w:val="-2"/>
          <w:sz w:val="17"/>
        </w:rPr>
        <w:t> Curr Protoc Immunol 113(3):16B.11-13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16B16B.14. </w:t>
      </w:r>
      <w:hyperlink r:id="rId55">
        <w:r>
          <w:rPr>
            <w:color w:val="0000FF"/>
            <w:spacing w:val="-2"/>
            <w:sz w:val="17"/>
          </w:rPr>
          <w:t>https://doi.</w:t>
        </w:r>
      </w:hyperlink>
      <w:r>
        <w:rPr>
          <w:color w:val="0000FF"/>
          <w:spacing w:val="-2"/>
          <w:sz w:val="17"/>
        </w:rPr>
        <w:t> </w:t>
      </w:r>
      <w:bookmarkStart w:name="_bookmark28" w:id="58"/>
      <w:bookmarkEnd w:id="58"/>
      <w:r>
        <w:rPr>
          <w:color w:val="0000FF"/>
          <w:w w:val="99"/>
          <w:sz w:val="17"/>
        </w:rPr>
      </w:r>
      <w:hyperlink r:id="rId55">
        <w:r>
          <w:rPr>
            <w:color w:val="0000FF"/>
            <w:spacing w:val="-2"/>
            <w:sz w:val="17"/>
          </w:rPr>
          <w:t>org/10.1002/0471142735.im0316bs113</w:t>
        </w:r>
      </w:hyperlink>
    </w:p>
    <w:p>
      <w:pPr>
        <w:pStyle w:val="ListParagraph"/>
        <w:numPr>
          <w:ilvl w:val="2"/>
          <w:numId w:val="2"/>
        </w:numPr>
        <w:tabs>
          <w:tab w:pos="407" w:val="left" w:leader="none"/>
          <w:tab w:pos="409" w:val="left" w:leader="none"/>
        </w:tabs>
        <w:spacing w:line="244" w:lineRule="auto" w:before="1" w:after="0"/>
        <w:ind w:left="409" w:right="0" w:hanging="381"/>
        <w:jc w:val="both"/>
        <w:rPr>
          <w:sz w:val="17"/>
        </w:rPr>
      </w:pPr>
      <w:r>
        <w:rPr>
          <w:color w:val="131413"/>
          <w:spacing w:val="-2"/>
          <w:sz w:val="17"/>
        </w:rPr>
        <w:t>Stumpf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JD,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Copeland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WC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(2011)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Mitochondrial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DNA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replication and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disease: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insights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from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DNA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polymerase</w:t>
      </w:r>
      <w:r>
        <w:rPr>
          <w:color w:val="131413"/>
          <w:spacing w:val="-8"/>
          <w:sz w:val="17"/>
        </w:rPr>
        <w:t> </w:t>
      </w:r>
      <w:r>
        <w:rPr>
          <w:rFonts w:ascii="Arial" w:hAnsi="Arial"/>
          <w:color w:val="131413"/>
          <w:spacing w:val="-2"/>
          <w:sz w:val="17"/>
        </w:rPr>
        <w:t>γ</w:t>
      </w:r>
      <w:r>
        <w:rPr>
          <w:rFonts w:ascii="Arial" w:hAnsi="Arial"/>
          <w:color w:val="131413"/>
          <w:spacing w:val="-10"/>
          <w:sz w:val="17"/>
        </w:rPr>
        <w:t> </w:t>
      </w:r>
      <w:r>
        <w:rPr>
          <w:color w:val="131413"/>
          <w:spacing w:val="-2"/>
          <w:sz w:val="17"/>
        </w:rPr>
        <w:t>mutations.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Cell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Mol </w:t>
      </w:r>
      <w:bookmarkStart w:name="_bookmark29" w:id="59"/>
      <w:bookmarkEnd w:id="59"/>
      <w:r>
        <w:rPr>
          <w:color w:val="131413"/>
          <w:spacing w:val="-4"/>
          <w:sz w:val="17"/>
        </w:rPr>
        <w:t>L</w:t>
      </w:r>
      <w:r>
        <w:rPr>
          <w:color w:val="131413"/>
          <w:spacing w:val="-4"/>
          <w:sz w:val="17"/>
        </w:rPr>
        <w:t>ife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Sci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68(2):219</w:t>
      </w:r>
      <w:r>
        <w:rPr>
          <w:rFonts w:ascii="Arial" w:hAnsi="Arial"/>
          <w:color w:val="131413"/>
          <w:spacing w:val="-4"/>
          <w:sz w:val="17"/>
        </w:rPr>
        <w:t>–</w:t>
      </w:r>
      <w:r>
        <w:rPr>
          <w:color w:val="131413"/>
          <w:spacing w:val="-4"/>
          <w:sz w:val="17"/>
        </w:rPr>
        <w:t>233.</w:t>
      </w:r>
      <w:r>
        <w:rPr>
          <w:color w:val="131413"/>
          <w:spacing w:val="-6"/>
          <w:sz w:val="17"/>
        </w:rPr>
        <w:t> </w:t>
      </w:r>
      <w:hyperlink r:id="rId56">
        <w:r>
          <w:rPr>
            <w:color w:val="0000FF"/>
            <w:spacing w:val="-4"/>
            <w:sz w:val="17"/>
          </w:rPr>
          <w:t>https://doi.org/10.1007/s00018-010-0530-4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0" w:after="0"/>
        <w:ind w:left="409" w:right="0" w:hanging="381"/>
        <w:jc w:val="both"/>
        <w:rPr>
          <w:sz w:val="17"/>
        </w:rPr>
      </w:pPr>
      <w:r>
        <w:rPr>
          <w:color w:val="131413"/>
          <w:sz w:val="17"/>
        </w:rPr>
        <w:t>Nissanka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N,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Bacman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SR,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Plastini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MJ,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Moraes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CT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(2018)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mi- tochondrial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DNA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polymerase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gamma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degrades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linear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DNA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frag- ments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precluding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formation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deletions.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Nat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Commun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9(1): </w:t>
      </w:r>
      <w:bookmarkStart w:name="_bookmark30" w:id="60"/>
      <w:bookmarkEnd w:id="60"/>
      <w:r>
        <w:rPr>
          <w:color w:val="131413"/>
          <w:sz w:val="17"/>
        </w:rPr>
        <w:t>2</w:t>
      </w:r>
      <w:r>
        <w:rPr>
          <w:color w:val="131413"/>
          <w:sz w:val="17"/>
        </w:rPr>
        <w:t>491. </w:t>
      </w:r>
      <w:hyperlink r:id="rId57">
        <w:r>
          <w:rPr>
            <w:color w:val="0000FF"/>
            <w:sz w:val="17"/>
          </w:rPr>
          <w:t>https://doi.org/10.1038/s41467-018-04895-1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0" w:after="0"/>
        <w:ind w:left="409" w:right="0" w:hanging="381"/>
        <w:jc w:val="both"/>
        <w:rPr>
          <w:sz w:val="17"/>
        </w:rPr>
      </w:pPr>
      <w:r>
        <w:rPr>
          <w:color w:val="131413"/>
          <w:sz w:val="17"/>
        </w:rPr>
        <w:t>Tang S, Wang J, Lee NC, Milone M, Halberg MC, Schmitt ES, Craigen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WJ,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Zhang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W,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Wong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LJ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(2011)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Mitochondrial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DNA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po- </w:t>
      </w:r>
      <w:r>
        <w:rPr>
          <w:color w:val="131413"/>
          <w:spacing w:val="-4"/>
          <w:sz w:val="17"/>
        </w:rPr>
        <w:t>lymerase gamma mutations: an ever expanding molecular and clin-</w:t>
      </w:r>
      <w:r>
        <w:rPr>
          <w:color w:val="131413"/>
          <w:sz w:val="17"/>
        </w:rPr>
        <w:t> ical spectrum. J Med Genet 48(10):669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681. </w:t>
      </w:r>
      <w:hyperlink r:id="rId58">
        <w:r>
          <w:rPr>
            <w:color w:val="0000FF"/>
            <w:sz w:val="17"/>
          </w:rPr>
          <w:t>https://doi.org/10.</w:t>
        </w:r>
      </w:hyperlink>
      <w:r>
        <w:rPr>
          <w:color w:val="0000FF"/>
          <w:sz w:val="17"/>
        </w:rPr>
        <w:t> </w:t>
      </w:r>
      <w:bookmarkStart w:name="_bookmark31" w:id="61"/>
      <w:bookmarkEnd w:id="61"/>
      <w:r>
        <w:rPr>
          <w:color w:val="0000FF"/>
          <w:w w:val="98"/>
          <w:sz w:val="17"/>
        </w:rPr>
      </w:r>
      <w:hyperlink r:id="rId58">
        <w:r>
          <w:rPr>
            <w:color w:val="0000FF"/>
            <w:spacing w:val="-2"/>
            <w:sz w:val="17"/>
          </w:rPr>
          <w:t>1136/jmedgenet-2011-100222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" w:after="0"/>
        <w:ind w:left="409" w:right="0" w:hanging="381"/>
        <w:jc w:val="both"/>
        <w:rPr>
          <w:sz w:val="17"/>
        </w:rPr>
      </w:pPr>
      <w:r>
        <w:rPr>
          <w:color w:val="131413"/>
          <w:spacing w:val="-4"/>
          <w:sz w:val="17"/>
        </w:rPr>
        <w:t>Rouzier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C,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Chaussenot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A,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Serre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V,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Fragaki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K,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Bannwarth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S,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Ait-El-</w:t>
      </w:r>
      <w:r>
        <w:rPr>
          <w:color w:val="131413"/>
          <w:spacing w:val="-2"/>
          <w:sz w:val="17"/>
        </w:rPr>
        <w:t> Mkadem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Attarian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S,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Kaphan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E,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Cano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Delmont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E,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Sacconi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S, </w:t>
      </w:r>
      <w:r>
        <w:rPr>
          <w:color w:val="131413"/>
          <w:spacing w:val="-4"/>
          <w:sz w:val="17"/>
        </w:rPr>
        <w:t>Mousson de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Camaret B,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Rio M, Lebre AS, Jardel C,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Deschamps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R,</w:t>
      </w:r>
      <w:r>
        <w:rPr>
          <w:color w:val="131413"/>
          <w:sz w:val="17"/>
        </w:rPr>
        <w:t> Richelme C, Pouget J, Chabrol B, Paquis-Flucklinger V </w:t>
      </w:r>
      <w:r>
        <w:rPr>
          <w:color w:val="131413"/>
          <w:sz w:val="17"/>
        </w:rPr>
        <w:t>(2014) </w:t>
      </w:r>
      <w:r>
        <w:rPr>
          <w:color w:val="131413"/>
          <w:spacing w:val="-2"/>
          <w:sz w:val="17"/>
        </w:rPr>
        <w:t>Quantitative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multiplex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PCR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short fluorescent fragments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for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the </w:t>
      </w:r>
      <w:r>
        <w:rPr>
          <w:color w:val="131413"/>
          <w:sz w:val="17"/>
        </w:rPr>
        <w:t>detection</w:t>
      </w:r>
      <w:r>
        <w:rPr>
          <w:color w:val="131413"/>
          <w:spacing w:val="23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22"/>
          <w:sz w:val="17"/>
        </w:rPr>
        <w:t> </w:t>
      </w:r>
      <w:r>
        <w:rPr>
          <w:color w:val="131413"/>
          <w:sz w:val="17"/>
        </w:rPr>
        <w:t>large</w:t>
      </w:r>
      <w:r>
        <w:rPr>
          <w:color w:val="131413"/>
          <w:spacing w:val="22"/>
          <w:sz w:val="17"/>
        </w:rPr>
        <w:t> </w:t>
      </w:r>
      <w:r>
        <w:rPr>
          <w:color w:val="131413"/>
          <w:sz w:val="17"/>
        </w:rPr>
        <w:t>intragenic</w:t>
      </w:r>
      <w:r>
        <w:rPr>
          <w:color w:val="131413"/>
          <w:spacing w:val="22"/>
          <w:sz w:val="17"/>
        </w:rPr>
        <w:t> </w:t>
      </w:r>
      <w:r>
        <w:rPr>
          <w:color w:val="131413"/>
          <w:sz w:val="17"/>
        </w:rPr>
        <w:t>POLG</w:t>
      </w:r>
      <w:r>
        <w:rPr>
          <w:color w:val="131413"/>
          <w:spacing w:val="22"/>
          <w:sz w:val="17"/>
        </w:rPr>
        <w:t> </w:t>
      </w:r>
      <w:r>
        <w:rPr>
          <w:color w:val="131413"/>
          <w:sz w:val="17"/>
        </w:rPr>
        <w:t>rearrangements</w:t>
      </w:r>
      <w:r>
        <w:rPr>
          <w:color w:val="131413"/>
          <w:spacing w:val="23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22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23"/>
          <w:sz w:val="17"/>
        </w:rPr>
        <w:t> </w:t>
      </w:r>
      <w:r>
        <w:rPr>
          <w:color w:val="131413"/>
          <w:sz w:val="17"/>
        </w:rPr>
        <w:t>large</w:t>
      </w:r>
    </w:p>
    <w:p>
      <w:pPr>
        <w:spacing w:line="247" w:lineRule="auto" w:before="89"/>
        <w:ind w:left="409" w:right="27" w:firstLine="0"/>
        <w:jc w:val="both"/>
        <w:rPr>
          <w:sz w:val="17"/>
        </w:rPr>
      </w:pPr>
      <w:r>
        <w:rPr/>
        <w:br w:type="column"/>
      </w:r>
      <w:r>
        <w:rPr>
          <w:color w:val="131413"/>
          <w:sz w:val="17"/>
        </w:rPr>
        <w:t>French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cohort.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Eur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J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Hum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Genet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22(4):542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550.</w:t>
      </w:r>
      <w:r>
        <w:rPr>
          <w:color w:val="131413"/>
          <w:spacing w:val="-4"/>
          <w:sz w:val="17"/>
        </w:rPr>
        <w:t> </w:t>
      </w:r>
      <w:hyperlink r:id="rId59">
        <w:r>
          <w:rPr>
            <w:color w:val="0000FF"/>
            <w:sz w:val="17"/>
          </w:rPr>
          <w:t>https://doi.org/</w:t>
        </w:r>
      </w:hyperlink>
      <w:r>
        <w:rPr>
          <w:color w:val="0000FF"/>
          <w:sz w:val="17"/>
        </w:rPr>
        <w:t> </w:t>
      </w:r>
      <w:bookmarkStart w:name="_bookmark32" w:id="62"/>
      <w:bookmarkEnd w:id="62"/>
      <w:r>
        <w:rPr>
          <w:color w:val="0000FF"/>
          <w:w w:val="96"/>
          <w:sz w:val="17"/>
        </w:rPr>
      </w:r>
      <w:hyperlink r:id="rId59">
        <w:r>
          <w:rPr>
            <w:color w:val="0000FF"/>
            <w:spacing w:val="-2"/>
            <w:sz w:val="17"/>
          </w:rPr>
          <w:t>10.1038/ejhg.2013.171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16" w:after="0"/>
        <w:ind w:left="409" w:right="24" w:hanging="381"/>
        <w:jc w:val="both"/>
        <w:rPr>
          <w:sz w:val="17"/>
        </w:rPr>
      </w:pPr>
      <w:r>
        <w:rPr>
          <w:color w:val="131413"/>
          <w:sz w:val="17"/>
        </w:rPr>
        <w:t>Richards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CS,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Bale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S,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Bellissimo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DB,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Das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S,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Grody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WW,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Hegde </w:t>
      </w:r>
      <w:r>
        <w:rPr>
          <w:color w:val="131413"/>
          <w:spacing w:val="-2"/>
          <w:sz w:val="17"/>
        </w:rPr>
        <w:t>MR,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Lyon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E,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Ward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BE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(2008)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ACMG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recommendations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for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stan- </w:t>
      </w:r>
      <w:r>
        <w:rPr>
          <w:color w:val="131413"/>
          <w:sz w:val="17"/>
        </w:rPr>
        <w:t>dards for interpretation and reporting of sequence variations: Revisions 2007. Genet Med 10(4):294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300. </w:t>
      </w:r>
      <w:hyperlink r:id="rId60">
        <w:r>
          <w:rPr>
            <w:color w:val="0000FF"/>
            <w:sz w:val="17"/>
          </w:rPr>
          <w:t>https://doi.org/10.</w:t>
        </w:r>
      </w:hyperlink>
      <w:r>
        <w:rPr>
          <w:color w:val="0000FF"/>
          <w:sz w:val="17"/>
        </w:rPr>
        <w:t> </w:t>
      </w:r>
      <w:bookmarkStart w:name="_bookmark33" w:id="63"/>
      <w:bookmarkEnd w:id="63"/>
      <w:r>
        <w:rPr>
          <w:color w:val="0000FF"/>
          <w:w w:val="99"/>
          <w:sz w:val="17"/>
        </w:rPr>
      </w:r>
      <w:hyperlink r:id="rId60">
        <w:r>
          <w:rPr>
            <w:color w:val="0000FF"/>
            <w:spacing w:val="-2"/>
            <w:sz w:val="17"/>
          </w:rPr>
          <w:t>1097/GIM.0b013e31816b5cae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2" w:after="0"/>
        <w:ind w:left="409" w:right="24" w:hanging="381"/>
        <w:jc w:val="both"/>
        <w:rPr>
          <w:sz w:val="17"/>
        </w:rPr>
      </w:pPr>
      <w:r>
        <w:rPr>
          <w:color w:val="131413"/>
          <w:sz w:val="17"/>
        </w:rPr>
        <w:t>Euro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L,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Farnum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GA,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Palin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E,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Suomalainen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A,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Kaguni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LS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(2011) </w:t>
      </w:r>
      <w:r>
        <w:rPr>
          <w:color w:val="131413"/>
          <w:spacing w:val="-2"/>
          <w:sz w:val="17"/>
        </w:rPr>
        <w:t>Clustering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Alpers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disease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mutations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catalytic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defects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in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bio- </w:t>
      </w:r>
      <w:r>
        <w:rPr>
          <w:color w:val="131413"/>
          <w:sz w:val="17"/>
        </w:rPr>
        <w:t>chemical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variants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reveal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new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features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molecular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mechanism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of the human mitochondrial replicase, Pol </w:t>
      </w:r>
      <w:r>
        <w:rPr>
          <w:rFonts w:ascii="Arial" w:hAnsi="Arial"/>
          <w:color w:val="131413"/>
          <w:sz w:val="17"/>
        </w:rPr>
        <w:t>γ</w:t>
      </w:r>
      <w:r>
        <w:rPr>
          <w:color w:val="131413"/>
          <w:sz w:val="17"/>
        </w:rPr>
        <w:t>. Nucleic Acids Res </w:t>
      </w:r>
      <w:bookmarkStart w:name="_bookmark34" w:id="64"/>
      <w:bookmarkEnd w:id="64"/>
      <w:r>
        <w:rPr>
          <w:color w:val="131413"/>
          <w:sz w:val="17"/>
        </w:rPr>
        <w:t>3</w:t>
      </w:r>
      <w:r>
        <w:rPr>
          <w:color w:val="131413"/>
          <w:sz w:val="17"/>
        </w:rPr>
        <w:t>9(21):9072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9084. </w:t>
      </w:r>
      <w:hyperlink r:id="rId61">
        <w:r>
          <w:rPr>
            <w:color w:val="0000FF"/>
            <w:sz w:val="17"/>
          </w:rPr>
          <w:t>https://doi.org/10.1093/nar/gkr618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1" w:after="0"/>
        <w:ind w:left="409" w:right="24" w:hanging="381"/>
        <w:jc w:val="both"/>
        <w:rPr>
          <w:sz w:val="17"/>
        </w:rPr>
      </w:pPr>
      <w:r>
        <w:rPr>
          <w:color w:val="131413"/>
          <w:spacing w:val="-2"/>
          <w:sz w:val="17"/>
        </w:rPr>
        <w:t>Craig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K,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Ferrari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G,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Tiangyou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W,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Hudson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G,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Gellera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Zeviani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M, </w:t>
      </w:r>
      <w:r>
        <w:rPr>
          <w:color w:val="131413"/>
          <w:sz w:val="17"/>
        </w:rPr>
        <w:t>Chinnery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PF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(2007)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A467T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W748S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POLG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substitutions are a rare cause of adult-onset ataxia in Europe. Brain 130:E69; </w:t>
      </w:r>
      <w:bookmarkStart w:name="_bookmark35" w:id="65"/>
      <w:bookmarkEnd w:id="65"/>
      <w:r>
        <w:rPr>
          <w:color w:val="131413"/>
          <w:sz w:val="17"/>
        </w:rPr>
        <w:t>a</w:t>
      </w:r>
      <w:r>
        <w:rPr>
          <w:color w:val="131413"/>
          <w:sz w:val="17"/>
        </w:rPr>
        <w:t>uthor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reply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E70.</w:t>
      </w:r>
      <w:r>
        <w:rPr>
          <w:color w:val="131413"/>
          <w:spacing w:val="-1"/>
          <w:sz w:val="17"/>
        </w:rPr>
        <w:t> </w:t>
      </w:r>
      <w:hyperlink r:id="rId62">
        <w:r>
          <w:rPr>
            <w:color w:val="0000FF"/>
            <w:sz w:val="17"/>
          </w:rPr>
          <w:t>https://doi.org/10.1093/brain/awm009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1" w:after="0"/>
        <w:ind w:left="409" w:right="25" w:hanging="381"/>
        <w:jc w:val="both"/>
        <w:rPr>
          <w:sz w:val="17"/>
        </w:rPr>
      </w:pPr>
      <w:r>
        <w:rPr>
          <w:color w:val="131413"/>
          <w:sz w:val="17"/>
        </w:rPr>
        <w:t>Wong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LJ,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Naviaux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RK,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Brunetti-Pierri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N,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Zhang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Q,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Schmitt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ES, </w:t>
      </w:r>
      <w:r>
        <w:rPr>
          <w:color w:val="131413"/>
          <w:spacing w:val="-4"/>
          <w:sz w:val="17"/>
        </w:rPr>
        <w:t>Truong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C, Milone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M, Cohen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BH, Wical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B,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Ganesh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J, Basinger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AA,</w:t>
      </w:r>
      <w:r>
        <w:rPr>
          <w:color w:val="131413"/>
          <w:sz w:val="17"/>
        </w:rPr>
        <w:t> Burton BK, Swoboda K, Gilbert DL, Vanderver A, Saneto RP, Maranda B, Arnold G, Abdenur JE, Waters PJ, Copeland WC (2008)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Molecular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clinical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genetics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mitochondrial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diseases due to POLG mutations. Hum Mutat 29(9):E150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E172. </w:t>
      </w:r>
      <w:hyperlink r:id="rId63">
        <w:r>
          <w:rPr>
            <w:color w:val="0000FF"/>
            <w:sz w:val="17"/>
          </w:rPr>
          <w:t>https://</w:t>
        </w:r>
      </w:hyperlink>
      <w:r>
        <w:rPr>
          <w:color w:val="0000FF"/>
          <w:sz w:val="17"/>
        </w:rPr>
        <w:t> </w:t>
      </w:r>
      <w:bookmarkStart w:name="_bookmark36" w:id="66"/>
      <w:bookmarkEnd w:id="66"/>
      <w:r>
        <w:rPr>
          <w:color w:val="0000FF"/>
          <w:w w:val="96"/>
          <w:sz w:val="17"/>
        </w:rPr>
      </w:r>
      <w:hyperlink r:id="rId63">
        <w:r>
          <w:rPr>
            <w:color w:val="0000FF"/>
            <w:spacing w:val="-2"/>
            <w:sz w:val="17"/>
          </w:rPr>
          <w:t>doi.org/10.1002/humu.20824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2" w:after="0"/>
        <w:ind w:left="409" w:right="24" w:hanging="381"/>
        <w:jc w:val="both"/>
        <w:rPr>
          <w:sz w:val="17"/>
        </w:rPr>
      </w:pPr>
      <w:r>
        <w:rPr>
          <w:color w:val="131413"/>
          <w:spacing w:val="-2"/>
          <w:sz w:val="17"/>
        </w:rPr>
        <w:t>Hakonen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AH,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Heiskanen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Juvonen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V,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Lappalainen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I,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Luoma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PT, </w:t>
      </w:r>
      <w:r>
        <w:rPr>
          <w:color w:val="131413"/>
          <w:sz w:val="17"/>
        </w:rPr>
        <w:t>Rantamaki M, Goethem GV, Lofgren A, Hackman P, Paetau A, Kaakkola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S,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Majamaa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K,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Varilo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T,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Udd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B,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Kaariainen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H,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Bindoff LA, Suomalainen A (2005) Mitochondrial DNA polymerase W748S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mutation: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common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cause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autosomal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recessive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ataxia with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ancient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European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origin.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Am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J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Hum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Genet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77(3):430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441. </w:t>
      </w:r>
      <w:bookmarkStart w:name="_bookmark37" w:id="67"/>
      <w:bookmarkEnd w:id="67"/>
      <w:r>
        <w:rPr>
          <w:color w:val="131413"/>
          <w:w w:val="99"/>
          <w:sz w:val="17"/>
        </w:rPr>
      </w:r>
      <w:hyperlink r:id="rId64">
        <w:r>
          <w:rPr>
            <w:color w:val="0000FF"/>
            <w:spacing w:val="-2"/>
            <w:sz w:val="17"/>
          </w:rPr>
          <w:t>https://doi.org/10.1086/444548</w:t>
        </w:r>
      </w:hyperlink>
    </w:p>
    <w:p>
      <w:pPr>
        <w:pStyle w:val="ListParagraph"/>
        <w:numPr>
          <w:ilvl w:val="2"/>
          <w:numId w:val="2"/>
        </w:numPr>
        <w:tabs>
          <w:tab w:pos="409" w:val="left" w:leader="none"/>
        </w:tabs>
        <w:spacing w:line="244" w:lineRule="auto" w:before="24" w:after="0"/>
        <w:ind w:left="409" w:right="24" w:hanging="381"/>
        <w:jc w:val="both"/>
        <w:rPr>
          <w:sz w:val="17"/>
        </w:rPr>
      </w:pPr>
      <w:r>
        <w:rPr>
          <w:color w:val="131413"/>
          <w:sz w:val="17"/>
        </w:rPr>
        <w:t>Kasiviswanathan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R,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Longley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MJ,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Chan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SS,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Copeland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WC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(2009) Disease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mutations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human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mitochondrial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DNA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polymerase thumb subdomain impart severe defects in mitochondrial DNA replication. J Biol Chem 284(29):19501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19510. </w:t>
      </w:r>
      <w:hyperlink r:id="rId65">
        <w:r>
          <w:rPr>
            <w:color w:val="0000FF"/>
            <w:sz w:val="17"/>
          </w:rPr>
          <w:t>https://doi.org/</w:t>
        </w:r>
      </w:hyperlink>
      <w:r>
        <w:rPr>
          <w:color w:val="0000FF"/>
          <w:sz w:val="17"/>
        </w:rPr>
        <w:t> </w:t>
      </w:r>
      <w:hyperlink r:id="rId65">
        <w:r>
          <w:rPr>
            <w:color w:val="0000FF"/>
            <w:spacing w:val="-2"/>
            <w:sz w:val="17"/>
          </w:rPr>
          <w:t>10.1074/jbc.M109.011940</w:t>
        </w:r>
      </w:hyperlink>
    </w:p>
    <w:p>
      <w:pPr>
        <w:pStyle w:val="BodyText"/>
        <w:spacing w:before="73"/>
        <w:rPr>
          <w:sz w:val="17"/>
        </w:rPr>
      </w:pPr>
    </w:p>
    <w:p>
      <w:pPr>
        <w:spacing w:line="244" w:lineRule="auto" w:before="0"/>
        <w:ind w:left="28" w:right="0" w:hanging="1"/>
        <w:jc w:val="left"/>
        <w:rPr>
          <w:sz w:val="17"/>
        </w:rPr>
      </w:pPr>
      <w:r>
        <w:rPr>
          <w:rFonts w:ascii="Arial" w:hAnsi="Arial"/>
          <w:color w:val="131413"/>
          <w:spacing w:val="-4"/>
          <w:sz w:val="17"/>
        </w:rPr>
        <w:t>Publisher’s</w:t>
      </w:r>
      <w:r>
        <w:rPr>
          <w:rFonts w:ascii="Arial" w:hAnsi="Arial"/>
          <w:color w:val="131413"/>
          <w:spacing w:val="-8"/>
          <w:sz w:val="17"/>
        </w:rPr>
        <w:t> </w:t>
      </w:r>
      <w:r>
        <w:rPr>
          <w:rFonts w:ascii="Arial" w:hAnsi="Arial"/>
          <w:color w:val="131413"/>
          <w:spacing w:val="-4"/>
          <w:sz w:val="17"/>
        </w:rPr>
        <w:t>note</w:t>
      </w:r>
      <w:r>
        <w:rPr>
          <w:rFonts w:ascii="Arial" w:hAnsi="Arial"/>
          <w:color w:val="131413"/>
          <w:spacing w:val="1"/>
          <w:sz w:val="17"/>
        </w:rPr>
        <w:t> </w:t>
      </w:r>
      <w:r>
        <w:rPr>
          <w:color w:val="131413"/>
          <w:spacing w:val="-4"/>
          <w:sz w:val="17"/>
        </w:rPr>
        <w:t>Springer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Nature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remains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neutral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with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regard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to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jurisdic-</w:t>
      </w:r>
      <w:r>
        <w:rPr>
          <w:color w:val="131413"/>
          <w:sz w:val="17"/>
        </w:rPr>
        <w:t> tional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claims in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published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maps and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institutional affiliations.</w:t>
      </w:r>
    </w:p>
    <w:sectPr>
      <w:type w:val="continuous"/>
      <w:pgSz w:w="11910" w:h="15820"/>
      <w:pgMar w:header="0" w:footer="902" w:top="580" w:bottom="1100" w:left="992" w:right="992"/>
      <w:cols w:num="2" w:equalWidth="0">
        <w:col w:w="4793" w:space="309"/>
        <w:col w:w="482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85760">
          <wp:simplePos x="0" y="0"/>
          <wp:positionH relativeFrom="page">
            <wp:posOffset>6366243</wp:posOffset>
          </wp:positionH>
          <wp:positionV relativeFrom="page">
            <wp:posOffset>9344038</wp:posOffset>
          </wp:positionV>
          <wp:extent cx="530339" cy="140017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0339" cy="1400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86272">
          <wp:simplePos x="0" y="0"/>
          <wp:positionH relativeFrom="page">
            <wp:posOffset>648004</wp:posOffset>
          </wp:positionH>
          <wp:positionV relativeFrom="page">
            <wp:posOffset>9344038</wp:posOffset>
          </wp:positionV>
          <wp:extent cx="530339" cy="140017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0339" cy="1400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89856">
          <wp:simplePos x="0" y="0"/>
          <wp:positionH relativeFrom="page">
            <wp:posOffset>6366243</wp:posOffset>
          </wp:positionH>
          <wp:positionV relativeFrom="page">
            <wp:posOffset>9344038</wp:posOffset>
          </wp:positionV>
          <wp:extent cx="530339" cy="140017"/>
          <wp:effectExtent l="0" t="0" r="0" b="0"/>
          <wp:wrapNone/>
          <wp:docPr id="26" name="Image 2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6" name="Image 2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0339" cy="1400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90368">
          <wp:simplePos x="0" y="0"/>
          <wp:positionH relativeFrom="page">
            <wp:posOffset>648004</wp:posOffset>
          </wp:positionH>
          <wp:positionV relativeFrom="page">
            <wp:posOffset>9344038</wp:posOffset>
          </wp:positionV>
          <wp:extent cx="530339" cy="140017"/>
          <wp:effectExtent l="0" t="0" r="0" b="0"/>
          <wp:wrapNone/>
          <wp:docPr id="27" name="Image 2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7" name="Image 2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0339" cy="1400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6784">
              <wp:simplePos x="0" y="0"/>
              <wp:positionH relativeFrom="page">
                <wp:posOffset>648005</wp:posOffset>
              </wp:positionH>
              <wp:positionV relativeFrom="page">
                <wp:posOffset>563041</wp:posOffset>
              </wp:positionV>
              <wp:extent cx="6264275" cy="13335"/>
              <wp:effectExtent l="0" t="0" r="0" b="0"/>
              <wp:wrapNone/>
              <wp:docPr id="16" name="Group 1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" name="Group 16"/>
                    <wpg:cNvGrpSpPr/>
                    <wpg:grpSpPr>
                      <a:xfrm>
                        <a:off x="0" y="0"/>
                        <a:ext cx="6264275" cy="13335"/>
                        <a:chExt cx="6264275" cy="13335"/>
                      </a:xfrm>
                    </wpg:grpSpPr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26427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4275" h="13335">
                              <a:moveTo>
                                <a:pt x="6263995" y="0"/>
                              </a:moveTo>
                              <a:lnTo>
                                <a:pt x="0" y="0"/>
                              </a:lnTo>
                              <a:lnTo>
                                <a:pt x="0" y="12953"/>
                              </a:lnTo>
                              <a:lnTo>
                                <a:pt x="6263995" y="12953"/>
                              </a:lnTo>
                              <a:lnTo>
                                <a:pt x="6263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3141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26427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4275" h="13335">
                              <a:moveTo>
                                <a:pt x="6263995" y="12953"/>
                              </a:moveTo>
                              <a:lnTo>
                                <a:pt x="0" y="12953"/>
                              </a:lnTo>
                              <a:lnTo>
                                <a:pt x="0" y="0"/>
                              </a:lnTo>
                              <a:lnTo>
                                <a:pt x="6263995" y="0"/>
                              </a:lnTo>
                              <a:lnTo>
                                <a:pt x="6263995" y="12953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13141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1.024017pt;margin-top:44.334003pt;width:493.25pt;height:1.05pt;mso-position-horizontal-relative:page;mso-position-vertical-relative:page;z-index:-16029696" id="docshapegroup13" coordorigin="1020,887" coordsize="9865,21">
              <v:rect style="position:absolute;left:1020;top:886;width:9865;height:21" id="docshape14" filled="true" fillcolor="#131413" stroked="false">
                <v:fill type="solid"/>
              </v:rect>
              <v:rect style="position:absolute;left:1020;top:886;width:9865;height:21" id="docshape15" filled="false" stroked="true" strokeweight="0pt" strokecolor="#131413">
                <v:stroke dashstyl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7296">
              <wp:simplePos x="0" y="0"/>
              <wp:positionH relativeFrom="page">
                <wp:posOffset>609473</wp:posOffset>
              </wp:positionH>
              <wp:positionV relativeFrom="page">
                <wp:posOffset>414510</wp:posOffset>
              </wp:positionV>
              <wp:extent cx="293370" cy="13335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93370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0"/>
                            <w:ind w:left="60" w:right="0" w:firstLine="0"/>
                            <w:jc w:val="left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t>4272</w:t>
                          </w: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.990002pt;margin-top:32.638584pt;width:23.1pt;height:10.5pt;mso-position-horizontal-relative:page;mso-position-vertical-relative:page;z-index:-16029184" type="#_x0000_t202" id="docshape16" filled="false" stroked="false">
              <v:textbox inset="0,0,0,0">
                <w:txbxContent>
                  <w:p>
                    <w:pPr>
                      <w:spacing w:line="189" w:lineRule="exact" w:before="0"/>
                      <w:ind w:left="6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fldChar w:fldCharType="begin"/>
                    </w: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instrText> PAGE </w:instrText>
                    </w: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fldChar w:fldCharType="separate"/>
                    </w: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t>4272</w:t>
                    </w: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7808">
              <wp:simplePos x="0" y="0"/>
              <wp:positionH relativeFrom="page">
                <wp:posOffset>5593079</wp:posOffset>
              </wp:positionH>
              <wp:positionV relativeFrom="page">
                <wp:posOffset>414510</wp:posOffset>
              </wp:positionV>
              <wp:extent cx="1333500" cy="13335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333500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7"/>
                            </w:rPr>
                          </w:pPr>
                          <w:r>
                            <w:rPr>
                              <w:rFonts w:ascii="Arial" w:hAnsi="Arial"/>
                              <w:w w:val="80"/>
                              <w:sz w:val="17"/>
                            </w:rPr>
                            <w:t>Neurol</w:t>
                          </w:r>
                          <w:r>
                            <w:rPr>
                              <w:rFonts w:ascii="Arial" w:hAnsi="Arial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w w:val="80"/>
                              <w:sz w:val="17"/>
                            </w:rPr>
                            <w:t>Sci</w:t>
                          </w:r>
                          <w:r>
                            <w:rPr>
                              <w:rFonts w:ascii="Arial" w:hAnsi="Arial"/>
                              <w:spacing w:val="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w w:val="80"/>
                              <w:sz w:val="17"/>
                            </w:rPr>
                            <w:t>(2021)</w:t>
                          </w:r>
                          <w:r>
                            <w:rPr>
                              <w:rFonts w:ascii="Arial" w:hAnsi="Arial"/>
                              <w:spacing w:val="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w w:val="80"/>
                              <w:sz w:val="17"/>
                            </w:rPr>
                            <w:t>42:4271–4280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0.399994pt;margin-top:32.638584pt;width:105pt;height:10.5pt;mso-position-horizontal-relative:page;mso-position-vertical-relative:page;z-index:-16028672" type="#_x0000_t202" id="docshape17" filled="false" stroked="false">
              <v:textbox inset="0,0,0,0">
                <w:txbxContent>
                  <w:p>
                    <w:pPr>
                      <w:spacing w:line="189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w w:val="80"/>
                        <w:sz w:val="17"/>
                      </w:rPr>
                      <w:t>Neurol</w:t>
                    </w:r>
                    <w:r>
                      <w:rPr>
                        <w:rFonts w:ascii="Arial" w:hAnsi="Arial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80"/>
                        <w:sz w:val="17"/>
                      </w:rPr>
                      <w:t>Sci</w:t>
                    </w:r>
                    <w:r>
                      <w:rPr>
                        <w:rFonts w:ascii="Arial" w:hAnsi="Arial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80"/>
                        <w:sz w:val="17"/>
                      </w:rPr>
                      <w:t>(2021)</w:t>
                    </w:r>
                    <w:r>
                      <w:rPr>
                        <w:rFonts w:ascii="Arial" w:hAnsi="Arial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w w:val="80"/>
                        <w:sz w:val="17"/>
                      </w:rPr>
                      <w:t>42:4271–4280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8320">
              <wp:simplePos x="0" y="0"/>
              <wp:positionH relativeFrom="page">
                <wp:posOffset>648005</wp:posOffset>
              </wp:positionH>
              <wp:positionV relativeFrom="page">
                <wp:posOffset>563041</wp:posOffset>
              </wp:positionV>
              <wp:extent cx="6264275" cy="13335"/>
              <wp:effectExtent l="0" t="0" r="0" b="0"/>
              <wp:wrapNone/>
              <wp:docPr id="21" name="Group 2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" name="Group 21"/>
                    <wpg:cNvGrpSpPr/>
                    <wpg:grpSpPr>
                      <a:xfrm>
                        <a:off x="0" y="0"/>
                        <a:ext cx="6264275" cy="13335"/>
                        <a:chExt cx="6264275" cy="13335"/>
                      </a:xfrm>
                    </wpg:grpSpPr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26427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4275" h="13335">
                              <a:moveTo>
                                <a:pt x="6263995" y="0"/>
                              </a:moveTo>
                              <a:lnTo>
                                <a:pt x="0" y="0"/>
                              </a:lnTo>
                              <a:lnTo>
                                <a:pt x="0" y="12953"/>
                              </a:lnTo>
                              <a:lnTo>
                                <a:pt x="6263995" y="12953"/>
                              </a:lnTo>
                              <a:lnTo>
                                <a:pt x="6263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3141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26427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4275" h="13335">
                              <a:moveTo>
                                <a:pt x="6263995" y="12953"/>
                              </a:moveTo>
                              <a:lnTo>
                                <a:pt x="0" y="12953"/>
                              </a:lnTo>
                              <a:lnTo>
                                <a:pt x="0" y="0"/>
                              </a:lnTo>
                              <a:lnTo>
                                <a:pt x="6263995" y="0"/>
                              </a:lnTo>
                              <a:lnTo>
                                <a:pt x="6263995" y="12953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13141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1.024017pt;margin-top:44.334003pt;width:493.25pt;height:1.05pt;mso-position-horizontal-relative:page;mso-position-vertical-relative:page;z-index:-16028160" id="docshapegroup18" coordorigin="1020,887" coordsize="9865,21">
              <v:rect style="position:absolute;left:1020;top:886;width:9865;height:21" id="docshape19" filled="true" fillcolor="#131413" stroked="false">
                <v:fill type="solid"/>
              </v:rect>
              <v:rect style="position:absolute;left:1020;top:886;width:9865;height:21" id="docshape20" filled="false" stroked="true" strokeweight="0pt" strokecolor="#131413">
                <v:stroke dashstyl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8832">
              <wp:simplePos x="0" y="0"/>
              <wp:positionH relativeFrom="page">
                <wp:posOffset>635126</wp:posOffset>
              </wp:positionH>
              <wp:positionV relativeFrom="page">
                <wp:posOffset>414510</wp:posOffset>
              </wp:positionV>
              <wp:extent cx="1333500" cy="13335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333500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7"/>
                            </w:rPr>
                          </w:pPr>
                          <w:r>
                            <w:rPr>
                              <w:rFonts w:ascii="Arial" w:hAnsi="Arial"/>
                              <w:w w:val="80"/>
                              <w:sz w:val="17"/>
                            </w:rPr>
                            <w:t>Neurol</w:t>
                          </w:r>
                          <w:r>
                            <w:rPr>
                              <w:rFonts w:ascii="Arial" w:hAnsi="Arial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w w:val="80"/>
                              <w:sz w:val="17"/>
                            </w:rPr>
                            <w:t>Sci</w:t>
                          </w:r>
                          <w:r>
                            <w:rPr>
                              <w:rFonts w:ascii="Arial" w:hAnsi="Arial"/>
                              <w:spacing w:val="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w w:val="80"/>
                              <w:sz w:val="17"/>
                            </w:rPr>
                            <w:t>(2021)</w:t>
                          </w:r>
                          <w:r>
                            <w:rPr>
                              <w:rFonts w:ascii="Arial" w:hAnsi="Arial"/>
                              <w:spacing w:val="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w w:val="80"/>
                              <w:sz w:val="17"/>
                            </w:rPr>
                            <w:t>42:4271–4280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009998pt;margin-top:32.638584pt;width:105pt;height:10.5pt;mso-position-horizontal-relative:page;mso-position-vertical-relative:page;z-index:-16027648" type="#_x0000_t202" id="docshape21" filled="false" stroked="false">
              <v:textbox inset="0,0,0,0">
                <w:txbxContent>
                  <w:p>
                    <w:pPr>
                      <w:spacing w:line="189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w w:val="80"/>
                        <w:sz w:val="17"/>
                      </w:rPr>
                      <w:t>Neurol</w:t>
                    </w:r>
                    <w:r>
                      <w:rPr>
                        <w:rFonts w:ascii="Arial" w:hAnsi="Arial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80"/>
                        <w:sz w:val="17"/>
                      </w:rPr>
                      <w:t>Sci</w:t>
                    </w:r>
                    <w:r>
                      <w:rPr>
                        <w:rFonts w:ascii="Arial" w:hAnsi="Arial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80"/>
                        <w:sz w:val="17"/>
                      </w:rPr>
                      <w:t>(2021)</w:t>
                    </w:r>
                    <w:r>
                      <w:rPr>
                        <w:rFonts w:ascii="Arial" w:hAnsi="Arial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w w:val="80"/>
                        <w:sz w:val="17"/>
                      </w:rPr>
                      <w:t>42:4271–4280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9344">
              <wp:simplePos x="0" y="0"/>
              <wp:positionH relativeFrom="page">
                <wp:posOffset>6671309</wp:posOffset>
              </wp:positionH>
              <wp:positionV relativeFrom="page">
                <wp:posOffset>414510</wp:posOffset>
              </wp:positionV>
              <wp:extent cx="293370" cy="13335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93370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0"/>
                            <w:ind w:left="60" w:right="0" w:firstLine="0"/>
                            <w:jc w:val="left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t>4273</w:t>
                          </w:r>
                          <w:r>
                            <w:rPr>
                              <w:rFonts w:ascii="Arial"/>
                              <w:spacing w:val="-4"/>
                              <w:w w:val="95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299988pt;margin-top:32.638584pt;width:23.1pt;height:10.5pt;mso-position-horizontal-relative:page;mso-position-vertical-relative:page;z-index:-16027136" type="#_x0000_t202" id="docshape22" filled="false" stroked="false">
              <v:textbox inset="0,0,0,0">
                <w:txbxContent>
                  <w:p>
                    <w:pPr>
                      <w:spacing w:line="189" w:lineRule="exact" w:before="0"/>
                      <w:ind w:left="6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fldChar w:fldCharType="begin"/>
                    </w: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instrText> PAGE </w:instrText>
                    </w: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fldChar w:fldCharType="separate"/>
                    </w: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t>4273</w:t>
                    </w:r>
                    <w:r>
                      <w:rPr>
                        <w:rFonts w:ascii="Arial"/>
                        <w:spacing w:val="-4"/>
                        <w:w w:val="95"/>
                        <w:sz w:val="17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decimal"/>
      <w:lvlText w:val="%1"/>
      <w:lvlJc w:val="left"/>
      <w:pPr>
        <w:ind w:left="28" w:hanging="537"/>
        <w:jc w:val="left"/>
      </w:pPr>
      <w:rPr>
        <w:rFonts w:hint="default"/>
        <w:lang w:val="en-US" w:eastAsia="en-US" w:bidi="ar-SA"/>
      </w:rPr>
    </w:lvl>
    <w:lvl w:ilvl="1">
      <w:start w:val="1"/>
      <w:numFmt w:val="decimalZero"/>
      <w:lvlText w:val="%1.%2)"/>
      <w:lvlJc w:val="left"/>
      <w:pPr>
        <w:ind w:left="28" w:hanging="53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31413"/>
        <w:spacing w:val="3"/>
        <w:w w:val="96"/>
        <w:sz w:val="18"/>
        <w:szCs w:val="1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12" w:hanging="2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31413"/>
        <w:spacing w:val="0"/>
        <w:w w:val="99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2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8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0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6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22" w:hanging="2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*"/>
      <w:lvlJc w:val="left"/>
      <w:pPr>
        <w:ind w:left="338" w:hanging="310"/>
      </w:pPr>
      <w:rPr>
        <w:rFonts w:hint="default" w:ascii="Arial" w:hAnsi="Arial" w:eastAsia="Arial" w:cs="Arial"/>
        <w:b w:val="0"/>
        <w:bCs w:val="0"/>
        <w:i w:val="0"/>
        <w:iCs w:val="0"/>
        <w:color w:val="131413"/>
        <w:spacing w:val="0"/>
        <w:w w:val="28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5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1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7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3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68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14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0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6" w:hanging="31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8"/>
      <w:outlineLvl w:val="1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8"/>
      <w:outlineLvl w:val="2"/>
    </w:pPr>
    <w:rPr>
      <w:rFonts w:ascii="Arial" w:hAnsi="Arial" w:eastAsia="Arial" w:cs="Arial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64"/>
      <w:ind w:left="28" w:right="475" w:hanging="1"/>
    </w:pPr>
    <w:rPr>
      <w:rFonts w:ascii="Arial" w:hAnsi="Arial" w:eastAsia="Arial" w:cs="Arial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"/>
      <w:ind w:left="409" w:right="24" w:hanging="38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3.png"/><Relationship Id="rId8" Type="http://schemas.openxmlformats.org/officeDocument/2006/relationships/hyperlink" Target="http://crossmark.crossref.org/dialog/?doi=10.1007/s10072-021-05380-2&amp;domain=pdf" TargetMode="External"/><Relationship Id="rId9" Type="http://schemas.openxmlformats.org/officeDocument/2006/relationships/hyperlink" Target="http://orcid.org/0000-0002-2191-5184" TargetMode="External"/><Relationship Id="rId10" Type="http://schemas.openxmlformats.org/officeDocument/2006/relationships/image" Target="media/image4.png"/><Relationship Id="rId11" Type="http://schemas.openxmlformats.org/officeDocument/2006/relationships/hyperlink" Target="mailto:jikunqian@qq.com" TargetMode="External"/><Relationship Id="rId12" Type="http://schemas.openxmlformats.org/officeDocument/2006/relationships/hyperlink" Target="mailto:czyan@sdu.edu.cn" TargetMode="External"/><Relationship Id="rId13" Type="http://schemas.openxmlformats.org/officeDocument/2006/relationships/hyperlink" Target="mailto:chuanzhuyan@163.com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yperlink" Target="http://tools.niehs.nih/" TargetMode="External"/><Relationship Id="rId17" Type="http://schemas.openxmlformats.org/officeDocument/2006/relationships/hyperlink" Target="http://www.sift.jcvi.org/" TargetMode="External"/><Relationship Id="rId18" Type="http://schemas.openxmlformats.org/officeDocument/2006/relationships/hyperlink" Target="http://www.mutationtaster.org/" TargetMode="External"/><Relationship Id="rId19" Type="http://schemas.openxmlformats.org/officeDocument/2006/relationships/footer" Target="footer3.xml"/><Relationship Id="rId20" Type="http://schemas.openxmlformats.org/officeDocument/2006/relationships/footer" Target="footer4.xml"/><Relationship Id="rId21" Type="http://schemas.openxmlformats.org/officeDocument/2006/relationships/image" Target="media/image6.jpeg"/><Relationship Id="rId22" Type="http://schemas.openxmlformats.org/officeDocument/2006/relationships/hyperlink" Target="http://www.hgmd.cf.ac.uk/" TargetMode="External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s://doi.org/10.1007/s10072-021-05380-2" TargetMode="External"/><Relationship Id="rId28" Type="http://schemas.openxmlformats.org/officeDocument/2006/relationships/hyperlink" Target="https://doi.org/10.1126/science.aac7516" TargetMode="External"/><Relationship Id="rId29" Type="http://schemas.openxmlformats.org/officeDocument/2006/relationships/hyperlink" Target="https://doi.org/10.1002/ana.24362" TargetMode="External"/><Relationship Id="rId30" Type="http://schemas.openxmlformats.org/officeDocument/2006/relationships/hyperlink" Target="https://doi.org/10.1016/j.cccn.2004.11.003" TargetMode="External"/><Relationship Id="rId31" Type="http://schemas.openxmlformats.org/officeDocument/2006/relationships/hyperlink" Target="https://doi.org/10.1093/nar/gkv1003" TargetMode="External"/><Relationship Id="rId32" Type="http://schemas.openxmlformats.org/officeDocument/2006/relationships/hyperlink" Target="https://doi.org/10.1038/s41582-018-0101-0" TargetMode="External"/><Relationship Id="rId33" Type="http://schemas.openxmlformats.org/officeDocument/2006/relationships/hyperlink" Target="https://doi.org/10.1093/hmg/ddt094" TargetMode="External"/><Relationship Id="rId34" Type="http://schemas.openxmlformats.org/officeDocument/2006/relationships/hyperlink" Target="https://doi.org/10.1093/nar/gkz1018" TargetMode="External"/><Relationship Id="rId35" Type="http://schemas.openxmlformats.org/officeDocument/2006/relationships/hyperlink" Target="https://doi.org/10.1212/WNL.0b013e318238863a" TargetMode="External"/><Relationship Id="rId36" Type="http://schemas.openxmlformats.org/officeDocument/2006/relationships/hyperlink" Target="https://doi.org/10.1007/s10048-019-00593-2" TargetMode="External"/><Relationship Id="rId37" Type="http://schemas.openxmlformats.org/officeDocument/2006/relationships/hyperlink" Target="https://doi.org/10.1038/90034" TargetMode="External"/><Relationship Id="rId38" Type="http://schemas.openxmlformats.org/officeDocument/2006/relationships/hyperlink" Target="https://doi.org/10.2741/4510" TargetMode="External"/><Relationship Id="rId39" Type="http://schemas.openxmlformats.org/officeDocument/2006/relationships/hyperlink" Target="https://doi.org/10.1212/nxg.0000000000000391" TargetMode="External"/><Relationship Id="rId40" Type="http://schemas.openxmlformats.org/officeDocument/2006/relationships/hyperlink" Target="https://doi.org/10.1002/acn3.133" TargetMode="External"/><Relationship Id="rId41" Type="http://schemas.openxmlformats.org/officeDocument/2006/relationships/hyperlink" Target="https://doi.org/10.1007/s10072-016-2734-3" TargetMode="External"/><Relationship Id="rId42" Type="http://schemas.openxmlformats.org/officeDocument/2006/relationships/hyperlink" Target="https://doi.org/10.1007/s10072-017-3116-1" TargetMode="External"/><Relationship Id="rId43" Type="http://schemas.openxmlformats.org/officeDocument/2006/relationships/hyperlink" Target="https://doi.org/10.1016/j.mito.2019.09.002" TargetMode="External"/><Relationship Id="rId44" Type="http://schemas.openxmlformats.org/officeDocument/2006/relationships/hyperlink" Target="https://doi.org/10.1136/jmedgenet-2019-106649" TargetMode="External"/><Relationship Id="rId45" Type="http://schemas.openxmlformats.org/officeDocument/2006/relationships/hyperlink" Target="https://doi.org/10.1016/j.nmd.2008.05.009" TargetMode="External"/><Relationship Id="rId46" Type="http://schemas.openxmlformats.org/officeDocument/2006/relationships/hyperlink" Target="https://doi.org/10.1007/s10072-013-1557-8" TargetMode="External"/><Relationship Id="rId47" Type="http://schemas.openxmlformats.org/officeDocument/2006/relationships/hyperlink" Target="https://doi.org/10.1007/s10072-015-2247-5" TargetMode="External"/><Relationship Id="rId48" Type="http://schemas.openxmlformats.org/officeDocument/2006/relationships/hyperlink" Target="https://doi.org/10.1093/brain/aws298" TargetMode="External"/><Relationship Id="rId49" Type="http://schemas.openxmlformats.org/officeDocument/2006/relationships/hyperlink" Target="https://doi.org/10.1093/brain/awl088" TargetMode="External"/><Relationship Id="rId50" Type="http://schemas.openxmlformats.org/officeDocument/2006/relationships/hyperlink" Target="https://doi.org/10.1097/01.jnen.0000229987.17548.6e" TargetMode="External"/><Relationship Id="rId51" Type="http://schemas.openxmlformats.org/officeDocument/2006/relationships/hyperlink" Target="https://doi.org/10.1038/nmeth.3213" TargetMode="External"/><Relationship Id="rId52" Type="http://schemas.openxmlformats.org/officeDocument/2006/relationships/hyperlink" Target="https://doi.org/10.1038/nprot.2015.053" TargetMode="External"/><Relationship Id="rId53" Type="http://schemas.openxmlformats.org/officeDocument/2006/relationships/hyperlink" Target="https://doi.org/10.1093/nar/gky427" TargetMode="External"/><Relationship Id="rId54" Type="http://schemas.openxmlformats.org/officeDocument/2006/relationships/hyperlink" Target="https://doi.org/10.1073/pnas.70.1.190" TargetMode="External"/><Relationship Id="rId55" Type="http://schemas.openxmlformats.org/officeDocument/2006/relationships/hyperlink" Target="https://doi.org/10.1002/0471142735.im0316bs113" TargetMode="External"/><Relationship Id="rId56" Type="http://schemas.openxmlformats.org/officeDocument/2006/relationships/hyperlink" Target="https://doi.org/10.1007/s00018-010-0530-4" TargetMode="External"/><Relationship Id="rId57" Type="http://schemas.openxmlformats.org/officeDocument/2006/relationships/hyperlink" Target="https://doi.org/10.1038/s41467-018-04895-1" TargetMode="External"/><Relationship Id="rId58" Type="http://schemas.openxmlformats.org/officeDocument/2006/relationships/hyperlink" Target="https://doi.org/10.1136/jmedgenet-2011-100222" TargetMode="External"/><Relationship Id="rId59" Type="http://schemas.openxmlformats.org/officeDocument/2006/relationships/hyperlink" Target="https://doi.org/10.1038/ejhg.2013.171" TargetMode="External"/><Relationship Id="rId60" Type="http://schemas.openxmlformats.org/officeDocument/2006/relationships/hyperlink" Target="https://doi.org/10.1097/GIM.0b013e31816b5cae" TargetMode="External"/><Relationship Id="rId61" Type="http://schemas.openxmlformats.org/officeDocument/2006/relationships/hyperlink" Target="https://doi.org/10.1093/nar/gkr618" TargetMode="External"/><Relationship Id="rId62" Type="http://schemas.openxmlformats.org/officeDocument/2006/relationships/hyperlink" Target="https://doi.org/10.1093/brain/awm009" TargetMode="External"/><Relationship Id="rId63" Type="http://schemas.openxmlformats.org/officeDocument/2006/relationships/hyperlink" Target="https://doi.org/10.1002/humu.20824" TargetMode="External"/><Relationship Id="rId64" Type="http://schemas.openxmlformats.org/officeDocument/2006/relationships/hyperlink" Target="https://doi.org/10.1086/444548" TargetMode="External"/><Relationship Id="rId65" Type="http://schemas.openxmlformats.org/officeDocument/2006/relationships/hyperlink" Target="https://doi.org/10.1074/jbc.M109.011940" TargetMode="External"/><Relationship Id="rId6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Lin</dc:creator>
  <cp:keywords>Mitochondrial disease,POLG,Large deletion,Missense variant,PEO</cp:keywords>
  <dc:subject>Neurol Sci, doi:10.1007/s10072-021-05380-2</dc:subject>
  <dc:title>Novel biallelic mutations in POLG gene: large deletion and missense variant associated with PEO</dc:title>
  <dcterms:created xsi:type="dcterms:W3CDTF">2025-07-04T18:26:47Z</dcterms:created>
  <dcterms:modified xsi:type="dcterms:W3CDTF">2025-07-04T18:26:47Z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2021-06-30T00:00:00Z</vt:filetime>
  </property>
  <property fmtid="{D5CDD505-2E9C-101B-9397-08002B2CF9AE}" pid="3" name="Creator">
    <vt:lpwstr>Arbortext Advanced Print Publisher 9.1.440/W Unicode</vt:lpwstr>
  </property>
  <property fmtid="{D5CDD505-2E9C-101B-9397-08002B2CF9AE}" pid="4" name="LastSaved">
    <vt:filetime>2025-07-04T00:00:00Z</vt:filetime>
  </property>
  <property fmtid="{D5CDD505-2E9C-101B-9397-08002B2CF9AE}" pid="5" name="Producer">
    <vt:lpwstr>Acrobat Distiller 9.0.0 (Windows)</vt:lpwstr>
  </property>
</Properties>
</file>