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1AE11" w14:textId="51CCBF74" w:rsidR="00A0100A" w:rsidRDefault="00A0100A" w:rsidP="00A0100A">
      <w:r>
        <w:t>Two novel POLG1 mutations in a patient with progressive</w:t>
      </w:r>
      <w:r w:rsidR="00694077">
        <w:t xml:space="preserve"> </w:t>
      </w:r>
      <w:r>
        <w:t>external ophthalmoplegia, levodopa-responsive</w:t>
      </w:r>
      <w:r w:rsidR="00694077">
        <w:t xml:space="preserve"> </w:t>
      </w:r>
      <w:r>
        <w:t>pseudo-orthostatic tremor and parkinsonism</w:t>
      </w:r>
    </w:p>
    <w:p w14:paraId="4A28310C" w14:textId="36D99D08" w:rsidR="00A0100A" w:rsidRDefault="00A0100A" w:rsidP="00A0100A">
      <w:r>
        <w:t xml:space="preserve">Federica Invernizzi a,1, Sara Varanese </w:t>
      </w:r>
      <w:proofErr w:type="gramStart"/>
      <w:r>
        <w:t>b,c</w:t>
      </w:r>
      <w:proofErr w:type="gramEnd"/>
      <w:r>
        <w:t>,</w:t>
      </w:r>
      <w:proofErr w:type="gramStart"/>
      <w:r>
        <w:t>1 ,</w:t>
      </w:r>
      <w:proofErr w:type="gramEnd"/>
      <w:r>
        <w:t xml:space="preserve"> Astrid Thomas </w:t>
      </w:r>
      <w:proofErr w:type="spellStart"/>
      <w:proofErr w:type="gramStart"/>
      <w:r>
        <w:t>b,c</w:t>
      </w:r>
      <w:proofErr w:type="spellEnd"/>
      <w:proofErr w:type="gramEnd"/>
      <w:r>
        <w:t xml:space="preserve"> , Franco Carrara </w:t>
      </w:r>
      <w:proofErr w:type="gramStart"/>
      <w:r>
        <w:t>a ,</w:t>
      </w:r>
      <w:proofErr w:type="gramEnd"/>
    </w:p>
    <w:p w14:paraId="73324431" w14:textId="12C21D00" w:rsidR="00A0100A" w:rsidRDefault="00A0100A" w:rsidP="00A0100A">
      <w:r>
        <w:t xml:space="preserve">Marco Onofrj </w:t>
      </w:r>
      <w:proofErr w:type="spellStart"/>
      <w:proofErr w:type="gramStart"/>
      <w:r>
        <w:t>b,c</w:t>
      </w:r>
      <w:proofErr w:type="spellEnd"/>
      <w:proofErr w:type="gramEnd"/>
      <w:r>
        <w:t xml:space="preserve">, Massimo </w:t>
      </w:r>
      <w:proofErr w:type="spellStart"/>
      <w:r>
        <w:t>Zeviani</w:t>
      </w:r>
      <w:proofErr w:type="spellEnd"/>
      <w:r>
        <w:t xml:space="preserve"> </w:t>
      </w:r>
      <w:proofErr w:type="gramStart"/>
      <w:r>
        <w:t>a,*</w:t>
      </w:r>
      <w:proofErr w:type="gramEnd"/>
      <w:r w:rsidR="00694077">
        <w:t>.</w:t>
      </w:r>
      <w:r>
        <w:t>a Unit of Molecular Neurogenetics, Pierfranco e Luisa Mariani Center for the Study of Children’s Mitochondrial Disorders,</w:t>
      </w:r>
      <w:r w:rsidR="00694077">
        <w:t xml:space="preserve"> </w:t>
      </w:r>
      <w:r>
        <w:t>‘‘C. Besta” Neurological Institute Foundation-IRCCS, Milan, Italy</w:t>
      </w:r>
      <w:r w:rsidR="00694077">
        <w:t xml:space="preserve"> </w:t>
      </w:r>
      <w:r>
        <w:t xml:space="preserve">b Department of Oncology, Neuroscience and </w:t>
      </w:r>
      <w:proofErr w:type="spellStart"/>
      <w:r>
        <w:t>Neurophysiopathology</w:t>
      </w:r>
      <w:proofErr w:type="spellEnd"/>
      <w:r>
        <w:t>, University ‘‘G. D’Annunzio,” Chieti-Pescara, Italy</w:t>
      </w:r>
    </w:p>
    <w:p w14:paraId="6A6EF18D" w14:textId="77777777" w:rsidR="00A0100A" w:rsidRDefault="00A0100A" w:rsidP="00A0100A">
      <w:r>
        <w:t xml:space="preserve">c Aging Research Center, </w:t>
      </w:r>
      <w:proofErr w:type="spellStart"/>
      <w:r>
        <w:t>Ce.S.I</w:t>
      </w:r>
      <w:proofErr w:type="spellEnd"/>
      <w:r>
        <w:t>. ‘‘G. D’Annunzio” University Foundation, Chieti-Pescara, Italy</w:t>
      </w:r>
    </w:p>
    <w:p w14:paraId="3D35A1D6" w14:textId="77777777" w:rsidR="00A0100A" w:rsidRDefault="00A0100A" w:rsidP="00A0100A">
      <w:r>
        <w:t>Received 31 January 2008; received in revised form 31 January 2008; accepted 2 April 2008</w:t>
      </w:r>
    </w:p>
    <w:p w14:paraId="7C81F89D" w14:textId="77777777" w:rsidR="00694077" w:rsidRDefault="00694077" w:rsidP="00A0100A"/>
    <w:p w14:paraId="4D8E72FF" w14:textId="77777777" w:rsidR="00A0100A" w:rsidRDefault="00A0100A" w:rsidP="00A0100A">
      <w:r>
        <w:t>Abstract</w:t>
      </w:r>
    </w:p>
    <w:p w14:paraId="2E3EE383" w14:textId="64CE4517" w:rsidR="00A0100A" w:rsidRDefault="00A0100A" w:rsidP="00A0100A">
      <w:r>
        <w:t xml:space="preserve">Different mutations, or combinations of mutations, in POLG1, the gene encoding pol </w:t>
      </w:r>
      <w:proofErr w:type="spellStart"/>
      <w:r>
        <w:t>cA</w:t>
      </w:r>
      <w:proofErr w:type="spellEnd"/>
      <w:r>
        <w:t>, the catalytic subunit of mitochondrial DNA</w:t>
      </w:r>
      <w:r w:rsidR="00694077">
        <w:t xml:space="preserve"> </w:t>
      </w:r>
      <w:r>
        <w:t>polymerase, are associated with a spectrum of clinical presentations including autosomal dominant or recessive progressive external ophthalmoplegia (PEO), juvenile-onset ataxia and epilepsy, and Alpers–</w:t>
      </w:r>
      <w:proofErr w:type="spellStart"/>
      <w:r>
        <w:t>Huttenlocher</w:t>
      </w:r>
      <w:proofErr w:type="spellEnd"/>
      <w:r w:rsidR="00694077">
        <w:t xml:space="preserve"> </w:t>
      </w:r>
      <w:r>
        <w:t>syndrome. Parkinsonian features have been reported</w:t>
      </w:r>
      <w:r w:rsidR="00694077">
        <w:t xml:space="preserve"> </w:t>
      </w:r>
      <w:r>
        <w:t>as a late complication of POLG1-associated dominant PEO. Good response to levodopa or dopamine agonists, reduced dopamine</w:t>
      </w:r>
      <w:r w:rsidR="00694077">
        <w:t xml:space="preserve"> </w:t>
      </w:r>
      <w:r>
        <w:t>uptake in the corpus striatum and neuronal loss of the Substantia Nigra pars compacta have been documented in a few cases. Here</w:t>
      </w:r>
      <w:r w:rsidR="00694077">
        <w:t xml:space="preserve"> </w:t>
      </w:r>
      <w:r>
        <w:t xml:space="preserve">we report two novel mutations in POLG1 in a compound heterozygous patient with autosomal recessive PEO, followed by pseudo-orthostatic tremor evolving into levodopa-responsive parkinsonism. These observations support the hypothesis that </w:t>
      </w:r>
      <w:proofErr w:type="spellStart"/>
      <w:r>
        <w:t>mtDNA</w:t>
      </w:r>
      <w:proofErr w:type="spellEnd"/>
      <w:r>
        <w:t xml:space="preserve"> dysfunction</w:t>
      </w:r>
      <w:r w:rsidR="00694077">
        <w:t xml:space="preserve"> </w:t>
      </w:r>
      <w:r>
        <w:t>is engaged in the pathogenesis of idiopathic Parkinson’s disease.</w:t>
      </w:r>
      <w:r w:rsidR="00694077">
        <w:t xml:space="preserve"> </w:t>
      </w:r>
      <w:r>
        <w:t>Ó 2008 Elsevier B.V. All rights reserved.</w:t>
      </w:r>
    </w:p>
    <w:p w14:paraId="3DAAF2E1" w14:textId="77777777" w:rsidR="00A0100A" w:rsidRDefault="00A0100A" w:rsidP="00A0100A">
      <w:r>
        <w:t xml:space="preserve">Keywords: Progressive external ophthalmoplegia; Parkinsonism; Polymerase gamma; Mitochondrial DNA; Multiple </w:t>
      </w:r>
      <w:proofErr w:type="spellStart"/>
      <w:r>
        <w:t>mtDNA</w:t>
      </w:r>
      <w:proofErr w:type="spellEnd"/>
      <w:r>
        <w:t xml:space="preserve"> deletions</w:t>
      </w:r>
    </w:p>
    <w:p w14:paraId="48E76DE6" w14:textId="77777777" w:rsidR="00694077" w:rsidRDefault="00694077" w:rsidP="00A0100A"/>
    <w:p w14:paraId="623476DB" w14:textId="77777777" w:rsidR="00A0100A" w:rsidRDefault="00A0100A" w:rsidP="00A0100A">
      <w:r>
        <w:t>1. Introduction</w:t>
      </w:r>
    </w:p>
    <w:p w14:paraId="5CE8CF3D" w14:textId="4F982FF9" w:rsidR="00A0100A" w:rsidRDefault="00A0100A" w:rsidP="00A0100A">
      <w:r>
        <w:t>Mitochondrial DNA (</w:t>
      </w:r>
      <w:proofErr w:type="spellStart"/>
      <w:r>
        <w:t>mtDNA</w:t>
      </w:r>
      <w:proofErr w:type="spellEnd"/>
      <w:r>
        <w:t>) is faithfully replicated</w:t>
      </w:r>
      <w:r w:rsidR="00694077">
        <w:t xml:space="preserve"> </w:t>
      </w:r>
      <w:r>
        <w:t>by DNA polymerase V (pol V), an enzyme composed of</w:t>
      </w:r>
      <w:r w:rsidR="00694077">
        <w:t xml:space="preserve"> </w:t>
      </w:r>
      <w:r>
        <w:t xml:space="preserve">a single, 145 </w:t>
      </w:r>
      <w:proofErr w:type="spellStart"/>
      <w:r>
        <w:t>kDa</w:t>
      </w:r>
      <w:proofErr w:type="spellEnd"/>
      <w:r>
        <w:t xml:space="preserve"> catalytic subunit (pol </w:t>
      </w:r>
      <w:proofErr w:type="spellStart"/>
      <w:r>
        <w:t>cA</w:t>
      </w:r>
      <w:proofErr w:type="spellEnd"/>
      <w:r>
        <w:t>) bound to</w:t>
      </w:r>
      <w:r w:rsidR="00694077">
        <w:t xml:space="preserve"> </w:t>
      </w:r>
      <w:r>
        <w:t xml:space="preserve">two, 55 </w:t>
      </w:r>
      <w:proofErr w:type="spellStart"/>
      <w:r>
        <w:t>kDa</w:t>
      </w:r>
      <w:proofErr w:type="spellEnd"/>
      <w:r>
        <w:t xml:space="preserve"> accessory</w:t>
      </w:r>
      <w:r w:rsidR="00694077">
        <w:t xml:space="preserve"> </w:t>
      </w:r>
      <w:r>
        <w:t xml:space="preserve">subunits (pol </w:t>
      </w:r>
      <w:proofErr w:type="spellStart"/>
      <w:r>
        <w:t>cB</w:t>
      </w:r>
      <w:proofErr w:type="spellEnd"/>
      <w:r>
        <w:t xml:space="preserve">). Pol </w:t>
      </w:r>
      <w:proofErr w:type="spellStart"/>
      <w:r>
        <w:t>cA</w:t>
      </w:r>
      <w:proofErr w:type="spellEnd"/>
      <w:r>
        <w:t xml:space="preserve"> is encoded</w:t>
      </w:r>
      <w:r w:rsidR="00694077">
        <w:t xml:space="preserve"> </w:t>
      </w:r>
      <w:r>
        <w:t>by POLG1, a 23-exon gene located on human chromosome</w:t>
      </w:r>
      <w:r w:rsidR="00694077">
        <w:t xml:space="preserve"> </w:t>
      </w:r>
      <w:r>
        <w:t xml:space="preserve">15. Functional genetic variants of POLG1 are present </w:t>
      </w:r>
      <w:proofErr w:type="spellStart"/>
      <w:r>
        <w:t>inapproximately</w:t>
      </w:r>
      <w:proofErr w:type="spellEnd"/>
      <w:r>
        <w:t xml:space="preserve"> 0.5% of the general population. Numerous</w:t>
      </w:r>
      <w:r w:rsidR="00694077">
        <w:t xml:space="preserve"> </w:t>
      </w:r>
      <w:r>
        <w:t>POLG1 mutations have been associated with a spectrum</w:t>
      </w:r>
    </w:p>
    <w:p w14:paraId="58E4A8C1" w14:textId="55AA8133" w:rsidR="00A0100A" w:rsidRDefault="00A0100A" w:rsidP="00A0100A">
      <w:r>
        <w:t>of clinical presentations including autosomal dominant or</w:t>
      </w:r>
      <w:r w:rsidR="00694077">
        <w:t xml:space="preserve"> </w:t>
      </w:r>
      <w:r>
        <w:t>recessive progressive external ophthalmoplegia (PEO),</w:t>
      </w:r>
      <w:r w:rsidR="00694077">
        <w:t xml:space="preserve"> </w:t>
      </w:r>
      <w:r>
        <w:t>juvenile-onset ataxia and epilepsy, and Alpers–</w:t>
      </w:r>
      <w:proofErr w:type="spellStart"/>
      <w:r>
        <w:t>Huttenl</w:t>
      </w:r>
      <w:proofErr w:type="spellEnd"/>
      <w:r>
        <w:t>-</w:t>
      </w:r>
    </w:p>
    <w:p w14:paraId="5F6218AB" w14:textId="3CBD3E30" w:rsidR="00A0100A" w:rsidRDefault="00A0100A" w:rsidP="00A0100A">
      <w:r>
        <w:t>ocher syndrome. At the molecular level, PEO patients are</w:t>
      </w:r>
      <w:r w:rsidR="00694077">
        <w:t xml:space="preserve"> </w:t>
      </w:r>
      <w:r>
        <w:t>characterized by the accumulation of a collection of deleted</w:t>
      </w:r>
      <w:r w:rsidR="00694077">
        <w:t xml:space="preserve"> </w:t>
      </w:r>
      <w:proofErr w:type="spellStart"/>
      <w:r>
        <w:t>mtDNA</w:t>
      </w:r>
      <w:proofErr w:type="spellEnd"/>
      <w:r>
        <w:t xml:space="preserve"> species in affected tissues, notably skeletal muscle</w:t>
      </w:r>
    </w:p>
    <w:p w14:paraId="44B69012" w14:textId="032A8ADF" w:rsidR="00A0100A" w:rsidRDefault="00A0100A" w:rsidP="00A0100A">
      <w:r>
        <w:t>and brain. Additional symptoms, including migraine, epi-</w:t>
      </w:r>
      <w:proofErr w:type="spellStart"/>
      <w:r>
        <w:t>lepsy</w:t>
      </w:r>
      <w:proofErr w:type="spellEnd"/>
      <w:r>
        <w:t>, peripheral neuropathy, ataxia, premature ovarian</w:t>
      </w:r>
      <w:r w:rsidR="00694077">
        <w:t xml:space="preserve"> </w:t>
      </w:r>
      <w:r>
        <w:t xml:space="preserve">failure, hypogonadism and male </w:t>
      </w:r>
      <w:proofErr w:type="spellStart"/>
      <w:r>
        <w:t>hypofertility</w:t>
      </w:r>
      <w:proofErr w:type="spellEnd"/>
      <w:r>
        <w:t>, may occur</w:t>
      </w:r>
    </w:p>
    <w:p w14:paraId="3B9CEC39" w14:textId="60637768" w:rsidR="00A0100A" w:rsidRDefault="00A0100A" w:rsidP="00A0100A">
      <w:r>
        <w:t>in different PEO families and with different POLG1 mutations [1–4]. Parkinsonism is a rare and late-onset complication of POLG1-associated PEO [3–5]. We report here on a</w:t>
      </w:r>
    </w:p>
    <w:p w14:paraId="139CFCAE" w14:textId="76B295B3" w:rsidR="00A0100A" w:rsidRDefault="00A0100A" w:rsidP="00A0100A">
      <w:r>
        <w:t>patient presenting progressive external ophthalmoplegia</w:t>
      </w:r>
      <w:r w:rsidR="00694077">
        <w:t xml:space="preserve"> </w:t>
      </w:r>
      <w:r>
        <w:t>followed by pseudo-orthostatic tremor and parkinsonism.</w:t>
      </w:r>
      <w:r w:rsidR="00694077">
        <w:t xml:space="preserve"> </w:t>
      </w:r>
      <w:r>
        <w:t>Molecular analysis showed that this patient is a compound</w:t>
      </w:r>
    </w:p>
    <w:p w14:paraId="08965AA2" w14:textId="77777777" w:rsidR="00A0100A" w:rsidRDefault="00A0100A" w:rsidP="00A0100A">
      <w:r>
        <w:t>heterozygous for two novel mutations of the POLG1 gene.</w:t>
      </w:r>
    </w:p>
    <w:p w14:paraId="0B1FADE8" w14:textId="77777777" w:rsidR="00A0100A" w:rsidRDefault="00A0100A" w:rsidP="00A0100A">
      <w:r>
        <w:t>0960-8966/$ - see front matter Ó 2008 Elsevier B.V. All rights reserved.</w:t>
      </w:r>
    </w:p>
    <w:p w14:paraId="365F8E88" w14:textId="3C25E146" w:rsidR="00A0100A" w:rsidRDefault="00A0100A" w:rsidP="00A0100A">
      <w:proofErr w:type="gramStart"/>
      <w:r>
        <w:t>doi:10.1016/j.nmd</w:t>
      </w:r>
      <w:proofErr w:type="gramEnd"/>
      <w:r>
        <w:t>.2008.04.005* Corresponding author. Fax: +39 02 2394 2619.</w:t>
      </w:r>
    </w:p>
    <w:p w14:paraId="0AEBCD81" w14:textId="77777777" w:rsidR="00A0100A" w:rsidRDefault="00A0100A" w:rsidP="00A0100A">
      <w:r>
        <w:t xml:space="preserve">E-mail address: zeviani@istituto-besta.it (M. </w:t>
      </w:r>
      <w:proofErr w:type="spellStart"/>
      <w:r>
        <w:t>Zeviani</w:t>
      </w:r>
      <w:proofErr w:type="spellEnd"/>
      <w:r>
        <w:t>).</w:t>
      </w:r>
    </w:p>
    <w:p w14:paraId="13377607" w14:textId="77777777" w:rsidR="00A0100A" w:rsidRDefault="00A0100A" w:rsidP="00A0100A">
      <w:r>
        <w:t>1 These authors contributed equally to this work.</w:t>
      </w:r>
    </w:p>
    <w:p w14:paraId="51B7ABCE" w14:textId="77777777" w:rsidR="00A0100A" w:rsidRDefault="00A0100A" w:rsidP="00A0100A">
      <w:r>
        <w:lastRenderedPageBreak/>
        <w:t>www.elsevier.com/locate/nmd</w:t>
      </w:r>
    </w:p>
    <w:p w14:paraId="0E46DFB2" w14:textId="77777777" w:rsidR="00A0100A" w:rsidRDefault="00A0100A" w:rsidP="00A0100A">
      <w:r>
        <w:t>Neuromuscular Disorders 18 (2008) 460–464</w:t>
      </w:r>
    </w:p>
    <w:p w14:paraId="7864F799" w14:textId="77777777" w:rsidR="00694077" w:rsidRDefault="00694077" w:rsidP="00A0100A"/>
    <w:p w14:paraId="50006BAE" w14:textId="77777777" w:rsidR="00A0100A" w:rsidRDefault="00A0100A" w:rsidP="00A0100A">
      <w:r>
        <w:t>2. Case description</w:t>
      </w:r>
    </w:p>
    <w:p w14:paraId="124B026C" w14:textId="242FDAA3" w:rsidR="00A0100A" w:rsidRDefault="00A0100A" w:rsidP="00A0100A">
      <w:r>
        <w:t xml:space="preserve">The patient is a </w:t>
      </w:r>
      <w:proofErr w:type="gramStart"/>
      <w:r>
        <w:t>54 year-old</w:t>
      </w:r>
      <w:proofErr w:type="gramEnd"/>
      <w:r>
        <w:t xml:space="preserve"> (</w:t>
      </w:r>
      <w:proofErr w:type="spellStart"/>
      <w:r>
        <w:t>yo</w:t>
      </w:r>
      <w:proofErr w:type="spellEnd"/>
      <w:r>
        <w:t>) man from Central Italy.</w:t>
      </w:r>
      <w:r w:rsidR="00694077">
        <w:t xml:space="preserve"> </w:t>
      </w:r>
      <w:r>
        <w:t>His father died at 71 years of lung cancer, had non-insulin</w:t>
      </w:r>
      <w:r w:rsidR="00694077">
        <w:t xml:space="preserve"> </w:t>
      </w:r>
      <w:r>
        <w:t>dependent diabetes mellitus but was free from any neuro-</w:t>
      </w:r>
    </w:p>
    <w:p w14:paraId="71AF52CB" w14:textId="2B5C5F2E" w:rsidR="00A0100A" w:rsidRDefault="00A0100A" w:rsidP="00A0100A">
      <w:r>
        <w:t xml:space="preserve">logical symptom. The 82 </w:t>
      </w:r>
      <w:proofErr w:type="spellStart"/>
      <w:r>
        <w:t>yo</w:t>
      </w:r>
      <w:proofErr w:type="spellEnd"/>
      <w:r>
        <w:t xml:space="preserve"> mother, a 47 </w:t>
      </w:r>
      <w:proofErr w:type="spellStart"/>
      <w:r>
        <w:t>yo</w:t>
      </w:r>
      <w:proofErr w:type="spellEnd"/>
      <w:r>
        <w:t xml:space="preserve"> brother and</w:t>
      </w:r>
      <w:r w:rsidR="00694077">
        <w:t xml:space="preserve"> </w:t>
      </w:r>
      <w:r>
        <w:t xml:space="preserve">two 29 and 24 </w:t>
      </w:r>
      <w:proofErr w:type="spellStart"/>
      <w:r>
        <w:t>yo</w:t>
      </w:r>
      <w:proofErr w:type="spellEnd"/>
      <w:r>
        <w:t xml:space="preserve"> daughters are all alive and well. The pro-</w:t>
      </w:r>
      <w:proofErr w:type="spellStart"/>
      <w:r>
        <w:t>positus</w:t>
      </w:r>
      <w:proofErr w:type="spellEnd"/>
      <w:r>
        <w:t xml:space="preserve"> was born at term after an uneventful pregnancy. In</w:t>
      </w:r>
      <w:r w:rsidR="00694077">
        <w:t xml:space="preserve"> </w:t>
      </w:r>
      <w:r>
        <w:t>contrast to what was reported previously [6], this patient</w:t>
      </w:r>
      <w:r w:rsidR="00694077">
        <w:t xml:space="preserve"> </w:t>
      </w:r>
      <w:r>
        <w:t>developed PEO with bilateral ptosis at 30 years of age, followed by progressive dysphonia with rhinolalia, dysphagia,</w:t>
      </w:r>
      <w:r w:rsidR="00694077">
        <w:t xml:space="preserve"> </w:t>
      </w:r>
      <w:r>
        <w:t>proximal muscle weakness and wasting, and tendon are-</w:t>
      </w:r>
      <w:proofErr w:type="spellStart"/>
      <w:r>
        <w:t>flexia</w:t>
      </w:r>
      <w:proofErr w:type="spellEnd"/>
      <w:r>
        <w:t xml:space="preserve">. Reduction of caloric intake, caused by severe dysphagia and the onset of chronic </w:t>
      </w:r>
      <w:proofErr w:type="spellStart"/>
      <w:r>
        <w:t>diarrhoea</w:t>
      </w:r>
      <w:proofErr w:type="spellEnd"/>
      <w:r>
        <w:t xml:space="preserve">, resulted </w:t>
      </w:r>
      <w:proofErr w:type="spellStart"/>
      <w:r>
        <w:t>insevere</w:t>
      </w:r>
      <w:proofErr w:type="spellEnd"/>
      <w:r>
        <w:t xml:space="preserve"> body weight loss. At 50 years of age the patient</w:t>
      </w:r>
      <w:r w:rsidR="00694077">
        <w:t xml:space="preserve"> </w:t>
      </w:r>
      <w:r>
        <w:t>developed tremor in the standing position (dominant frequency at 6.2 Hz) initially affecting the left lower limb, then</w:t>
      </w:r>
      <w:r w:rsidR="00694077">
        <w:t xml:space="preserve"> </w:t>
      </w:r>
      <w:r>
        <w:t>both lower limbs, with occasional mild resting tremor of</w:t>
      </w:r>
      <w:r w:rsidR="00694077">
        <w:t xml:space="preserve"> </w:t>
      </w:r>
      <w:r>
        <w:t>the hands. This patient was included in a recent report</w:t>
      </w:r>
      <w:r w:rsidR="00694077">
        <w:t xml:space="preserve"> </w:t>
      </w:r>
      <w:r>
        <w:t>on 4 cases affected by levodopa-responsive pseudo-orthostatic tremor in parkinsonism (case 3 in [6]). In the following 2 years he developed extra-pyramidal rigidity with a</w:t>
      </w:r>
      <w:r w:rsidR="00694077">
        <w:t xml:space="preserve"> </w:t>
      </w:r>
      <w:r>
        <w:t>cogwheel sign, reduced tapping (left &gt; right) and postural</w:t>
      </w:r>
      <w:r w:rsidR="00694077">
        <w:t xml:space="preserve"> </w:t>
      </w:r>
      <w:r>
        <w:t>instability (Unified Parkinson’s Disease Rating Scale-</w:t>
      </w:r>
    </w:p>
    <w:p w14:paraId="7EFDC369" w14:textId="28B13F3C" w:rsidR="00A0100A" w:rsidRDefault="00A0100A" w:rsidP="00A0100A">
      <w:r>
        <w:t>UPDRS motor score 21 points). Physical examination</w:t>
      </w:r>
      <w:r w:rsidR="00694077">
        <w:t xml:space="preserve"> </w:t>
      </w:r>
      <w:r>
        <w:t xml:space="preserve">showed a </w:t>
      </w:r>
      <w:proofErr w:type="spellStart"/>
      <w:r>
        <w:t>hypomimic</w:t>
      </w:r>
      <w:proofErr w:type="spellEnd"/>
      <w:r>
        <w:t xml:space="preserve"> face, hypophonia, bilateral ptosis,</w:t>
      </w:r>
      <w:r w:rsidR="00694077">
        <w:t xml:space="preserve"> </w:t>
      </w:r>
      <w:r>
        <w:t>ophthalmoplegia, mild symmetrical proximal muscle weakness (Medical</w:t>
      </w:r>
      <w:r w:rsidR="00694077">
        <w:t xml:space="preserve"> </w:t>
      </w:r>
      <w:r>
        <w:t>Research Council grade 4+) and absence of</w:t>
      </w:r>
      <w:r w:rsidR="00694077">
        <w:t xml:space="preserve"> </w:t>
      </w:r>
      <w:r>
        <w:t>lower limb tendon reflexes. An ECG and structural brain</w:t>
      </w:r>
      <w:r w:rsidR="00694077">
        <w:t xml:space="preserve"> </w:t>
      </w:r>
      <w:r>
        <w:t>MRI were both normal. A Single-Photon Emission Computed Tomography (SPECT) using ([(</w:t>
      </w:r>
      <w:proofErr w:type="gramStart"/>
      <w:r>
        <w:t>123)I</w:t>
      </w:r>
      <w:proofErr w:type="gramEnd"/>
      <w:r>
        <w:t>]-2b-carbome-thoxy-3b-(-4-iodophenyl)-N-(3-fluoropropyl)-nortropane</w:t>
      </w:r>
      <w:r w:rsidR="00694077">
        <w:t xml:space="preserve"> </w:t>
      </w:r>
      <w:r>
        <w:t>(I-FP-CIT SPECT) revealed a bilaterally reduced dopamine uptake in the corpus striatum (right &gt; left). Serum</w:t>
      </w:r>
      <w:r w:rsidR="00694077">
        <w:t xml:space="preserve"> </w:t>
      </w:r>
      <w:r>
        <w:t>creatine kinase (CK) level was 2156 U/L (normal &lt; 140U/L). An EMG was compatible with axonal sensory neuropathy associated with myopathic features. The patient</w:t>
      </w:r>
      <w:r w:rsidR="00694077">
        <w:t xml:space="preserve"> </w:t>
      </w:r>
      <w:r>
        <w:t>was initially treated with low doses of dopamine agonists</w:t>
      </w:r>
      <w:r w:rsidR="00694077">
        <w:t xml:space="preserve"> </w:t>
      </w:r>
      <w:r>
        <w:t>(pramipexole 2.1 mg/day) associated with levodopa up to</w:t>
      </w:r>
      <w:r w:rsidR="00694077">
        <w:t xml:space="preserve"> </w:t>
      </w:r>
      <w:r>
        <w:t>400 mg/day with disappearance of standing legs tremor</w:t>
      </w:r>
    </w:p>
    <w:p w14:paraId="1689AA1A" w14:textId="00026FEB" w:rsidR="00A0100A" w:rsidRDefault="00A0100A" w:rsidP="00A0100A">
      <w:r>
        <w:t>and reduction in UPDRS motor score.</w:t>
      </w:r>
      <w:r w:rsidR="00694077">
        <w:t xml:space="preserve"> </w:t>
      </w:r>
      <w:r>
        <w:t>Two years later he complained of end-of-dose deterioration, with re-occurrence of the disabling standing tremor,</w:t>
      </w:r>
      <w:r w:rsidR="00694077">
        <w:t xml:space="preserve"> </w:t>
      </w:r>
      <w:r>
        <w:t>which appeared 1.5–2.5 h after each single levodopa</w:t>
      </w:r>
      <w:r w:rsidR="00694077">
        <w:t xml:space="preserve"> </w:t>
      </w:r>
      <w:r>
        <w:t>(UPDRS motor score was 27 in ‘‘on” state and 42 in ‘‘off”</w:t>
      </w:r>
    </w:p>
    <w:p w14:paraId="597DED54" w14:textId="72E478DB" w:rsidR="00A0100A" w:rsidRDefault="00A0100A" w:rsidP="00A0100A">
      <w:r>
        <w:t>state) and was associated with severe anxiety and panic</w:t>
      </w:r>
      <w:r w:rsidR="00694077">
        <w:t xml:space="preserve"> </w:t>
      </w:r>
      <w:r>
        <w:t>attacks during the ‘‘off” states. Levodopa was increased</w:t>
      </w:r>
      <w:r w:rsidR="00694077">
        <w:t xml:space="preserve"> </w:t>
      </w:r>
      <w:r>
        <w:t>to 600 mg/day and entacapone was added (1200 mg/day).</w:t>
      </w:r>
    </w:p>
    <w:p w14:paraId="32633D0F" w14:textId="286231DC" w:rsidR="00A0100A" w:rsidRDefault="00A0100A" w:rsidP="00694077">
      <w:pPr>
        <w:ind w:right="20"/>
      </w:pPr>
      <w:r>
        <w:t>The patient did not report further fluctuations for the next</w:t>
      </w:r>
      <w:r w:rsidR="002C076A">
        <w:t xml:space="preserve"> </w:t>
      </w:r>
      <w:r>
        <w:t>6 months, when he developed peak-dose dyskinesias, reoccurrence of end-of-dose deterioration and severe stand-</w:t>
      </w:r>
    </w:p>
    <w:p w14:paraId="38256997" w14:textId="3779059D" w:rsidR="00A0100A" w:rsidRDefault="00A0100A" w:rsidP="00694077">
      <w:pPr>
        <w:ind w:right="20"/>
      </w:pPr>
      <w:proofErr w:type="spellStart"/>
      <w:r>
        <w:t>ing</w:t>
      </w:r>
      <w:proofErr w:type="spellEnd"/>
      <w:r>
        <w:t xml:space="preserve"> tremor. Entacapone was substituted with tolcapone</w:t>
      </w:r>
      <w:r w:rsidR="002C076A">
        <w:t xml:space="preserve"> </w:t>
      </w:r>
      <w:r>
        <w:t>100 mg t.i.d. with reduction of dyskinesias and ‘‘off” state.</w:t>
      </w:r>
      <w:r w:rsidR="002C076A">
        <w:t xml:space="preserve"> </w:t>
      </w:r>
      <w:r>
        <w:t>Since then, dysphagia has progressively worsened, with fur-</w:t>
      </w:r>
    </w:p>
    <w:p w14:paraId="0B5449ED" w14:textId="2782E4B3" w:rsidR="00A0100A" w:rsidRDefault="00A0100A" w:rsidP="00694077">
      <w:pPr>
        <w:ind w:right="20"/>
      </w:pPr>
      <w:proofErr w:type="spellStart"/>
      <w:r>
        <w:t>ther</w:t>
      </w:r>
      <w:proofErr w:type="spellEnd"/>
      <w:r>
        <w:t xml:space="preserve"> loss of weight because of malnutrition, requiring the</w:t>
      </w:r>
      <w:r w:rsidR="002C076A">
        <w:t xml:space="preserve"> </w:t>
      </w:r>
      <w:r>
        <w:t>positioning of a percutaneous endoscopic gastrostomy for</w:t>
      </w:r>
      <w:r w:rsidR="002C076A">
        <w:t xml:space="preserve"> </w:t>
      </w:r>
      <w:r>
        <w:t>enteral nutrition. Onset of ventilatory failure has required</w:t>
      </w:r>
    </w:p>
    <w:p w14:paraId="26CC4508" w14:textId="67BC4428" w:rsidR="00A0100A" w:rsidRDefault="00A0100A" w:rsidP="00694077">
      <w:pPr>
        <w:ind w:right="20"/>
      </w:pPr>
      <w:r>
        <w:t>mechanical ventilation. The serum CK level remains high</w:t>
      </w:r>
      <w:r w:rsidR="002C076A">
        <w:t xml:space="preserve"> </w:t>
      </w:r>
      <w:r>
        <w:t>(6143 U/L), with worsening and spreading of the muscle</w:t>
      </w:r>
      <w:r w:rsidR="002C076A">
        <w:t xml:space="preserve"> </w:t>
      </w:r>
      <w:r>
        <w:t>weakness. High serum CK is an unusual, but occasionally</w:t>
      </w:r>
    </w:p>
    <w:p w14:paraId="15D8AE73" w14:textId="31D7B727" w:rsidR="00A0100A" w:rsidRDefault="00A0100A" w:rsidP="002C076A">
      <w:pPr>
        <w:ind w:right="20"/>
      </w:pPr>
      <w:r>
        <w:t>reported, finding in POLG1-associated PEO with multiple</w:t>
      </w:r>
      <w:r w:rsidR="002C076A">
        <w:t xml:space="preserve"> </w:t>
      </w:r>
      <w:proofErr w:type="spellStart"/>
      <w:r>
        <w:t>mtDNA</w:t>
      </w:r>
      <w:proofErr w:type="spellEnd"/>
      <w:r>
        <w:t xml:space="preserve"> deletions: for instance, Hudson et al. [5] report a</w:t>
      </w:r>
      <w:r w:rsidR="002C076A">
        <w:t xml:space="preserve"> </w:t>
      </w:r>
      <w:r>
        <w:t>patient (individual II:8) with serum CK levels &gt; 2500 U/l.</w:t>
      </w:r>
    </w:p>
    <w:p w14:paraId="020366FE" w14:textId="641548F8" w:rsidR="00A0100A" w:rsidRDefault="00A0100A" w:rsidP="00A0100A">
      <w:r>
        <w:t>The tremor and the ‘‘off” state now occur 1.5–2 h after</w:t>
      </w:r>
      <w:r w:rsidR="002C076A">
        <w:t xml:space="preserve"> </w:t>
      </w:r>
      <w:r>
        <w:t>levodopa administration, which must be repeated 7–8 times</w:t>
      </w:r>
      <w:r w:rsidR="002C076A">
        <w:t xml:space="preserve"> </w:t>
      </w:r>
      <w:r>
        <w:t>per day. In the last months the patient has also developed</w:t>
      </w:r>
    </w:p>
    <w:p w14:paraId="374EBB5F" w14:textId="6EC1BDEE" w:rsidR="00A0100A" w:rsidRDefault="00A0100A" w:rsidP="00A0100A">
      <w:r>
        <w:t>progressive cognitive dysfunction associated with psychotic</w:t>
      </w:r>
      <w:r w:rsidR="002C076A">
        <w:t xml:space="preserve"> </w:t>
      </w:r>
      <w:r>
        <w:t>features.</w:t>
      </w:r>
    </w:p>
    <w:p w14:paraId="3388F708" w14:textId="77777777" w:rsidR="002C076A" w:rsidRDefault="002C076A" w:rsidP="00A0100A"/>
    <w:p w14:paraId="627707F9" w14:textId="77777777" w:rsidR="00A0100A" w:rsidRDefault="00A0100A" w:rsidP="00A0100A">
      <w:r>
        <w:lastRenderedPageBreak/>
        <w:t>3. Methods</w:t>
      </w:r>
    </w:p>
    <w:p w14:paraId="44851B1D" w14:textId="4C742D2F" w:rsidR="00A0100A" w:rsidRDefault="00A0100A" w:rsidP="00A0100A">
      <w:r>
        <w:t>Southern blot analysis of mtDNA was carried out on</w:t>
      </w:r>
      <w:r w:rsidR="002C076A">
        <w:t xml:space="preserve"> </w:t>
      </w:r>
      <w:r>
        <w:t>DNA extracted from skeletal muscle following standard</w:t>
      </w:r>
      <w:r w:rsidR="002C076A">
        <w:t xml:space="preserve"> </w:t>
      </w:r>
      <w:r>
        <w:t>procedures [7] and using the ECL chemiluminescence as</w:t>
      </w:r>
      <w:r w:rsidR="002C076A">
        <w:t xml:space="preserve"> </w:t>
      </w:r>
      <w:r>
        <w:t>the detection method. DNA from peripheral blood lymphocytes was used as a template to amplify the 22 coding</w:t>
      </w:r>
      <w:r w:rsidR="002C076A">
        <w:t xml:space="preserve"> </w:t>
      </w:r>
      <w:r>
        <w:t>exons of the POLG1 gene (exons 223). Polymerase chain</w:t>
      </w:r>
      <w:r w:rsidR="002C076A">
        <w:t xml:space="preserve"> </w:t>
      </w:r>
      <w:r>
        <w:t>reaction (PCR) conditions were 96 °C for 30 s, 56 °C for</w:t>
      </w:r>
      <w:r w:rsidR="002C076A">
        <w:t xml:space="preserve"> </w:t>
      </w:r>
      <w:r>
        <w:t>20 s and 72 °C for 60 s, for 30 cycles plus as initial denaturation step at 96 °C for 2 min. PCR fragments were analyzed by automated nucleotide sequencing using the Big</w:t>
      </w:r>
      <w:r w:rsidR="002C076A">
        <w:t xml:space="preserve"> </w:t>
      </w:r>
      <w:r>
        <w:t>Dye terminator Ready Reaction Kit version 2 on a 3100</w:t>
      </w:r>
      <w:r w:rsidR="002C076A">
        <w:t xml:space="preserve"> </w:t>
      </w:r>
      <w:r>
        <w:t>Genetic Analyzer Automated Sequencer (Applied Biosystems). The sequence variants found in the patient were</w:t>
      </w:r>
      <w:r w:rsidR="002C076A">
        <w:t xml:space="preserve"> </w:t>
      </w:r>
      <w:r>
        <w:t>searched for in available relatives as well as in 100 consecutive control subjects (200</w:t>
      </w:r>
      <w:r w:rsidR="002C076A">
        <w:t xml:space="preserve"> </w:t>
      </w:r>
      <w:r>
        <w:t>alleles).</w:t>
      </w:r>
    </w:p>
    <w:p w14:paraId="45C5FF44" w14:textId="77777777" w:rsidR="002C076A" w:rsidRDefault="002C076A" w:rsidP="00A0100A"/>
    <w:p w14:paraId="416DF14D" w14:textId="77777777" w:rsidR="00A0100A" w:rsidRDefault="00A0100A" w:rsidP="00A0100A">
      <w:r>
        <w:t>4. Results</w:t>
      </w:r>
    </w:p>
    <w:p w14:paraId="7B73ECA0" w14:textId="1D67F88E" w:rsidR="00A0100A" w:rsidRDefault="00A0100A" w:rsidP="00A0100A">
      <w:r>
        <w:t>A skeletal muscle biopsy taken when the patient was 32</w:t>
      </w:r>
      <w:r w:rsidR="002C076A">
        <w:t xml:space="preserve"> </w:t>
      </w:r>
      <w:r>
        <w:t>years old showed the presence of several ragged-red fibers</w:t>
      </w:r>
      <w:r w:rsidR="002C076A">
        <w:t xml:space="preserve"> </w:t>
      </w:r>
      <w:r>
        <w:t>with variation of fiber caliber and nuclear centralization,</w:t>
      </w:r>
      <w:r w:rsidR="002C076A">
        <w:t xml:space="preserve"> </w:t>
      </w:r>
      <w:r>
        <w:t>and reduced or absent reactivity to cytochrome c oxidase</w:t>
      </w:r>
      <w:r w:rsidR="002C076A">
        <w:t xml:space="preserve"> </w:t>
      </w:r>
      <w:r>
        <w:t xml:space="preserve">(Fig. 1A). Sequence analysis of </w:t>
      </w:r>
      <w:proofErr w:type="spellStart"/>
      <w:r>
        <w:t>mtDNA</w:t>
      </w:r>
      <w:proofErr w:type="spellEnd"/>
      <w:r>
        <w:t xml:space="preserve"> excluded the presence of point mutations commonly associated with</w:t>
      </w:r>
      <w:r w:rsidR="002C076A">
        <w:t xml:space="preserve"> </w:t>
      </w:r>
      <w:r>
        <w:t>MERRF and MELAS. However, Southern blot analysis</w:t>
      </w:r>
      <w:r w:rsidR="002C076A">
        <w:t xml:space="preserve"> </w:t>
      </w:r>
      <w:r>
        <w:t>revealed the presence of a collection of deleted mtDNA</w:t>
      </w:r>
    </w:p>
    <w:p w14:paraId="3F0A792F" w14:textId="26BA74A7" w:rsidR="00A0100A" w:rsidRDefault="00A0100A" w:rsidP="00A0100A">
      <w:r>
        <w:t>species in addition to wild-type mtDNA (Fig. 1B) [6].</w:t>
      </w:r>
      <w:r w:rsidR="002C076A">
        <w:t xml:space="preserve"> </w:t>
      </w:r>
      <w:r>
        <w:t>These results prompted us to consider the possibility</w:t>
      </w:r>
      <w:r w:rsidR="002C076A">
        <w:t xml:space="preserve"> </w:t>
      </w:r>
      <w:r>
        <w:t xml:space="preserve">of mutation(s) in one of the nucleus-encoded genes commonly associated with </w:t>
      </w:r>
      <w:proofErr w:type="spellStart"/>
      <w:r>
        <w:t>mtDNA</w:t>
      </w:r>
      <w:proofErr w:type="spellEnd"/>
      <w:r>
        <w:t xml:space="preserve"> instability and PEO,</w:t>
      </w:r>
      <w:r w:rsidR="002C076A">
        <w:t xml:space="preserve"> </w:t>
      </w:r>
      <w:r>
        <w:t>namely Twinkle, ANT1 and POLG1. Sequence analysis</w:t>
      </w:r>
      <w:r w:rsidR="002C076A">
        <w:t xml:space="preserve"> </w:t>
      </w:r>
      <w:r>
        <w:t>of the</w:t>
      </w:r>
      <w:r w:rsidR="002C076A">
        <w:t xml:space="preserve"> </w:t>
      </w:r>
      <w:r>
        <w:t>first two genes ruled out the presence of pathogenic mutations. However, sequence analysis of the entire</w:t>
      </w:r>
      <w:r w:rsidR="002C076A">
        <w:t xml:space="preserve"> </w:t>
      </w:r>
      <w:r>
        <w:t>coding region of the POLG1 gene led us to the identification of two novel heterozygous mutations. One is a</w:t>
      </w:r>
      <w:r w:rsidR="002C076A">
        <w:t xml:space="preserve"> </w:t>
      </w:r>
      <w:r>
        <w:t>c.1288A &gt; T transversion, predicting a p.M430L amino-acid substitution. The second is a c.2752T &gt; C transition,</w:t>
      </w:r>
      <w:r w:rsidR="002C076A">
        <w:t xml:space="preserve"> </w:t>
      </w:r>
      <w:r>
        <w:t xml:space="preserve">determining the </w:t>
      </w:r>
      <w:proofErr w:type="spellStart"/>
      <w:r>
        <w:t>aminoacid</w:t>
      </w:r>
      <w:proofErr w:type="spellEnd"/>
      <w:r>
        <w:t xml:space="preserve"> substitution p.W918R</w:t>
      </w:r>
      <w:r w:rsidR="002C076A">
        <w:t xml:space="preserve"> </w:t>
      </w:r>
      <w:r>
        <w:t>(Fig. 2A). Segregation analysis, carried out in available</w:t>
      </w:r>
      <w:r w:rsidR="002C076A">
        <w:t xml:space="preserve"> </w:t>
      </w:r>
      <w:r>
        <w:t>members of the family (Fig. 2B), revealed the presence</w:t>
      </w:r>
      <w:r w:rsidR="002C076A">
        <w:t xml:space="preserve"> </w:t>
      </w:r>
      <w:r>
        <w:t>of the 2752T &gt; C heterozygous mutation in the mother</w:t>
      </w:r>
      <w:r w:rsidR="002C076A">
        <w:t xml:space="preserve"> </w:t>
      </w:r>
      <w:r>
        <w:t>of the patient and in the two healthy daughters, while</w:t>
      </w:r>
      <w:r w:rsidR="002C076A">
        <w:t xml:space="preserve"> </w:t>
      </w:r>
      <w:r>
        <w:t>no mutation was detected in his brother.</w:t>
      </w:r>
    </w:p>
    <w:p w14:paraId="0FD7E17C" w14:textId="77777777" w:rsidR="00A0100A" w:rsidRDefault="00A0100A" w:rsidP="00A0100A">
      <w:r>
        <w:t>F. Invernizzi et al. / Neuromuscular Disorders 18 (2008) 460–464 461</w:t>
      </w:r>
    </w:p>
    <w:p w14:paraId="3154561C" w14:textId="77777777" w:rsidR="002C076A" w:rsidRDefault="002C076A" w:rsidP="00A0100A"/>
    <w:p w14:paraId="67F20A9E" w14:textId="77777777" w:rsidR="00A0100A" w:rsidRDefault="00A0100A" w:rsidP="00A0100A">
      <w:r>
        <w:t>5. Discussion</w:t>
      </w:r>
    </w:p>
    <w:p w14:paraId="27EF5502" w14:textId="139ABCB4" w:rsidR="00A0100A" w:rsidRDefault="00A0100A" w:rsidP="00A0100A">
      <w:r>
        <w:t xml:space="preserve">We found two </w:t>
      </w:r>
      <w:proofErr w:type="gramStart"/>
      <w:r>
        <w:t>novel</w:t>
      </w:r>
      <w:proofErr w:type="gramEnd"/>
      <w:r>
        <w:t xml:space="preserve"> heterozygous POLG1 mutations in</w:t>
      </w:r>
      <w:r w:rsidR="002C076A">
        <w:t xml:space="preserve"> </w:t>
      </w:r>
      <w:r>
        <w:t>a compound heterozygous patient characterized by PEO,</w:t>
      </w:r>
      <w:r w:rsidR="002C076A">
        <w:t xml:space="preserve"> </w:t>
      </w:r>
      <w:r>
        <w:t>muscle weakness and later onset levodopa-responsive</w:t>
      </w:r>
    </w:p>
    <w:p w14:paraId="64BD8E64" w14:textId="4E02A614" w:rsidR="00A0100A" w:rsidRDefault="00A0100A" w:rsidP="00A0100A">
      <w:r>
        <w:t>pseudo-orthostatic tremor and parkinsonism [6].</w:t>
      </w:r>
      <w:r w:rsidR="002C076A">
        <w:t xml:space="preserve"> </w:t>
      </w:r>
      <w:r>
        <w:t xml:space="preserve">The maternal allele predicts a p.W918R </w:t>
      </w:r>
      <w:proofErr w:type="spellStart"/>
      <w:r>
        <w:t>aminoacid</w:t>
      </w:r>
      <w:proofErr w:type="spellEnd"/>
      <w:r>
        <w:t xml:space="preserve"> sub-</w:t>
      </w:r>
      <w:proofErr w:type="spellStart"/>
      <w:r>
        <w:t>stitution</w:t>
      </w:r>
      <w:proofErr w:type="spellEnd"/>
      <w:r>
        <w:t xml:space="preserve"> in a highly conserved position in the pol </w:t>
      </w:r>
      <w:proofErr w:type="spellStart"/>
      <w:r>
        <w:t>cA</w:t>
      </w:r>
      <w:proofErr w:type="spellEnd"/>
      <w:r>
        <w:t xml:space="preserve"> polymerase domain (http://dir-apps.niehs.nih.gov/polg/) [8].</w:t>
      </w:r>
      <w:r w:rsidR="002C076A">
        <w:t xml:space="preserve"> </w:t>
      </w:r>
      <w:r>
        <w:t>The paternal allele harbors a c.1288A &gt; T transversion predicting the replacement of the p.M430 residue into an L</w:t>
      </w:r>
      <w:r w:rsidR="002C076A">
        <w:t xml:space="preserve"> </w:t>
      </w:r>
      <w:r>
        <w:t>residue. M430 is contained within the so-called spacer</w:t>
      </w:r>
      <w:r w:rsidR="002C076A">
        <w:t xml:space="preserve"> </w:t>
      </w:r>
      <w:r>
        <w:t>Fig. 1. Morphological and molecular findings in skeletal muscle. (A) Top panel, NADH dehydrogenase staining shows RRF (asterisks); bottom panel,</w:t>
      </w:r>
      <w:r w:rsidR="002C076A">
        <w:t xml:space="preserve"> </w:t>
      </w:r>
      <w:r>
        <w:t>cytochrome c oxidase staining of a serial muscle section shows several fibers with</w:t>
      </w:r>
      <w:r w:rsidR="002C076A">
        <w:t xml:space="preserve"> </w:t>
      </w:r>
      <w:r>
        <w:t>reduced or absent reactivity, including the same two RRF shown in the</w:t>
      </w:r>
      <w:r w:rsidR="002C076A">
        <w:t xml:space="preserve"> </w:t>
      </w:r>
      <w:r>
        <w:t xml:space="preserve">top panel (asterisks). (B) Southern blot analysis on </w:t>
      </w:r>
      <w:proofErr w:type="spellStart"/>
      <w:r>
        <w:t>PvuII</w:t>
      </w:r>
      <w:proofErr w:type="spellEnd"/>
      <w:r>
        <w:t xml:space="preserve">-linearized </w:t>
      </w:r>
      <w:proofErr w:type="spellStart"/>
      <w:r>
        <w:t>mtDNA</w:t>
      </w:r>
      <w:proofErr w:type="spellEnd"/>
      <w:r>
        <w:t xml:space="preserve"> performed on the muscle biopsy of the patient (P) and a control (C). Both P</w:t>
      </w:r>
      <w:r w:rsidR="002C076A">
        <w:t xml:space="preserve"> </w:t>
      </w:r>
      <w:r>
        <w:t>and C samples show a 16.6 kb band corresponding to</w:t>
      </w:r>
      <w:r w:rsidR="002C076A">
        <w:t xml:space="preserve"> </w:t>
      </w:r>
      <w:r>
        <w:t xml:space="preserve">wild-type </w:t>
      </w:r>
      <w:proofErr w:type="spellStart"/>
      <w:r>
        <w:t>mtDNA</w:t>
      </w:r>
      <w:proofErr w:type="spellEnd"/>
      <w:r>
        <w:t xml:space="preserve"> (arrow). In addition, the P sample shows a collection of smaller bands</w:t>
      </w:r>
    </w:p>
    <w:p w14:paraId="008409DB" w14:textId="7759F783" w:rsidR="00A0100A" w:rsidRDefault="00A0100A" w:rsidP="00A0100A">
      <w:r>
        <w:t xml:space="preserve">corresponding to deletion-containing </w:t>
      </w:r>
      <w:proofErr w:type="spellStart"/>
      <w:r>
        <w:t>mtDNA</w:t>
      </w:r>
      <w:proofErr w:type="spellEnd"/>
      <w:r>
        <w:t xml:space="preserve"> species.</w:t>
      </w:r>
      <w:r w:rsidR="002C076A">
        <w:t xml:space="preserve"> </w:t>
      </w:r>
      <w:r>
        <w:t xml:space="preserve">Fig. 2. (A) Identification of POLG1 mutations by sequence analysis. The electropherograms show the c.1288A &gt; T transversion, </w:t>
      </w:r>
      <w:r>
        <w:lastRenderedPageBreak/>
        <w:t>predicting a p.M430L</w:t>
      </w:r>
      <w:r w:rsidR="002C076A">
        <w:t xml:space="preserve"> </w:t>
      </w:r>
      <w:proofErr w:type="spellStart"/>
      <w:r>
        <w:t>aminoacid</w:t>
      </w:r>
      <w:proofErr w:type="spellEnd"/>
      <w:r>
        <w:t xml:space="preserve"> substitution and the c.2752T &gt; C transition, predicting a p.W918R </w:t>
      </w:r>
      <w:proofErr w:type="spellStart"/>
      <w:r>
        <w:t>aminoacid</w:t>
      </w:r>
      <w:proofErr w:type="spellEnd"/>
      <w:r>
        <w:t xml:space="preserve"> substitution. (B) Family pedigree. The solid black square symbol</w:t>
      </w:r>
    </w:p>
    <w:p w14:paraId="66F47A5E" w14:textId="7ED29621" w:rsidR="00A0100A" w:rsidRDefault="00A0100A" w:rsidP="00A0100A">
      <w:r>
        <w:t>indicates the proband; open symbols indicate unaffected individuals. The ‘‘+” and ‘‘”</w:t>
      </w:r>
      <w:r w:rsidR="002C076A">
        <w:t xml:space="preserve"> </w:t>
      </w:r>
      <w:r>
        <w:t>symbols indicate mutant vs. wild-type alleles. (C) Multiple</w:t>
      </w:r>
      <w:r w:rsidR="002C076A">
        <w:t xml:space="preserve"> </w:t>
      </w:r>
      <w:r>
        <w:t xml:space="preserve">alignment of mutation-containing pol </w:t>
      </w:r>
      <w:proofErr w:type="spellStart"/>
      <w:r>
        <w:t>cA</w:t>
      </w:r>
      <w:proofErr w:type="spellEnd"/>
      <w:r>
        <w:t xml:space="preserve"> regions in different species. The red boxes indicate the </w:t>
      </w:r>
      <w:proofErr w:type="spellStart"/>
      <w:r>
        <w:t>aminoacid</w:t>
      </w:r>
      <w:proofErr w:type="spellEnd"/>
      <w:r>
        <w:t xml:space="preserve"> substitutions found in the patient.</w:t>
      </w:r>
      <w:r w:rsidR="002C076A">
        <w:t xml:space="preserve"> </w:t>
      </w:r>
      <w:r>
        <w:t>462 F. Invernizzi et al. / Neuromuscular Disorders 18 (2008) 460–464</w:t>
      </w:r>
    </w:p>
    <w:p w14:paraId="7DDA7611" w14:textId="0576D072" w:rsidR="00A0100A" w:rsidRDefault="00A0100A" w:rsidP="00A0100A">
      <w:r>
        <w:t xml:space="preserve">domain, a region encompassing the midportion of pol </w:t>
      </w:r>
      <w:proofErr w:type="spellStart"/>
      <w:r>
        <w:t>cA</w:t>
      </w:r>
      <w:proofErr w:type="spellEnd"/>
      <w:r>
        <w:t>,</w:t>
      </w:r>
      <w:r w:rsidR="002C076A">
        <w:t xml:space="preserve"> </w:t>
      </w:r>
      <w:r>
        <w:t xml:space="preserve">which in multicellular eukaryotes interacts with two pol </w:t>
      </w:r>
      <w:proofErr w:type="spellStart"/>
      <w:r>
        <w:t>cB</w:t>
      </w:r>
      <w:proofErr w:type="spellEnd"/>
      <w:r w:rsidR="002C076A">
        <w:t xml:space="preserve"> </w:t>
      </w:r>
      <w:r>
        <w:t>accessory subunits to form a functionally active trimeric</w:t>
      </w:r>
      <w:r w:rsidR="002C076A">
        <w:t xml:space="preserve"> </w:t>
      </w:r>
      <w:r>
        <w:t xml:space="preserve">holoenzyme. Pol </w:t>
      </w:r>
      <w:proofErr w:type="spellStart"/>
      <w:r>
        <w:t>cB</w:t>
      </w:r>
      <w:proofErr w:type="spellEnd"/>
      <w:r>
        <w:t xml:space="preserve"> orthologs are absent in fungi, which</w:t>
      </w:r>
      <w:r w:rsidR="002C076A">
        <w:t xml:space="preserve"> </w:t>
      </w:r>
      <w:r>
        <w:t xml:space="preserve">can explain why M430 is conserved in metazoan pol </w:t>
      </w:r>
      <w:proofErr w:type="spellStart"/>
      <w:r>
        <w:t>cA</w:t>
      </w:r>
      <w:proofErr w:type="spellEnd"/>
      <w:r w:rsidR="002C076A">
        <w:t xml:space="preserve"> </w:t>
      </w:r>
      <w:r>
        <w:t>sequences but not in fungal orthologs (for instance,</w:t>
      </w:r>
      <w:r w:rsidR="002C076A">
        <w:t xml:space="preserve"> </w:t>
      </w:r>
      <w:r>
        <w:t>MIP1 in Saccharomyces cerevisiae) (Fig. 2C). Segregation</w:t>
      </w:r>
      <w:r w:rsidR="002C076A">
        <w:t xml:space="preserve"> </w:t>
      </w:r>
      <w:r>
        <w:t>analysis in the family and absence of either mutation in</w:t>
      </w:r>
      <w:r w:rsidR="002C076A">
        <w:t xml:space="preserve"> </w:t>
      </w:r>
      <w:r>
        <w:t>200 control alleles further support the pathogenic role of</w:t>
      </w:r>
    </w:p>
    <w:p w14:paraId="3378C705" w14:textId="2AD78061" w:rsidR="00A0100A" w:rsidRDefault="00A0100A" w:rsidP="00A0100A">
      <w:r>
        <w:t>the mutations.</w:t>
      </w:r>
      <w:r w:rsidR="002C076A">
        <w:t xml:space="preserve"> </w:t>
      </w:r>
      <w:r>
        <w:t>The role of POLG1 genetic variants in the pathogenesis</w:t>
      </w:r>
      <w:r w:rsidR="002C076A">
        <w:t xml:space="preserve"> </w:t>
      </w:r>
      <w:r>
        <w:t>of parkinsonism is suggested by several reports. Parkinsonism was documented in 13 affected members of five out of</w:t>
      </w:r>
      <w:r w:rsidR="002C076A">
        <w:t xml:space="preserve"> </w:t>
      </w:r>
      <w:r>
        <w:t>seven POLG1 mutant PEO families reported by Luoma</w:t>
      </w:r>
      <w:r w:rsidR="002C076A">
        <w:t xml:space="preserve"> </w:t>
      </w:r>
      <w:r>
        <w:t>et al. [3]. Three of these families displayed dominant transmission of the trait and were found to carry a heterozygous</w:t>
      </w:r>
      <w:r w:rsidR="002C076A">
        <w:t xml:space="preserve"> </w:t>
      </w:r>
      <w:r>
        <w:t>c.2864A &gt; G (p.Y955C) mutation, one of the most common pathogenic variants of POLG1 [9]. In two additional</w:t>
      </w:r>
      <w:r w:rsidR="002C076A">
        <w:t xml:space="preserve"> </w:t>
      </w:r>
      <w:r>
        <w:t>families both parkinsonism and PEO were transmitted as</w:t>
      </w:r>
      <w:r w:rsidR="002C076A">
        <w:t xml:space="preserve"> </w:t>
      </w:r>
      <w:r>
        <w:t>an allegedly recessive trait. However, while the three</w:t>
      </w:r>
      <w:r w:rsidR="002C076A">
        <w:t xml:space="preserve"> </w:t>
      </w:r>
      <w:r>
        <w:t>affected members of the first of these families carried two</w:t>
      </w:r>
      <w:r w:rsidR="002C076A">
        <w:t xml:space="preserve"> </w:t>
      </w:r>
      <w:r>
        <w:t>allelic POLG1 mutations, namely c.1402A &gt; G</w:t>
      </w:r>
      <w:r w:rsidR="002C076A">
        <w:t xml:space="preserve"> </w:t>
      </w:r>
      <w:r>
        <w:t>(p.N468D) and c.3313G &gt; A (p.A1105T), only the latter</w:t>
      </w:r>
      <w:r w:rsidR="002C076A">
        <w:t xml:space="preserve"> </w:t>
      </w:r>
      <w:r>
        <w:t>was found in heterozygosity in the single patient of the second family. Good response to levodopa was documented in</w:t>
      </w:r>
      <w:r w:rsidR="002C076A">
        <w:t xml:space="preserve"> </w:t>
      </w:r>
      <w:r>
        <w:t>all patients to whom this treatment had been given.</w:t>
      </w:r>
      <w:r w:rsidR="002C076A">
        <w:t xml:space="preserve"> </w:t>
      </w:r>
      <w:r>
        <w:t>Five additional POLG1 mutant patients belonging to</w:t>
      </w:r>
      <w:r w:rsidR="002C076A">
        <w:t xml:space="preserve"> </w:t>
      </w:r>
      <w:r>
        <w:t>three families were described with a combination of PEO</w:t>
      </w:r>
      <w:r w:rsidR="002C076A">
        <w:t xml:space="preserve"> </w:t>
      </w:r>
      <w:r>
        <w:t>and parkinsonism, but in some of these cases the pathogenic role of the mutations remains controversial. This is</w:t>
      </w:r>
      <w:r w:rsidR="002C076A">
        <w:t xml:space="preserve"> </w:t>
      </w:r>
      <w:r>
        <w:t xml:space="preserve">the case for a family including a 49 </w:t>
      </w:r>
      <w:proofErr w:type="spellStart"/>
      <w:r>
        <w:t>yo</w:t>
      </w:r>
      <w:proofErr w:type="spellEnd"/>
      <w:r>
        <w:t xml:space="preserve"> woman with autosomal dominant PEO, neuropathy, hypogonadism and par-</w:t>
      </w:r>
    </w:p>
    <w:p w14:paraId="53EFBB0B" w14:textId="2F4D9795" w:rsidR="00A0100A" w:rsidRDefault="00A0100A" w:rsidP="00A0100A">
      <w:proofErr w:type="spellStart"/>
      <w:r>
        <w:t>kinsonism</w:t>
      </w:r>
      <w:proofErr w:type="spellEnd"/>
      <w:r>
        <w:t xml:space="preserve"> and her 59 </w:t>
      </w:r>
      <w:proofErr w:type="spellStart"/>
      <w:r>
        <w:t>yo</w:t>
      </w:r>
      <w:proofErr w:type="spellEnd"/>
      <w:r>
        <w:t xml:space="preserve"> brother with overt parkinsonian</w:t>
      </w:r>
      <w:r w:rsidR="002C076A">
        <w:t xml:space="preserve"> </w:t>
      </w:r>
      <w:r>
        <w:t>features [4]. Multiple mitochondrial DNA deletions in</w:t>
      </w:r>
      <w:r w:rsidR="002C076A">
        <w:t xml:space="preserve"> </w:t>
      </w:r>
      <w:r>
        <w:t>muscle and a heterozygous POLG1 missense mutation</w:t>
      </w:r>
      <w:r w:rsidR="002C076A">
        <w:t xml:space="preserve"> </w:t>
      </w:r>
      <w:r>
        <w:t xml:space="preserve">c.2492A &gt; G, leading to p.Y831C </w:t>
      </w:r>
      <w:proofErr w:type="spellStart"/>
      <w:r>
        <w:t>aminoacid</w:t>
      </w:r>
      <w:proofErr w:type="spellEnd"/>
      <w:r>
        <w:t xml:space="preserve"> replacement,</w:t>
      </w:r>
      <w:r w:rsidR="002C076A">
        <w:t xml:space="preserve"> </w:t>
      </w:r>
      <w:r>
        <w:t>were found in the proband and her affected brother. The</w:t>
      </w:r>
      <w:r w:rsidR="002C076A">
        <w:t xml:space="preserve"> </w:t>
      </w:r>
      <w:r>
        <w:t>patient was successfully treated with levodopa. However,</w:t>
      </w:r>
    </w:p>
    <w:p w14:paraId="6D6CB5B6" w14:textId="12E93AC6" w:rsidR="00A0100A" w:rsidRDefault="00A0100A" w:rsidP="00A0100A">
      <w:r>
        <w:t>the c.2492A &gt; G transition has been reported in about</w:t>
      </w:r>
      <w:r w:rsidR="002C076A">
        <w:t xml:space="preserve"> </w:t>
      </w:r>
      <w:r>
        <w:t>2% of control subjects in Poland and in normal controls</w:t>
      </w:r>
      <w:r w:rsidR="002C076A">
        <w:t xml:space="preserve"> </w:t>
      </w:r>
      <w:r>
        <w:t xml:space="preserve">in Finns [10,11] and Italians (MZ and FI, personal observation). These observations suggest that the p.Y831C </w:t>
      </w:r>
      <w:proofErr w:type="spellStart"/>
      <w:r>
        <w:t>aminoacid</w:t>
      </w:r>
      <w:proofErr w:type="spellEnd"/>
      <w:r>
        <w:t xml:space="preserve"> substitution is a non-pathogenic variant in different</w:t>
      </w:r>
      <w:r w:rsidR="002C076A">
        <w:t xml:space="preserve"> </w:t>
      </w:r>
      <w:r>
        <w:t>European populations.</w:t>
      </w:r>
      <w:r w:rsidR="002C076A">
        <w:t xml:space="preserve"> </w:t>
      </w:r>
      <w:r>
        <w:t xml:space="preserve">A second family included several PEO </w:t>
      </w:r>
      <w:proofErr w:type="gramStart"/>
      <w:r>
        <w:t>patients,</w:t>
      </w:r>
      <w:proofErr w:type="gramEnd"/>
      <w:r>
        <w:t xml:space="preserve"> one also</w:t>
      </w:r>
      <w:r w:rsidR="002C076A">
        <w:t xml:space="preserve"> </w:t>
      </w:r>
      <w:r>
        <w:t>being affected by parkinsonism. In this family autosomal</w:t>
      </w:r>
      <w:r w:rsidR="002C076A">
        <w:t xml:space="preserve"> </w:t>
      </w:r>
      <w:r>
        <w:t>dominant PEO segregated with a c.1532G &gt; A heterozygous missense mutation (p.S511N) in exon 8, in combination with an intronic variant c.2070 + c.158G &gt; A in cis</w:t>
      </w:r>
      <w:r w:rsidR="002C076A">
        <w:t xml:space="preserve"> </w:t>
      </w:r>
      <w:r>
        <w:t>[5]. The subject also affected by parkinsonism was found</w:t>
      </w:r>
      <w:r w:rsidR="002C076A">
        <w:t xml:space="preserve"> </w:t>
      </w:r>
      <w:r>
        <w:t>to carry an allelic in-trans change c.1389G &gt; T (p.L463F)</w:t>
      </w:r>
      <w:r w:rsidR="002C076A">
        <w:t xml:space="preserve"> </w:t>
      </w:r>
      <w:r>
        <w:t>the pathogenic role of which is as yet not determined,</w:t>
      </w:r>
      <w:r w:rsidR="002C076A">
        <w:t xml:space="preserve"> </w:t>
      </w:r>
      <w:r>
        <w:t>although the latter was the only change detected in an</w:t>
      </w:r>
    </w:p>
    <w:p w14:paraId="54854D96" w14:textId="726753D5" w:rsidR="00A0100A" w:rsidRDefault="00A0100A" w:rsidP="00A0100A">
      <w:r>
        <w:t>unaffected sibling.</w:t>
      </w:r>
      <w:r w:rsidR="002C076A">
        <w:t xml:space="preserve"> </w:t>
      </w:r>
      <w:r>
        <w:t>A third family was composed of two sisters with early-</w:t>
      </w:r>
      <w:r w:rsidR="002C076A">
        <w:t xml:space="preserve"> </w:t>
      </w:r>
      <w:r>
        <w:t>onset parkinsonism and signs of sensorimotor axonal</w:t>
      </w:r>
      <w:r w:rsidR="002C076A">
        <w:t xml:space="preserve"> </w:t>
      </w:r>
      <w:r>
        <w:t>peripheral neuropathy, without PEO; both were compound</w:t>
      </w:r>
      <w:r w:rsidR="002C076A">
        <w:t xml:space="preserve"> </w:t>
      </w:r>
      <w:r>
        <w:t>heterozygous, carrying the already reported c.2557C &gt; T</w:t>
      </w:r>
    </w:p>
    <w:p w14:paraId="1D3324F4" w14:textId="5A3AAA00" w:rsidR="00A0100A" w:rsidRDefault="00A0100A" w:rsidP="00A0100A">
      <w:r>
        <w:t>(p.R853W) in exon 16 [12] of one allele, while the other</w:t>
      </w:r>
      <w:r w:rsidR="002C076A">
        <w:t xml:space="preserve"> </w:t>
      </w:r>
      <w:r>
        <w:t>allele carried a second, novel mutation c.2209C &gt; A</w:t>
      </w:r>
      <w:r w:rsidR="002C076A">
        <w:t xml:space="preserve"> </w:t>
      </w:r>
      <w:r>
        <w:t>(p.G737R) in exon 13. One sister was treated with levodopa</w:t>
      </w:r>
    </w:p>
    <w:p w14:paraId="6987A5D1" w14:textId="125D3885" w:rsidR="00A0100A" w:rsidRDefault="00A0100A" w:rsidP="00A0100A">
      <w:r>
        <w:t>at low dosage but she developed early oromandibular</w:t>
      </w:r>
      <w:r w:rsidR="002C076A">
        <w:t xml:space="preserve"> </w:t>
      </w:r>
      <w:r>
        <w:t>dyskinesias, the other was treated with dopamine agonists.</w:t>
      </w:r>
      <w:r w:rsidR="002C076A">
        <w:t xml:space="preserve"> </w:t>
      </w:r>
      <w:r>
        <w:t>Besides the POLG1 mutant patients mentioned above, a</w:t>
      </w:r>
    </w:p>
    <w:p w14:paraId="33393499" w14:textId="151B8B13" w:rsidR="00A0100A" w:rsidRDefault="00A0100A" w:rsidP="00A0100A">
      <w:r>
        <w:lastRenderedPageBreak/>
        <w:t>heterozygous mutation c.1121G &gt; A (p.R374Q) was</w:t>
      </w:r>
      <w:r w:rsidR="002C076A">
        <w:t xml:space="preserve"> </w:t>
      </w:r>
      <w:r>
        <w:t xml:space="preserve">reported in exon 1 of the Twinkle in a single family composed of 10 PEO patients, three of whom had also parkinsonism [13]. Finally, a PEO patient with a </w:t>
      </w:r>
      <w:proofErr w:type="spellStart"/>
      <w:r>
        <w:t>levodoparesponsive</w:t>
      </w:r>
      <w:proofErr w:type="spellEnd"/>
      <w:r>
        <w:t xml:space="preserve"> parkinsonism, dyskinesias and motor fluctuations [14] was shown to harbor </w:t>
      </w:r>
      <w:proofErr w:type="spellStart"/>
      <w:r>
        <w:t>mtDNA</w:t>
      </w:r>
      <w:proofErr w:type="spellEnd"/>
      <w:r>
        <w:t xml:space="preserve"> deletions in muscle</w:t>
      </w:r>
      <w:r w:rsidR="002C076A">
        <w:t xml:space="preserve"> </w:t>
      </w:r>
      <w:r>
        <w:t>but no mutation was found in either of the known PEO-associated genes.</w:t>
      </w:r>
      <w:r w:rsidR="002C076A">
        <w:t xml:space="preserve"> </w:t>
      </w:r>
      <w:r>
        <w:t>A comparative study of 420 Parkinson’s disease patients</w:t>
      </w:r>
      <w:r w:rsidR="002C076A">
        <w:t xml:space="preserve"> </w:t>
      </w:r>
      <w:r>
        <w:t>and controls did not support the role for common POLG1</w:t>
      </w:r>
      <w:r w:rsidR="002C076A">
        <w:t xml:space="preserve"> </w:t>
      </w:r>
      <w:r>
        <w:t>genetic variants in parkinsonism, concluding that dominant POLG1 mutations are a rare cause of parkinsonism</w:t>
      </w:r>
      <w:r w:rsidR="002C076A">
        <w:t xml:space="preserve"> </w:t>
      </w:r>
      <w:r>
        <w:t xml:space="preserve">[15]. The hypothesis that length variants of the pol </w:t>
      </w:r>
      <w:proofErr w:type="spellStart"/>
      <w:r>
        <w:t>cA</w:t>
      </w:r>
      <w:proofErr w:type="spellEnd"/>
      <w:r w:rsidR="002C076A">
        <w:t xml:space="preserve"> </w:t>
      </w:r>
      <w:r>
        <w:t>polyglutamine tract may predispose to idiopathic sporadic</w:t>
      </w:r>
      <w:r w:rsidR="002C076A">
        <w:t xml:space="preserve"> </w:t>
      </w:r>
      <w:r>
        <w:t>Parkinson’s disease was suggested by studies on Finns</w:t>
      </w:r>
      <w:r w:rsidR="002C076A">
        <w:t xml:space="preserve"> </w:t>
      </w:r>
      <w:r>
        <w:t>[3,11], but has not as yet been confirmed in other populations. On the other hand, POLG1 mutations are not the</w:t>
      </w:r>
      <w:r w:rsidR="002C076A">
        <w:t xml:space="preserve"> </w:t>
      </w:r>
      <w:r>
        <w:t xml:space="preserve">only cause of </w:t>
      </w:r>
      <w:proofErr w:type="spellStart"/>
      <w:r>
        <w:t>mtDNA</w:t>
      </w:r>
      <w:proofErr w:type="spellEnd"/>
      <w:r>
        <w:t xml:space="preserve"> defects associated with parkinsonism [16].</w:t>
      </w:r>
      <w:r w:rsidR="002C076A">
        <w:t xml:space="preserve"> </w:t>
      </w:r>
      <w:r>
        <w:t xml:space="preserve">Interestingly, high levels of deleted </w:t>
      </w:r>
      <w:proofErr w:type="spellStart"/>
      <w:r>
        <w:t>mtDNAs</w:t>
      </w:r>
      <w:proofErr w:type="spellEnd"/>
      <w:r>
        <w:t xml:space="preserve"> were</w:t>
      </w:r>
      <w:r w:rsidR="002C076A">
        <w:t xml:space="preserve"> </w:t>
      </w:r>
      <w:r>
        <w:t xml:space="preserve">recently reported in neurons of the Substantia Nigra </w:t>
      </w:r>
      <w:proofErr w:type="spellStart"/>
      <w:r>
        <w:t>parscompacta</w:t>
      </w:r>
      <w:proofErr w:type="spellEnd"/>
      <w:r>
        <w:t xml:space="preserve"> in aged individuals. Patients with Parkinson’s</w:t>
      </w:r>
      <w:r w:rsidR="002C076A">
        <w:t xml:space="preserve"> </w:t>
      </w:r>
      <w:r>
        <w:t xml:space="preserve">disease showed levels of deleted </w:t>
      </w:r>
      <w:proofErr w:type="spellStart"/>
      <w:r>
        <w:t>mtDNA</w:t>
      </w:r>
      <w:proofErr w:type="spellEnd"/>
      <w:r>
        <w:t xml:space="preserve"> that were significantly higher than in age-matched control brains [17].</w:t>
      </w:r>
      <w:r w:rsidR="002C076A">
        <w:t xml:space="preserve"> </w:t>
      </w:r>
      <w:r>
        <w:t>These recent results support the long-lasting hypothesis</w:t>
      </w:r>
      <w:r w:rsidR="002C076A">
        <w:t xml:space="preserve"> </w:t>
      </w:r>
      <w:r>
        <w:t xml:space="preserve">that mitochondrial dysfunctions play a role in the </w:t>
      </w:r>
      <w:proofErr w:type="spellStart"/>
      <w:r>
        <w:t>patho</w:t>
      </w:r>
      <w:proofErr w:type="spellEnd"/>
      <w:r>
        <w:t>-</w:t>
      </w:r>
    </w:p>
    <w:p w14:paraId="023ACD15" w14:textId="650B650B" w:rsidR="00A0100A" w:rsidRDefault="00A0100A" w:rsidP="00A0100A">
      <w:r>
        <w:t>genesis of Parkinson’s disease, as well as other adult-onset</w:t>
      </w:r>
      <w:r w:rsidR="002C076A">
        <w:t xml:space="preserve"> </w:t>
      </w:r>
      <w:r>
        <w:t>neurodegenerative diseases including Alzheimer’s disease,</w:t>
      </w:r>
      <w:r w:rsidR="002C076A">
        <w:t xml:space="preserve"> </w:t>
      </w:r>
      <w:r>
        <w:t xml:space="preserve">Huntington’s disease and amyotrophic lateral </w:t>
      </w:r>
      <w:proofErr w:type="gramStart"/>
      <w:r>
        <w:t>sclerosis[</w:t>
      </w:r>
      <w:proofErr w:type="gramEnd"/>
      <w:r>
        <w:t>18]. Interestingly, in two patients [12], including ours,</w:t>
      </w:r>
      <w:r w:rsidR="002C076A">
        <w:t xml:space="preserve"> </w:t>
      </w:r>
      <w:r>
        <w:t>dyskinesias heralded the parkinsonism associated with</w:t>
      </w:r>
      <w:r w:rsidR="002C076A">
        <w:t xml:space="preserve"> </w:t>
      </w:r>
      <w:r>
        <w:t>POLG1 mutations. The latter can be concealed by the presence of peripheral neuropathy and muscle weakness.</w:t>
      </w:r>
      <w:r w:rsidR="002C076A">
        <w:t xml:space="preserve"> </w:t>
      </w:r>
      <w:r>
        <w:t>The identification of two novel POLG1 mutations</w:t>
      </w:r>
      <w:r w:rsidR="002C076A">
        <w:t xml:space="preserve"> </w:t>
      </w:r>
      <w:r>
        <w:t xml:space="preserve">expressing a phenotype characterized by PEO and parkinsonism supports the hypothesis that loss of </w:t>
      </w:r>
      <w:proofErr w:type="spellStart"/>
      <w:r>
        <w:t>mtDNA</w:t>
      </w:r>
      <w:proofErr w:type="spellEnd"/>
      <w:r>
        <w:t xml:space="preserve"> integrity is implicated in the pathogenesis of Parkinson’s</w:t>
      </w:r>
      <w:r w:rsidR="002C076A">
        <w:t xml:space="preserve"> </w:t>
      </w:r>
      <w:r>
        <w:t>disease.</w:t>
      </w:r>
      <w:r w:rsidR="002C076A">
        <w:t xml:space="preserve"> </w:t>
      </w:r>
      <w:r>
        <w:t>Combination of myopathic and neuromuscular</w:t>
      </w:r>
      <w:r w:rsidR="002C076A">
        <w:t xml:space="preserve"> </w:t>
      </w:r>
      <w:r>
        <w:t>symptoms with parkinsonism should prompt to include</w:t>
      </w:r>
      <w:r w:rsidR="002C076A">
        <w:t xml:space="preserve"> </w:t>
      </w:r>
      <w:r>
        <w:t>the screening of the POLG1 gene in the diagnostic work-out, especially, but not exclusively, when the syndrome is</w:t>
      </w:r>
      <w:r w:rsidR="002C076A">
        <w:t xml:space="preserve"> </w:t>
      </w:r>
      <w:r>
        <w:t>inherited.</w:t>
      </w:r>
    </w:p>
    <w:p w14:paraId="571DC842" w14:textId="77777777" w:rsidR="002C076A" w:rsidRDefault="002C076A" w:rsidP="00A0100A"/>
    <w:p w14:paraId="24DA4A04" w14:textId="77777777" w:rsidR="00A0100A" w:rsidRDefault="00A0100A" w:rsidP="00A0100A">
      <w:r>
        <w:t>Acknowledgments</w:t>
      </w:r>
    </w:p>
    <w:p w14:paraId="65563573" w14:textId="77777777" w:rsidR="00A0100A" w:rsidRDefault="00A0100A" w:rsidP="00A0100A">
      <w:r>
        <w:t>This work was supported by the Pierfranco and Luisa</w:t>
      </w:r>
    </w:p>
    <w:p w14:paraId="374D5DE3" w14:textId="77777777" w:rsidR="00A0100A" w:rsidRDefault="00A0100A" w:rsidP="00A0100A">
      <w:r>
        <w:t>Mariani Foundation, the Telethon-Italy Foundation</w:t>
      </w:r>
    </w:p>
    <w:p w14:paraId="2E179087" w14:textId="77777777" w:rsidR="00A0100A" w:rsidRDefault="00A0100A" w:rsidP="00A0100A">
      <w:r>
        <w:t>(Grant No. GGP07019) the Italian Ministry of University</w:t>
      </w:r>
    </w:p>
    <w:p w14:paraId="59105452" w14:textId="77777777" w:rsidR="00A0100A" w:rsidRDefault="00A0100A" w:rsidP="00A0100A">
      <w:r>
        <w:t>and Research (FIRB 2003 – project RBLA038RMA), the</w:t>
      </w:r>
    </w:p>
    <w:p w14:paraId="627FC05A" w14:textId="77777777" w:rsidR="00A0100A" w:rsidRDefault="00A0100A" w:rsidP="00A0100A">
      <w:r>
        <w:t>Italian Ministry of Health (RF2006 ex 56/05/21), MITO-</w:t>
      </w:r>
    </w:p>
    <w:p w14:paraId="5A03327B" w14:textId="77777777" w:rsidR="00A0100A" w:rsidRDefault="00A0100A" w:rsidP="00A0100A">
      <w:r>
        <w:t>F. Invernizzi et al. / Neuromuscular Disorders 18 (2008) 460–464 463</w:t>
      </w:r>
    </w:p>
    <w:p w14:paraId="47B48734" w14:textId="77777777" w:rsidR="00A0100A" w:rsidRDefault="00A0100A" w:rsidP="00A0100A">
      <w:r>
        <w:t>CIRCLE and EUMITOCOMBAT (LSHM-CT-2004-</w:t>
      </w:r>
    </w:p>
    <w:p w14:paraId="73B3ACA8" w14:textId="77777777" w:rsidR="00A0100A" w:rsidRDefault="00A0100A" w:rsidP="00A0100A">
      <w:r>
        <w:t>503116) network Grants from the European Union frame-</w:t>
      </w:r>
    </w:p>
    <w:p w14:paraId="4EF38FE8" w14:textId="77777777" w:rsidR="00A0100A" w:rsidRDefault="00A0100A" w:rsidP="00A0100A">
      <w:r>
        <w:t>work program 6. The authors are grateful to the patient</w:t>
      </w:r>
    </w:p>
    <w:p w14:paraId="70E4A041" w14:textId="77777777" w:rsidR="00A0100A" w:rsidRDefault="00A0100A" w:rsidP="00A0100A">
      <w:r>
        <w:t>and his family for their collaboration in the study.</w:t>
      </w:r>
    </w:p>
    <w:p w14:paraId="0DE4C9D0" w14:textId="77777777" w:rsidR="00A0100A" w:rsidRDefault="00A0100A" w:rsidP="00A0100A">
      <w:r>
        <w:t>References</w:t>
      </w:r>
    </w:p>
    <w:p w14:paraId="1D1EEF21" w14:textId="77777777" w:rsidR="00A0100A" w:rsidRDefault="00A0100A" w:rsidP="00A0100A">
      <w:r>
        <w:t xml:space="preserve">[1] </w:t>
      </w:r>
      <w:proofErr w:type="spellStart"/>
      <w:r>
        <w:t>Graziewicz</w:t>
      </w:r>
      <w:proofErr w:type="spellEnd"/>
      <w:r>
        <w:t xml:space="preserve"> MA, Bienstock RJ, Copeland WC. The DNA polymerase</w:t>
      </w:r>
    </w:p>
    <w:p w14:paraId="46C8922A" w14:textId="77777777" w:rsidR="00A0100A" w:rsidRDefault="00A0100A" w:rsidP="00A0100A">
      <w:r>
        <w:t>c Y955C disease variant associated with PEO and parkinsonism</w:t>
      </w:r>
    </w:p>
    <w:p w14:paraId="179C328C" w14:textId="77777777" w:rsidR="00A0100A" w:rsidRDefault="00A0100A" w:rsidP="00A0100A">
      <w:r>
        <w:t xml:space="preserve">mediates the incorporation and </w:t>
      </w:r>
      <w:proofErr w:type="spellStart"/>
      <w:r>
        <w:t>translesion</w:t>
      </w:r>
      <w:proofErr w:type="spellEnd"/>
      <w:r>
        <w:t xml:space="preserve"> synthesis opposite 7,8-</w:t>
      </w:r>
    </w:p>
    <w:p w14:paraId="5E4BDDCE" w14:textId="77777777" w:rsidR="00A0100A" w:rsidRDefault="00A0100A" w:rsidP="00A0100A">
      <w:r>
        <w:t xml:space="preserve">dihydro-8-oxo-20-deoxyguanosine. Hum Mol Genet </w:t>
      </w:r>
      <w:proofErr w:type="gramStart"/>
      <w:r>
        <w:t>2007;16:2729</w:t>
      </w:r>
      <w:proofErr w:type="gramEnd"/>
      <w:r>
        <w:t>–39.</w:t>
      </w:r>
    </w:p>
    <w:p w14:paraId="1F89037A" w14:textId="77777777" w:rsidR="00A0100A" w:rsidRDefault="00A0100A" w:rsidP="00A0100A">
      <w:r>
        <w:t>[2] Hudson G, Chinnery PF. Mitochondrial polymerase-c and human</w:t>
      </w:r>
    </w:p>
    <w:p w14:paraId="6657186A" w14:textId="77777777" w:rsidR="00A0100A" w:rsidRDefault="00A0100A" w:rsidP="00A0100A">
      <w:r>
        <w:t>disease. Hum Mol Genet 2006;</w:t>
      </w:r>
      <w:proofErr w:type="gramStart"/>
      <w:r>
        <w:t>15:R</w:t>
      </w:r>
      <w:proofErr w:type="gramEnd"/>
      <w:r>
        <w:t>244–52.</w:t>
      </w:r>
    </w:p>
    <w:p w14:paraId="36508415" w14:textId="77777777" w:rsidR="00A0100A" w:rsidRDefault="00A0100A" w:rsidP="00A0100A">
      <w:r>
        <w:t>[3] Luoma P, Melberg A, Rinne JO, et al. Parkinsonism, premature</w:t>
      </w:r>
    </w:p>
    <w:p w14:paraId="49E7F0D8" w14:textId="77777777" w:rsidR="00A0100A" w:rsidRDefault="00A0100A" w:rsidP="00A0100A">
      <w:r>
        <w:t>menopause, and mitochondrial DNA polymerase c mutations:</w:t>
      </w:r>
    </w:p>
    <w:p w14:paraId="620F78CA" w14:textId="77777777" w:rsidR="00A0100A" w:rsidRDefault="00A0100A" w:rsidP="00A0100A">
      <w:r>
        <w:t xml:space="preserve">clinical and molecular genetic study. Lancet </w:t>
      </w:r>
      <w:proofErr w:type="gramStart"/>
      <w:r>
        <w:t>2004;364:875</w:t>
      </w:r>
      <w:proofErr w:type="gramEnd"/>
      <w:r>
        <w:t>–82.</w:t>
      </w:r>
    </w:p>
    <w:p w14:paraId="0699D3EC" w14:textId="77777777" w:rsidR="00A0100A" w:rsidRDefault="00A0100A" w:rsidP="00A0100A">
      <w:r>
        <w:lastRenderedPageBreak/>
        <w:t xml:space="preserve">[4] Mancuso M, </w:t>
      </w:r>
      <w:proofErr w:type="spellStart"/>
      <w:r>
        <w:t>Filosto</w:t>
      </w:r>
      <w:proofErr w:type="spellEnd"/>
      <w:r>
        <w:t xml:space="preserve"> M, Oh SJ, DiMauro S. A novel polymerase c</w:t>
      </w:r>
    </w:p>
    <w:p w14:paraId="5663C5D9" w14:textId="77777777" w:rsidR="00A0100A" w:rsidRDefault="00A0100A" w:rsidP="00A0100A">
      <w:r>
        <w:t>mutation in a family with ophthalmoplegia, neuropathy, and</w:t>
      </w:r>
    </w:p>
    <w:p w14:paraId="4CA9E9C0" w14:textId="77777777" w:rsidR="00A0100A" w:rsidRDefault="00A0100A" w:rsidP="00A0100A">
      <w:r>
        <w:t xml:space="preserve">parkinsonism. Arch Neurol </w:t>
      </w:r>
      <w:proofErr w:type="gramStart"/>
      <w:r>
        <w:t>2004;61:1777</w:t>
      </w:r>
      <w:proofErr w:type="gramEnd"/>
      <w:r>
        <w:t>–9.</w:t>
      </w:r>
    </w:p>
    <w:p w14:paraId="2D795560" w14:textId="77777777" w:rsidR="00A0100A" w:rsidRDefault="00A0100A" w:rsidP="00A0100A">
      <w:r>
        <w:t>[5] Hudson G, Schaefer AM, Taylor RW, et al. Mutation of the linker</w:t>
      </w:r>
    </w:p>
    <w:p w14:paraId="22CD098F" w14:textId="77777777" w:rsidR="00A0100A" w:rsidRDefault="00A0100A" w:rsidP="00A0100A">
      <w:r>
        <w:t xml:space="preserve">region of the polymerase c-1 (POLG1) gene associated with </w:t>
      </w:r>
      <w:proofErr w:type="spellStart"/>
      <w:r>
        <w:t>progres</w:t>
      </w:r>
      <w:proofErr w:type="spellEnd"/>
      <w:r>
        <w:t>-</w:t>
      </w:r>
    </w:p>
    <w:p w14:paraId="2EF489F1" w14:textId="77777777" w:rsidR="00A0100A" w:rsidRDefault="00A0100A" w:rsidP="00A0100A">
      <w:proofErr w:type="spellStart"/>
      <w:r>
        <w:t>sive</w:t>
      </w:r>
      <w:proofErr w:type="spellEnd"/>
      <w:r>
        <w:t xml:space="preserve"> external ophthalmoplegia and parkinsonism. Arch Neurol</w:t>
      </w:r>
    </w:p>
    <w:p w14:paraId="765CB7F7" w14:textId="77777777" w:rsidR="00A0100A" w:rsidRDefault="00A0100A" w:rsidP="00A0100A">
      <w:proofErr w:type="gramStart"/>
      <w:r>
        <w:t>2007;64:553</w:t>
      </w:r>
      <w:proofErr w:type="gramEnd"/>
      <w:r>
        <w:t>–7.</w:t>
      </w:r>
    </w:p>
    <w:p w14:paraId="5E0A81A1" w14:textId="77777777" w:rsidR="00A0100A" w:rsidRDefault="00A0100A" w:rsidP="00A0100A">
      <w:r>
        <w:t xml:space="preserve">[6] Thomas A, Bonanni L, Antonini A, Barone P, </w:t>
      </w:r>
      <w:proofErr w:type="spellStart"/>
      <w:r>
        <w:t>Onofrj</w:t>
      </w:r>
      <w:proofErr w:type="spellEnd"/>
      <w:r>
        <w:t xml:space="preserve"> M. Dopa-</w:t>
      </w:r>
    </w:p>
    <w:p w14:paraId="541BE3EA" w14:textId="77777777" w:rsidR="00A0100A" w:rsidRDefault="00A0100A" w:rsidP="00A0100A">
      <w:r>
        <w:t xml:space="preserve">responsive pseudo-orthostatic tremor in parkinsonism. Mov </w:t>
      </w:r>
      <w:proofErr w:type="spellStart"/>
      <w:r>
        <w:t>Disord</w:t>
      </w:r>
      <w:proofErr w:type="spellEnd"/>
    </w:p>
    <w:p w14:paraId="4D036D76" w14:textId="77777777" w:rsidR="00A0100A" w:rsidRDefault="00A0100A" w:rsidP="00A0100A">
      <w:proofErr w:type="gramStart"/>
      <w:r>
        <w:t>2007;22:1652</w:t>
      </w:r>
      <w:proofErr w:type="gramEnd"/>
      <w:r>
        <w:t>–6.</w:t>
      </w:r>
    </w:p>
    <w:p w14:paraId="178B1F76" w14:textId="77777777" w:rsidR="00A0100A" w:rsidRDefault="00A0100A" w:rsidP="00A0100A">
      <w:r>
        <w:t xml:space="preserve">[7] </w:t>
      </w:r>
      <w:proofErr w:type="spellStart"/>
      <w:r>
        <w:t>Zeviani</w:t>
      </w:r>
      <w:proofErr w:type="spellEnd"/>
      <w:r>
        <w:t xml:space="preserve"> M, </w:t>
      </w:r>
      <w:proofErr w:type="spellStart"/>
      <w:r>
        <w:t>Servidei</w:t>
      </w:r>
      <w:proofErr w:type="spellEnd"/>
      <w:r>
        <w:t xml:space="preserve"> S, </w:t>
      </w:r>
      <w:proofErr w:type="spellStart"/>
      <w:r>
        <w:t>Gellera</w:t>
      </w:r>
      <w:proofErr w:type="spellEnd"/>
      <w:r>
        <w:t xml:space="preserve"> C, Bertini E, Di Mauro S, Di Donato</w:t>
      </w:r>
    </w:p>
    <w:p w14:paraId="4F42B24E" w14:textId="77777777" w:rsidR="00A0100A" w:rsidRDefault="00A0100A" w:rsidP="00A0100A">
      <w:r>
        <w:t>S. An autosomal dominant disorder with multiple deletions of</w:t>
      </w:r>
    </w:p>
    <w:p w14:paraId="4CBF3C44" w14:textId="77777777" w:rsidR="00A0100A" w:rsidRDefault="00A0100A" w:rsidP="00A0100A">
      <w:r>
        <w:t>mitochondrial DNA starting at the D-loop region. Nature</w:t>
      </w:r>
    </w:p>
    <w:p w14:paraId="5F77E60D" w14:textId="77777777" w:rsidR="00A0100A" w:rsidRDefault="00A0100A" w:rsidP="00A0100A">
      <w:proofErr w:type="gramStart"/>
      <w:r>
        <w:t>1989;339:309</w:t>
      </w:r>
      <w:proofErr w:type="gramEnd"/>
      <w:r>
        <w:t>–11.</w:t>
      </w:r>
    </w:p>
    <w:p w14:paraId="15C16966" w14:textId="77777777" w:rsidR="00A0100A" w:rsidRDefault="00A0100A" w:rsidP="00A0100A">
      <w:r>
        <w:t xml:space="preserve">[8] Longley MJ, </w:t>
      </w:r>
      <w:proofErr w:type="spellStart"/>
      <w:r>
        <w:t>Graziewicz</w:t>
      </w:r>
      <w:proofErr w:type="spellEnd"/>
      <w:r>
        <w:t xml:space="preserve"> MA, Bienstock RJ, Copeland WC. </w:t>
      </w:r>
      <w:proofErr w:type="spellStart"/>
      <w:r>
        <w:t>Conse</w:t>
      </w:r>
      <w:proofErr w:type="spellEnd"/>
      <w:r>
        <w:t>-</w:t>
      </w:r>
    </w:p>
    <w:p w14:paraId="37F53E61" w14:textId="77777777" w:rsidR="00A0100A" w:rsidRDefault="00A0100A" w:rsidP="00A0100A">
      <w:proofErr w:type="spellStart"/>
      <w:r>
        <w:t>quences</w:t>
      </w:r>
      <w:proofErr w:type="spellEnd"/>
      <w:r>
        <w:t xml:space="preserve"> of mutations in human DNA polymerase c. Gene</w:t>
      </w:r>
    </w:p>
    <w:p w14:paraId="5666DE49" w14:textId="77777777" w:rsidR="00A0100A" w:rsidRDefault="00A0100A" w:rsidP="00A0100A">
      <w:proofErr w:type="gramStart"/>
      <w:r>
        <w:t>2005;354:125</w:t>
      </w:r>
      <w:proofErr w:type="gramEnd"/>
      <w:r>
        <w:t>–31.</w:t>
      </w:r>
    </w:p>
    <w:p w14:paraId="436A888F" w14:textId="77777777" w:rsidR="00A0100A" w:rsidRDefault="00A0100A" w:rsidP="00A0100A">
      <w:r>
        <w:t xml:space="preserve">[9] </w:t>
      </w:r>
      <w:proofErr w:type="spellStart"/>
      <w:r>
        <w:t>Lamantea</w:t>
      </w:r>
      <w:proofErr w:type="spellEnd"/>
      <w:r>
        <w:t xml:space="preserve"> E, </w:t>
      </w:r>
      <w:proofErr w:type="spellStart"/>
      <w:r>
        <w:t>Tiranti</w:t>
      </w:r>
      <w:proofErr w:type="spellEnd"/>
      <w:r>
        <w:t xml:space="preserve"> V, Bordoni A, et al. Mutations of mitochondrial</w:t>
      </w:r>
    </w:p>
    <w:p w14:paraId="6905C152" w14:textId="77777777" w:rsidR="00A0100A" w:rsidRDefault="00A0100A" w:rsidP="00A0100A">
      <w:r>
        <w:t xml:space="preserve">DNA polymerase </w:t>
      </w:r>
      <w:proofErr w:type="spellStart"/>
      <w:r>
        <w:t>cA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a frequent cause of autosomal dominant or</w:t>
      </w:r>
    </w:p>
    <w:p w14:paraId="1CD64BCB" w14:textId="77777777" w:rsidR="00A0100A" w:rsidRDefault="00A0100A" w:rsidP="00A0100A">
      <w:r>
        <w:t>recessive progressive external ophthalmoplegia. Ann Neurol</w:t>
      </w:r>
    </w:p>
    <w:p w14:paraId="64267EE4" w14:textId="77777777" w:rsidR="00A0100A" w:rsidRDefault="00A0100A" w:rsidP="00A0100A">
      <w:proofErr w:type="gramStart"/>
      <w:r>
        <w:t>2002;52:211</w:t>
      </w:r>
      <w:proofErr w:type="gramEnd"/>
      <w:r>
        <w:t>–9.</w:t>
      </w:r>
    </w:p>
    <w:p w14:paraId="33DEC9FE" w14:textId="77777777" w:rsidR="00A0100A" w:rsidRDefault="00A0100A" w:rsidP="00A0100A">
      <w:r>
        <w:t xml:space="preserve">[10] </w:t>
      </w:r>
      <w:proofErr w:type="spellStart"/>
      <w:r>
        <w:t>Stopin´ska</w:t>
      </w:r>
      <w:proofErr w:type="spellEnd"/>
      <w:r>
        <w:t xml:space="preserve"> K, Grzybowski T, </w:t>
      </w:r>
      <w:proofErr w:type="spellStart"/>
      <w:r>
        <w:t>Malyarchuk</w:t>
      </w:r>
      <w:proofErr w:type="spellEnd"/>
      <w:r>
        <w:t xml:space="preserve"> BA, </w:t>
      </w:r>
      <w:proofErr w:type="spellStart"/>
      <w:r>
        <w:t>Derenko</w:t>
      </w:r>
      <w:proofErr w:type="spellEnd"/>
      <w:r>
        <w:t xml:space="preserve"> MV,</w:t>
      </w:r>
    </w:p>
    <w:p w14:paraId="04F7F4F6" w14:textId="77777777" w:rsidR="00A0100A" w:rsidRDefault="00A0100A" w:rsidP="00A0100A">
      <w:proofErr w:type="spellStart"/>
      <w:r>
        <w:t>Mis´cicka</w:t>
      </w:r>
      <w:proofErr w:type="spellEnd"/>
      <w:r>
        <w:t>-Sliwka D. Optimization of the Y831C mutation in human</w:t>
      </w:r>
    </w:p>
    <w:p w14:paraId="377D331F" w14:textId="77777777" w:rsidR="00A0100A" w:rsidRDefault="00A0100A" w:rsidP="00A0100A">
      <w:r>
        <w:t>DNA polymerase c by allelic discrimination assay. Acta Biochim Pol</w:t>
      </w:r>
    </w:p>
    <w:p w14:paraId="591EF71D" w14:textId="77777777" w:rsidR="00A0100A" w:rsidRDefault="00A0100A" w:rsidP="00A0100A">
      <w:proofErr w:type="gramStart"/>
      <w:r>
        <w:t>2006;53:591</w:t>
      </w:r>
      <w:proofErr w:type="gramEnd"/>
      <w:r>
        <w:t>–5.</w:t>
      </w:r>
    </w:p>
    <w:p w14:paraId="13FAFEFC" w14:textId="77777777" w:rsidR="00A0100A" w:rsidRDefault="00A0100A" w:rsidP="00A0100A">
      <w:r>
        <w:t>[11] Luoma PT, Eerola J, Ahola S, et al. Mitochondrial DNA polymerase</w:t>
      </w:r>
    </w:p>
    <w:p w14:paraId="1F14CF28" w14:textId="77777777" w:rsidR="00A0100A" w:rsidRDefault="00A0100A" w:rsidP="00A0100A">
      <w:r>
        <w:t>gamma variants in idiopathic sporadic Parkinson disease. Neurology</w:t>
      </w:r>
    </w:p>
    <w:p w14:paraId="7C5C018D" w14:textId="77777777" w:rsidR="00A0100A" w:rsidRDefault="00A0100A" w:rsidP="00A0100A">
      <w:proofErr w:type="gramStart"/>
      <w:r>
        <w:t>2007;69:1152</w:t>
      </w:r>
      <w:proofErr w:type="gramEnd"/>
      <w:r>
        <w:t>–9.</w:t>
      </w:r>
    </w:p>
    <w:p w14:paraId="70B47E1F" w14:textId="77777777" w:rsidR="00A0100A" w:rsidRDefault="00A0100A" w:rsidP="00A0100A">
      <w:r>
        <w:t xml:space="preserve">[12] </w:t>
      </w:r>
      <w:proofErr w:type="spellStart"/>
      <w:r>
        <w:t>Davidzon</w:t>
      </w:r>
      <w:proofErr w:type="spellEnd"/>
      <w:r>
        <w:t xml:space="preserve"> G, Greene P, Mancuso M, et al. Early-onset familial</w:t>
      </w:r>
    </w:p>
    <w:p w14:paraId="57576DDC" w14:textId="77777777" w:rsidR="00A0100A" w:rsidRDefault="00A0100A" w:rsidP="00A0100A">
      <w:r>
        <w:t xml:space="preserve">parkinsonism due to POLG mutations. Ann Neurol </w:t>
      </w:r>
      <w:proofErr w:type="gramStart"/>
      <w:r>
        <w:t>2006;59:859</w:t>
      </w:r>
      <w:proofErr w:type="gramEnd"/>
      <w:r>
        <w:t>–62.</w:t>
      </w:r>
    </w:p>
    <w:p w14:paraId="501E81D7" w14:textId="77777777" w:rsidR="00A0100A" w:rsidRDefault="00A0100A" w:rsidP="00A0100A">
      <w:r>
        <w:t xml:space="preserve">[13] Baloh RH, </w:t>
      </w:r>
      <w:proofErr w:type="spellStart"/>
      <w:r>
        <w:t>Salavaggione</w:t>
      </w:r>
      <w:proofErr w:type="spellEnd"/>
      <w:r>
        <w:t xml:space="preserve"> E, Milbrandt J, Pestronk A. Familial</w:t>
      </w:r>
    </w:p>
    <w:p w14:paraId="3D67E4AE" w14:textId="77777777" w:rsidR="00A0100A" w:rsidRDefault="00A0100A" w:rsidP="00A0100A">
      <w:r>
        <w:t xml:space="preserve">parkinsonism and ophthalmoplegia from a mutation in the </w:t>
      </w:r>
      <w:proofErr w:type="spellStart"/>
      <w:r>
        <w:t>mito</w:t>
      </w:r>
      <w:proofErr w:type="spellEnd"/>
      <w:r>
        <w:t>-</w:t>
      </w:r>
    </w:p>
    <w:p w14:paraId="55BCBD4D" w14:textId="77777777" w:rsidR="00A0100A" w:rsidRDefault="00A0100A" w:rsidP="00A0100A">
      <w:proofErr w:type="spellStart"/>
      <w:r>
        <w:t>chondrial</w:t>
      </w:r>
      <w:proofErr w:type="spellEnd"/>
      <w:r>
        <w:t xml:space="preserve"> DNA helicase twinkle. Arch Neurol </w:t>
      </w:r>
      <w:proofErr w:type="gramStart"/>
      <w:r>
        <w:t>2007;64:998</w:t>
      </w:r>
      <w:proofErr w:type="gramEnd"/>
      <w:r>
        <w:t>–1000.</w:t>
      </w:r>
    </w:p>
    <w:p w14:paraId="44B727DC" w14:textId="77777777" w:rsidR="00A0100A" w:rsidRDefault="00A0100A" w:rsidP="00A0100A">
      <w:r>
        <w:t>[14] Wilcox RA, Churchyard A, Dahl HH, Hutchison WM, Kirby DM,</w:t>
      </w:r>
    </w:p>
    <w:p w14:paraId="41810A8C" w14:textId="77777777" w:rsidR="00A0100A" w:rsidRDefault="00A0100A" w:rsidP="00A0100A">
      <w:r>
        <w:t>Thyagarajan D. Levodopa response in parkinsonism with multiple</w:t>
      </w:r>
    </w:p>
    <w:p w14:paraId="0E7E7EB8" w14:textId="77777777" w:rsidR="00A0100A" w:rsidRDefault="00A0100A" w:rsidP="00A0100A">
      <w:r>
        <w:t xml:space="preserve">mitochondrial DNA deletions. Mov </w:t>
      </w:r>
      <w:proofErr w:type="spellStart"/>
      <w:r>
        <w:t>Disord</w:t>
      </w:r>
      <w:proofErr w:type="spellEnd"/>
      <w:r>
        <w:t xml:space="preserve"> </w:t>
      </w:r>
      <w:proofErr w:type="gramStart"/>
      <w:r>
        <w:t>2007;22:1020</w:t>
      </w:r>
      <w:proofErr w:type="gramEnd"/>
      <w:r>
        <w:t>–3.</w:t>
      </w:r>
    </w:p>
    <w:p w14:paraId="25D014DD" w14:textId="77777777" w:rsidR="00A0100A" w:rsidRDefault="00A0100A" w:rsidP="00A0100A">
      <w:r>
        <w:t xml:space="preserve">[15] </w:t>
      </w:r>
      <w:proofErr w:type="spellStart"/>
      <w:r>
        <w:t>Tiangyou</w:t>
      </w:r>
      <w:proofErr w:type="spellEnd"/>
      <w:r>
        <w:t xml:space="preserve"> W, Hudson G, Ghezzi D, et al. POLG1 in idiopathic</w:t>
      </w:r>
    </w:p>
    <w:p w14:paraId="3ABD28B8" w14:textId="77777777" w:rsidR="00A0100A" w:rsidRDefault="00A0100A" w:rsidP="00A0100A">
      <w:r>
        <w:t xml:space="preserve">Parkinson disease. Neurology </w:t>
      </w:r>
      <w:proofErr w:type="gramStart"/>
      <w:r>
        <w:t>2006;67:1698</w:t>
      </w:r>
      <w:proofErr w:type="gramEnd"/>
      <w:r>
        <w:t>–700.</w:t>
      </w:r>
    </w:p>
    <w:p w14:paraId="05CFEACC" w14:textId="77777777" w:rsidR="00A0100A" w:rsidRDefault="00A0100A" w:rsidP="00A0100A">
      <w:r>
        <w:t xml:space="preserve">[16] Horvath R, Kley RA, </w:t>
      </w:r>
      <w:proofErr w:type="spellStart"/>
      <w:r>
        <w:t>Lochmuller</w:t>
      </w:r>
      <w:proofErr w:type="spellEnd"/>
      <w:r>
        <w:t xml:space="preserve"> H, </w:t>
      </w:r>
      <w:proofErr w:type="spellStart"/>
      <w:r>
        <w:t>Vorgerd</w:t>
      </w:r>
      <w:proofErr w:type="spellEnd"/>
      <w:r>
        <w:t xml:space="preserve"> M. Parkinson</w:t>
      </w:r>
    </w:p>
    <w:p w14:paraId="146F4052" w14:textId="77777777" w:rsidR="00A0100A" w:rsidRDefault="00A0100A" w:rsidP="00A0100A">
      <w:r>
        <w:t>syndrome, neuropathy, and myopathy caused by the mutation</w:t>
      </w:r>
    </w:p>
    <w:p w14:paraId="0B0343B6" w14:textId="77777777" w:rsidR="00A0100A" w:rsidRDefault="00A0100A" w:rsidP="00A0100A">
      <w:r>
        <w:t xml:space="preserve">A8344G (MERRF) in </w:t>
      </w:r>
      <w:proofErr w:type="spellStart"/>
      <w:r>
        <w:t>tRNALys</w:t>
      </w:r>
      <w:proofErr w:type="spellEnd"/>
    </w:p>
    <w:p w14:paraId="17496041" w14:textId="77777777" w:rsidR="00A0100A" w:rsidRDefault="00A0100A" w:rsidP="00A0100A">
      <w:r>
        <w:t xml:space="preserve">. Neurology </w:t>
      </w:r>
      <w:proofErr w:type="gramStart"/>
      <w:r>
        <w:t>2007;68:56</w:t>
      </w:r>
      <w:proofErr w:type="gramEnd"/>
      <w:r>
        <w:t>–8.</w:t>
      </w:r>
    </w:p>
    <w:p w14:paraId="74FE6DDC" w14:textId="77777777" w:rsidR="00A0100A" w:rsidRDefault="00A0100A" w:rsidP="00A0100A">
      <w:r>
        <w:t xml:space="preserve">[17] Bender A, Krishnan KJ, Morris CM, et al. High levels of </w:t>
      </w:r>
      <w:proofErr w:type="spellStart"/>
      <w:r>
        <w:t>mitochon</w:t>
      </w:r>
      <w:proofErr w:type="spellEnd"/>
      <w:r>
        <w:t>-</w:t>
      </w:r>
    </w:p>
    <w:p w14:paraId="5FC97F5D" w14:textId="77777777" w:rsidR="00A0100A" w:rsidRDefault="00A0100A" w:rsidP="00A0100A">
      <w:proofErr w:type="spellStart"/>
      <w:r>
        <w:t>drial</w:t>
      </w:r>
      <w:proofErr w:type="spellEnd"/>
      <w:r>
        <w:t xml:space="preserve"> DNA deletions in substantia nigra neurons in aging and</w:t>
      </w:r>
    </w:p>
    <w:p w14:paraId="50280919" w14:textId="77777777" w:rsidR="00A0100A" w:rsidRDefault="00A0100A" w:rsidP="00A0100A">
      <w:r>
        <w:t xml:space="preserve">Parkinson disease. Nat Genet </w:t>
      </w:r>
      <w:proofErr w:type="gramStart"/>
      <w:r>
        <w:t>2006;38:515</w:t>
      </w:r>
      <w:proofErr w:type="gramEnd"/>
      <w:r>
        <w:t>–7.</w:t>
      </w:r>
    </w:p>
    <w:p w14:paraId="2AF1D6A8" w14:textId="77777777" w:rsidR="00A0100A" w:rsidRDefault="00A0100A" w:rsidP="00A0100A">
      <w:r>
        <w:t xml:space="preserve">[18] Schapira AH. Mitochondrial disease. Lancet </w:t>
      </w:r>
      <w:proofErr w:type="gramStart"/>
      <w:r>
        <w:t>2006;368:70</w:t>
      </w:r>
      <w:proofErr w:type="gramEnd"/>
      <w:r>
        <w:t>–82.</w:t>
      </w:r>
    </w:p>
    <w:p w14:paraId="667FEAA7" w14:textId="1AC4A4F4" w:rsidR="00043F5C" w:rsidRDefault="00A0100A" w:rsidP="00A0100A">
      <w:r>
        <w:t>464 F. Invernizzi et al. / Neuromuscular Disorders 18 (2008) 460–464</w:t>
      </w:r>
    </w:p>
    <w:sectPr w:rsidR="00043F5C" w:rsidSect="009705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A"/>
    <w:rsid w:val="0000534C"/>
    <w:rsid w:val="0000663A"/>
    <w:rsid w:val="000102D5"/>
    <w:rsid w:val="00010389"/>
    <w:rsid w:val="0001314D"/>
    <w:rsid w:val="000245DF"/>
    <w:rsid w:val="00036D37"/>
    <w:rsid w:val="000431B4"/>
    <w:rsid w:val="00043F5C"/>
    <w:rsid w:val="00057AB0"/>
    <w:rsid w:val="00057C8B"/>
    <w:rsid w:val="000704AB"/>
    <w:rsid w:val="00071FF6"/>
    <w:rsid w:val="000840DC"/>
    <w:rsid w:val="000878E6"/>
    <w:rsid w:val="00096216"/>
    <w:rsid w:val="000A3650"/>
    <w:rsid w:val="000B5B4E"/>
    <w:rsid w:val="000F47FD"/>
    <w:rsid w:val="0010264A"/>
    <w:rsid w:val="00137DDE"/>
    <w:rsid w:val="00145A03"/>
    <w:rsid w:val="001641B7"/>
    <w:rsid w:val="00166B1A"/>
    <w:rsid w:val="00186B86"/>
    <w:rsid w:val="00191550"/>
    <w:rsid w:val="00194771"/>
    <w:rsid w:val="001A4F08"/>
    <w:rsid w:val="001C07EC"/>
    <w:rsid w:val="001E1726"/>
    <w:rsid w:val="001F0F37"/>
    <w:rsid w:val="00202164"/>
    <w:rsid w:val="0020483C"/>
    <w:rsid w:val="0021785B"/>
    <w:rsid w:val="00223F26"/>
    <w:rsid w:val="00227CA0"/>
    <w:rsid w:val="00241FE6"/>
    <w:rsid w:val="002632AE"/>
    <w:rsid w:val="002877AB"/>
    <w:rsid w:val="00291AFE"/>
    <w:rsid w:val="002A3CB4"/>
    <w:rsid w:val="002C076A"/>
    <w:rsid w:val="002E039F"/>
    <w:rsid w:val="002E16A1"/>
    <w:rsid w:val="002E5748"/>
    <w:rsid w:val="002E5A88"/>
    <w:rsid w:val="0030403F"/>
    <w:rsid w:val="00315F75"/>
    <w:rsid w:val="00316662"/>
    <w:rsid w:val="00341754"/>
    <w:rsid w:val="003451BB"/>
    <w:rsid w:val="00345512"/>
    <w:rsid w:val="00350668"/>
    <w:rsid w:val="00375898"/>
    <w:rsid w:val="00375C78"/>
    <w:rsid w:val="0039748E"/>
    <w:rsid w:val="003A6C6A"/>
    <w:rsid w:val="003A755A"/>
    <w:rsid w:val="003C5EA2"/>
    <w:rsid w:val="003C71D2"/>
    <w:rsid w:val="003D3A56"/>
    <w:rsid w:val="003E235E"/>
    <w:rsid w:val="003E3361"/>
    <w:rsid w:val="003F1500"/>
    <w:rsid w:val="003F63FB"/>
    <w:rsid w:val="00415AD7"/>
    <w:rsid w:val="00420999"/>
    <w:rsid w:val="00421B4C"/>
    <w:rsid w:val="00434135"/>
    <w:rsid w:val="004358E8"/>
    <w:rsid w:val="0044002C"/>
    <w:rsid w:val="00450126"/>
    <w:rsid w:val="00452E3E"/>
    <w:rsid w:val="004A1E01"/>
    <w:rsid w:val="004C28D7"/>
    <w:rsid w:val="004D3095"/>
    <w:rsid w:val="004D3E25"/>
    <w:rsid w:val="004E123E"/>
    <w:rsid w:val="004F5358"/>
    <w:rsid w:val="00500A2B"/>
    <w:rsid w:val="00512B3E"/>
    <w:rsid w:val="00524381"/>
    <w:rsid w:val="00526C26"/>
    <w:rsid w:val="00527F80"/>
    <w:rsid w:val="0053642C"/>
    <w:rsid w:val="005425F3"/>
    <w:rsid w:val="00546D2F"/>
    <w:rsid w:val="00555D1E"/>
    <w:rsid w:val="005561B1"/>
    <w:rsid w:val="00581997"/>
    <w:rsid w:val="005953B7"/>
    <w:rsid w:val="0059547F"/>
    <w:rsid w:val="005A16F8"/>
    <w:rsid w:val="005B17F3"/>
    <w:rsid w:val="005D4B34"/>
    <w:rsid w:val="00622A81"/>
    <w:rsid w:val="006259CC"/>
    <w:rsid w:val="00643999"/>
    <w:rsid w:val="00655D83"/>
    <w:rsid w:val="00666092"/>
    <w:rsid w:val="00674E4A"/>
    <w:rsid w:val="00675F22"/>
    <w:rsid w:val="0068675B"/>
    <w:rsid w:val="00693EC9"/>
    <w:rsid w:val="00694077"/>
    <w:rsid w:val="006A0D7B"/>
    <w:rsid w:val="006A35FF"/>
    <w:rsid w:val="006A52C3"/>
    <w:rsid w:val="006A6E50"/>
    <w:rsid w:val="006C3DD7"/>
    <w:rsid w:val="00710431"/>
    <w:rsid w:val="00723DE7"/>
    <w:rsid w:val="00736865"/>
    <w:rsid w:val="0075436C"/>
    <w:rsid w:val="007724CA"/>
    <w:rsid w:val="00784D55"/>
    <w:rsid w:val="007857B7"/>
    <w:rsid w:val="007B1C52"/>
    <w:rsid w:val="007B5A96"/>
    <w:rsid w:val="007C0D3E"/>
    <w:rsid w:val="007F2D1B"/>
    <w:rsid w:val="007F32CB"/>
    <w:rsid w:val="00805452"/>
    <w:rsid w:val="008175CB"/>
    <w:rsid w:val="00826F5E"/>
    <w:rsid w:val="00852B86"/>
    <w:rsid w:val="00865FE5"/>
    <w:rsid w:val="008672E4"/>
    <w:rsid w:val="00887E23"/>
    <w:rsid w:val="00894702"/>
    <w:rsid w:val="008A456D"/>
    <w:rsid w:val="008B062C"/>
    <w:rsid w:val="008B5A88"/>
    <w:rsid w:val="008B62FA"/>
    <w:rsid w:val="008E027F"/>
    <w:rsid w:val="008F39B7"/>
    <w:rsid w:val="00916027"/>
    <w:rsid w:val="0093785E"/>
    <w:rsid w:val="00940925"/>
    <w:rsid w:val="00943C79"/>
    <w:rsid w:val="00970556"/>
    <w:rsid w:val="00992380"/>
    <w:rsid w:val="009A3623"/>
    <w:rsid w:val="009A41C0"/>
    <w:rsid w:val="009B0286"/>
    <w:rsid w:val="009C10A1"/>
    <w:rsid w:val="009D009A"/>
    <w:rsid w:val="009E5ED3"/>
    <w:rsid w:val="009F2D53"/>
    <w:rsid w:val="009F31FD"/>
    <w:rsid w:val="009F3DCC"/>
    <w:rsid w:val="00A0100A"/>
    <w:rsid w:val="00A244D7"/>
    <w:rsid w:val="00A27152"/>
    <w:rsid w:val="00A47103"/>
    <w:rsid w:val="00A53CF3"/>
    <w:rsid w:val="00A64108"/>
    <w:rsid w:val="00A85968"/>
    <w:rsid w:val="00A90789"/>
    <w:rsid w:val="00A95328"/>
    <w:rsid w:val="00AB12AB"/>
    <w:rsid w:val="00AB700C"/>
    <w:rsid w:val="00AD0F4B"/>
    <w:rsid w:val="00AD3C5A"/>
    <w:rsid w:val="00AD55C8"/>
    <w:rsid w:val="00AE0611"/>
    <w:rsid w:val="00AE3899"/>
    <w:rsid w:val="00AE3E3F"/>
    <w:rsid w:val="00AF373C"/>
    <w:rsid w:val="00B4490E"/>
    <w:rsid w:val="00B45A07"/>
    <w:rsid w:val="00B531AB"/>
    <w:rsid w:val="00B709BD"/>
    <w:rsid w:val="00B80A11"/>
    <w:rsid w:val="00B83BF7"/>
    <w:rsid w:val="00B92027"/>
    <w:rsid w:val="00BA58EE"/>
    <w:rsid w:val="00BA71CA"/>
    <w:rsid w:val="00BA7C5A"/>
    <w:rsid w:val="00BB40A6"/>
    <w:rsid w:val="00BB58C0"/>
    <w:rsid w:val="00BC425B"/>
    <w:rsid w:val="00BD43E6"/>
    <w:rsid w:val="00BE6405"/>
    <w:rsid w:val="00BF1BCD"/>
    <w:rsid w:val="00C0281A"/>
    <w:rsid w:val="00C07BE0"/>
    <w:rsid w:val="00C16650"/>
    <w:rsid w:val="00C26CE3"/>
    <w:rsid w:val="00C401AB"/>
    <w:rsid w:val="00C451D0"/>
    <w:rsid w:val="00C471F2"/>
    <w:rsid w:val="00C52411"/>
    <w:rsid w:val="00C67054"/>
    <w:rsid w:val="00CC1C16"/>
    <w:rsid w:val="00CD3600"/>
    <w:rsid w:val="00CE081C"/>
    <w:rsid w:val="00CE45EC"/>
    <w:rsid w:val="00D015CD"/>
    <w:rsid w:val="00D32BB4"/>
    <w:rsid w:val="00D6140F"/>
    <w:rsid w:val="00D63D41"/>
    <w:rsid w:val="00D84DFA"/>
    <w:rsid w:val="00D85285"/>
    <w:rsid w:val="00DA1258"/>
    <w:rsid w:val="00DA3B1D"/>
    <w:rsid w:val="00DA4E07"/>
    <w:rsid w:val="00DC5031"/>
    <w:rsid w:val="00E06B34"/>
    <w:rsid w:val="00E109BE"/>
    <w:rsid w:val="00E13DCF"/>
    <w:rsid w:val="00E24101"/>
    <w:rsid w:val="00E2725D"/>
    <w:rsid w:val="00E52A51"/>
    <w:rsid w:val="00E70010"/>
    <w:rsid w:val="00E82841"/>
    <w:rsid w:val="00E94244"/>
    <w:rsid w:val="00E96349"/>
    <w:rsid w:val="00EA1013"/>
    <w:rsid w:val="00EA72A0"/>
    <w:rsid w:val="00EB763C"/>
    <w:rsid w:val="00EC5EC9"/>
    <w:rsid w:val="00ED39A7"/>
    <w:rsid w:val="00ED3AF4"/>
    <w:rsid w:val="00EE41DA"/>
    <w:rsid w:val="00EF02F8"/>
    <w:rsid w:val="00EF37C5"/>
    <w:rsid w:val="00EF59CC"/>
    <w:rsid w:val="00F07B3A"/>
    <w:rsid w:val="00F101D9"/>
    <w:rsid w:val="00F302A7"/>
    <w:rsid w:val="00F31FF1"/>
    <w:rsid w:val="00F34E1B"/>
    <w:rsid w:val="00F40698"/>
    <w:rsid w:val="00F45B6B"/>
    <w:rsid w:val="00F52883"/>
    <w:rsid w:val="00F61929"/>
    <w:rsid w:val="00F61B68"/>
    <w:rsid w:val="00F71DC6"/>
    <w:rsid w:val="00F833FC"/>
    <w:rsid w:val="00F91453"/>
    <w:rsid w:val="00F9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680D"/>
  <w15:chartTrackingRefBased/>
  <w15:docId w15:val="{47A9C1D7-BA94-5741-934A-3E6309DD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2CB"/>
    <w:rPr>
      <w:rFonts w:ascii="Calibri" w:hAnsi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0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0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0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0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0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0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0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0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0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00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00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00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00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00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00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00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010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00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00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00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010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00A"/>
    <w:rPr>
      <w:rFonts w:ascii="Calibri" w:hAnsi="Calibri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01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00A"/>
    <w:rPr>
      <w:rFonts w:ascii="Calibri" w:hAnsi="Calibri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01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78173-85CA-4E98-8EAE-BAD1D813A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3074</Words>
  <Characters>17527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Thiloka Ratnaike</dc:creator>
  <cp:keywords/>
  <dc:description/>
  <cp:lastModifiedBy>Ain Zolceffli</cp:lastModifiedBy>
  <cp:revision>3</cp:revision>
  <dcterms:created xsi:type="dcterms:W3CDTF">2025-05-22T10:57:00Z</dcterms:created>
  <dcterms:modified xsi:type="dcterms:W3CDTF">2025-05-29T15:08:00Z</dcterms:modified>
</cp:coreProperties>
</file>