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r>
        <w:rPr/>
        <mc:AlternateContent>
          <mc:Choice Requires="wps">
            <w:drawing>
              <wp:anchor distT="0" distB="0" distL="0" distR="0" allowOverlap="1" layoutInCell="1" locked="0" behindDoc="1" simplePos="0" relativeHeight="487379968">
                <wp:simplePos x="0" y="0"/>
                <wp:positionH relativeFrom="page">
                  <wp:posOffset>228600</wp:posOffset>
                </wp:positionH>
                <wp:positionV relativeFrom="page">
                  <wp:posOffset>222250</wp:posOffset>
                </wp:positionV>
                <wp:extent cx="6407150" cy="89217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407150" cy="8921750"/>
                          <a:chExt cx="6407150" cy="8921750"/>
                        </a:xfrm>
                      </wpg:grpSpPr>
                      <wps:wsp>
                        <wps:cNvPr id="2" name="Graphic 2"/>
                        <wps:cNvSpPr/>
                        <wps:spPr>
                          <a:xfrm>
                            <a:off x="1676400" y="4568825"/>
                            <a:ext cx="3962400" cy="1270"/>
                          </a:xfrm>
                          <a:custGeom>
                            <a:avLst/>
                            <a:gdLst/>
                            <a:ahLst/>
                            <a:cxnLst/>
                            <a:rect l="l" t="t" r="r" b="b"/>
                            <a:pathLst>
                              <a:path w="3962400" h="0">
                                <a:moveTo>
                                  <a:pt x="3962400" y="0"/>
                                </a:moveTo>
                                <a:lnTo>
                                  <a:pt x="0" y="0"/>
                                </a:lnTo>
                              </a:path>
                            </a:pathLst>
                          </a:custGeom>
                          <a:ln w="6350">
                            <a:solidFill>
                              <a:srgbClr val="000000"/>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273898" y="63500"/>
                            <a:ext cx="609600" cy="609600"/>
                          </a:xfrm>
                          <a:prstGeom prst="rect">
                            <a:avLst/>
                          </a:prstGeom>
                        </pic:spPr>
                      </pic:pic>
                      <wps:wsp>
                        <wps:cNvPr id="4" name="Graphic 4"/>
                        <wps:cNvSpPr/>
                        <wps:spPr>
                          <a:xfrm>
                            <a:off x="222237" y="0"/>
                            <a:ext cx="695325" cy="723900"/>
                          </a:xfrm>
                          <a:custGeom>
                            <a:avLst/>
                            <a:gdLst/>
                            <a:ahLst/>
                            <a:cxnLst/>
                            <a:rect l="l" t="t" r="r" b="b"/>
                            <a:pathLst>
                              <a:path w="695325" h="723900">
                                <a:moveTo>
                                  <a:pt x="695121" y="0"/>
                                </a:moveTo>
                                <a:lnTo>
                                  <a:pt x="12" y="0"/>
                                </a:lnTo>
                                <a:lnTo>
                                  <a:pt x="0" y="723900"/>
                                </a:lnTo>
                                <a:lnTo>
                                  <a:pt x="695121" y="723900"/>
                                </a:lnTo>
                                <a:lnTo>
                                  <a:pt x="695121" y="711200"/>
                                </a:lnTo>
                                <a:lnTo>
                                  <a:pt x="12700" y="711200"/>
                                </a:lnTo>
                                <a:lnTo>
                                  <a:pt x="12700" y="12700"/>
                                </a:lnTo>
                                <a:lnTo>
                                  <a:pt x="695121" y="12700"/>
                                </a:lnTo>
                                <a:lnTo>
                                  <a:pt x="695121" y="0"/>
                                </a:lnTo>
                                <a:close/>
                              </a:path>
                            </a:pathLst>
                          </a:custGeom>
                          <a:solidFill>
                            <a:srgbClr val="B4C6DE"/>
                          </a:solidFill>
                        </wps:spPr>
                        <wps:bodyPr wrap="square" lIns="0" tIns="0" rIns="0" bIns="0" rtlCol="0">
                          <a:prstTxWarp prst="textNoShape">
                            <a:avLst/>
                          </a:prstTxWarp>
                          <a:noAutofit/>
                        </wps:bodyPr>
                      </wps:wsp>
                      <wps:wsp>
                        <wps:cNvPr id="5" name="Graphic 5"/>
                        <wps:cNvSpPr/>
                        <wps:spPr>
                          <a:xfrm>
                            <a:off x="0" y="6350"/>
                            <a:ext cx="228600" cy="8915400"/>
                          </a:xfrm>
                          <a:custGeom>
                            <a:avLst/>
                            <a:gdLst/>
                            <a:ahLst/>
                            <a:cxnLst/>
                            <a:rect l="l" t="t" r="r" b="b"/>
                            <a:pathLst>
                              <a:path w="228600" h="8915400">
                                <a:moveTo>
                                  <a:pt x="228600" y="8915400"/>
                                </a:moveTo>
                                <a:lnTo>
                                  <a:pt x="0" y="8915400"/>
                                </a:lnTo>
                                <a:lnTo>
                                  <a:pt x="0" y="0"/>
                                </a:lnTo>
                                <a:lnTo>
                                  <a:pt x="228600" y="0"/>
                                </a:lnTo>
                                <a:lnTo>
                                  <a:pt x="228600" y="8915400"/>
                                </a:lnTo>
                                <a:close/>
                              </a:path>
                            </a:pathLst>
                          </a:custGeom>
                          <a:solidFill>
                            <a:srgbClr val="B4C6DE"/>
                          </a:solidFill>
                        </wps:spPr>
                        <wps:bodyPr wrap="square" lIns="0" tIns="0" rIns="0" bIns="0" rtlCol="0">
                          <a:prstTxWarp prst="textNoShape">
                            <a:avLst/>
                          </a:prstTxWarp>
                          <a:noAutofit/>
                        </wps:bodyPr>
                      </wps:wsp>
                      <wps:wsp>
                        <wps:cNvPr id="6" name="Textbox 6"/>
                        <wps:cNvSpPr txBox="1"/>
                        <wps:spPr>
                          <a:xfrm>
                            <a:off x="916097" y="6350"/>
                            <a:ext cx="5485130" cy="711200"/>
                          </a:xfrm>
                          <a:prstGeom prst="rect">
                            <a:avLst/>
                          </a:prstGeom>
                          <a:solidFill>
                            <a:srgbClr val="FFEED4"/>
                          </a:solidFill>
                          <a:ln w="12700">
                            <a:solidFill>
                              <a:srgbClr val="B4C6DE"/>
                            </a:solidFill>
                            <a:prstDash val="solid"/>
                          </a:ln>
                        </wps:spPr>
                        <wps:txbx>
                          <w:txbxContent>
                            <w:p>
                              <w:pPr>
                                <w:spacing w:line="459" w:lineRule="exact" w:before="0"/>
                                <w:ind w:left="79" w:right="0" w:firstLine="0"/>
                                <w:jc w:val="left"/>
                                <w:rPr>
                                  <w:color w:val="000000"/>
                                  <w:sz w:val="44"/>
                                </w:rPr>
                              </w:pPr>
                              <w:r>
                                <w:rPr>
                                  <w:color w:val="000000"/>
                                  <w:sz w:val="44"/>
                                </w:rPr>
                                <w:t>NIH Public </w:t>
                              </w:r>
                              <w:r>
                                <w:rPr>
                                  <w:color w:val="000000"/>
                                  <w:spacing w:val="-2"/>
                                  <w:sz w:val="44"/>
                                </w:rPr>
                                <w:t>Access</w:t>
                              </w:r>
                            </w:p>
                            <w:p>
                              <w:pPr>
                                <w:spacing w:line="321" w:lineRule="exact" w:before="0"/>
                                <w:ind w:left="79" w:right="0" w:firstLine="0"/>
                                <w:jc w:val="left"/>
                                <w:rPr>
                                  <w:b/>
                                  <w:color w:val="000000"/>
                                  <w:sz w:val="28"/>
                                </w:rPr>
                              </w:pPr>
                              <w:r>
                                <w:rPr>
                                  <w:b/>
                                  <w:color w:val="000000"/>
                                  <w:sz w:val="28"/>
                                </w:rPr>
                                <w:t>Author </w:t>
                              </w:r>
                              <w:r>
                                <w:rPr>
                                  <w:b/>
                                  <w:color w:val="000000"/>
                                  <w:spacing w:val="-2"/>
                                  <w:sz w:val="28"/>
                                </w:rPr>
                                <w:t>Manuscript</w:t>
                              </w:r>
                            </w:p>
                            <w:p>
                              <w:pPr>
                                <w:spacing w:before="7"/>
                                <w:ind w:left="79" w:right="0" w:firstLine="0"/>
                                <w:jc w:val="left"/>
                                <w:rPr>
                                  <w:color w:val="000000"/>
                                  <w:sz w:val="22"/>
                                </w:rPr>
                              </w:pPr>
                              <w:r>
                                <w:rPr>
                                  <w:i/>
                                  <w:color w:val="B4C6DE"/>
                                  <w:sz w:val="22"/>
                                </w:rPr>
                                <w:t>Fertil Steril</w:t>
                              </w:r>
                              <w:r>
                                <w:rPr>
                                  <w:color w:val="B4C6DE"/>
                                  <w:sz w:val="22"/>
                                </w:rPr>
                                <w:t>. Author manuscript; available in PMC 2011 December </w:t>
                              </w:r>
                              <w:r>
                                <w:rPr>
                                  <w:color w:val="B4C6DE"/>
                                  <w:spacing w:val="-5"/>
                                  <w:sz w:val="22"/>
                                </w:rPr>
                                <w:t>1.</w:t>
                              </w:r>
                            </w:p>
                          </w:txbxContent>
                        </wps:txbx>
                        <wps:bodyPr wrap="square" lIns="0" tIns="0" rIns="0" bIns="0" rtlCol="0">
                          <a:noAutofit/>
                        </wps:bodyPr>
                      </wps:wsp>
                    </wpg:wgp>
                  </a:graphicData>
                </a:graphic>
              </wp:anchor>
            </w:drawing>
          </mc:Choice>
          <mc:Fallback>
            <w:pict>
              <v:group style="position:absolute;margin-left:18pt;margin-top:17.5pt;width:504.5pt;height:702.5pt;mso-position-horizontal-relative:page;mso-position-vertical-relative:page;z-index:-15936512" id="docshapegroup1" coordorigin="360,350" coordsize="10090,14050">
                <v:line style="position:absolute" from="9240,7545" to="3000,7545" stroked="true" strokeweight=".5pt" strokecolor="#000000">
                  <v:stroke dashstyle="solid"/>
                </v:line>
                <v:shape style="position:absolute;left:791;top:450;width:960;height:960" type="#_x0000_t75" id="docshape2" stroked="false">
                  <v:imagedata r:id="rId5" o:title=""/>
                </v:shape>
                <v:shape style="position:absolute;left:709;top:350;width:1095;height:1140" id="docshape3" coordorigin="710,350" coordsize="1095,1140" path="m1805,350l710,350,710,1490,1805,1490,1805,1470,730,1470,730,370,1805,370,1805,350xe" filled="true" fillcolor="#b4c6de" stroked="false">
                  <v:path arrowok="t"/>
                  <v:fill type="solid"/>
                </v:shape>
                <v:rect style="position:absolute;left:360;top:360;width:360;height:14040" id="docshape4" filled="true" fillcolor="#b4c6de" stroked="false">
                  <v:fill type="solid"/>
                </v:rect>
                <v:shapetype id="_x0000_t202" o:spt="202" coordsize="21600,21600" path="m,l,21600r21600,l21600,xe">
                  <v:stroke joinstyle="miter"/>
                  <v:path gradientshapeok="t" o:connecttype="rect"/>
                </v:shapetype>
                <v:shape style="position:absolute;left:1802;top:360;width:8638;height:1120" type="#_x0000_t202" id="docshape5" filled="true" fillcolor="#ffeed4" stroked="true" strokeweight="1.000001pt" strokecolor="#b4c6de">
                  <v:textbox inset="0,0,0,0">
                    <w:txbxContent>
                      <w:p>
                        <w:pPr>
                          <w:spacing w:line="459" w:lineRule="exact" w:before="0"/>
                          <w:ind w:left="79" w:right="0" w:firstLine="0"/>
                          <w:jc w:val="left"/>
                          <w:rPr>
                            <w:color w:val="000000"/>
                            <w:sz w:val="44"/>
                          </w:rPr>
                        </w:pPr>
                        <w:r>
                          <w:rPr>
                            <w:color w:val="000000"/>
                            <w:sz w:val="44"/>
                          </w:rPr>
                          <w:t>NIH Public </w:t>
                        </w:r>
                        <w:r>
                          <w:rPr>
                            <w:color w:val="000000"/>
                            <w:spacing w:val="-2"/>
                            <w:sz w:val="44"/>
                          </w:rPr>
                          <w:t>Access</w:t>
                        </w:r>
                      </w:p>
                      <w:p>
                        <w:pPr>
                          <w:spacing w:line="321" w:lineRule="exact" w:before="0"/>
                          <w:ind w:left="79" w:right="0" w:firstLine="0"/>
                          <w:jc w:val="left"/>
                          <w:rPr>
                            <w:b/>
                            <w:color w:val="000000"/>
                            <w:sz w:val="28"/>
                          </w:rPr>
                        </w:pPr>
                        <w:r>
                          <w:rPr>
                            <w:b/>
                            <w:color w:val="000000"/>
                            <w:sz w:val="28"/>
                          </w:rPr>
                          <w:t>Author </w:t>
                        </w:r>
                        <w:r>
                          <w:rPr>
                            <w:b/>
                            <w:color w:val="000000"/>
                            <w:spacing w:val="-2"/>
                            <w:sz w:val="28"/>
                          </w:rPr>
                          <w:t>Manuscript</w:t>
                        </w:r>
                      </w:p>
                      <w:p>
                        <w:pPr>
                          <w:spacing w:before="7"/>
                          <w:ind w:left="79" w:right="0" w:firstLine="0"/>
                          <w:jc w:val="left"/>
                          <w:rPr>
                            <w:color w:val="000000"/>
                            <w:sz w:val="22"/>
                          </w:rPr>
                        </w:pPr>
                        <w:r>
                          <w:rPr>
                            <w:i/>
                            <w:color w:val="B4C6DE"/>
                            <w:sz w:val="22"/>
                          </w:rPr>
                          <w:t>Fertil Steril</w:t>
                        </w:r>
                        <w:r>
                          <w:rPr>
                            <w:color w:val="B4C6DE"/>
                            <w:sz w:val="22"/>
                          </w:rPr>
                          <w:t>. Author manuscript; available in PMC 2011 December </w:t>
                        </w:r>
                        <w:r>
                          <w:rPr>
                            <w:color w:val="B4C6DE"/>
                            <w:spacing w:val="-5"/>
                            <w:sz w:val="22"/>
                          </w:rPr>
                          <w:t>1.</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254000</wp:posOffset>
                </wp:positionH>
                <wp:positionV relativeFrom="page">
                  <wp:posOffset>1065894</wp:posOffset>
                </wp:positionV>
                <wp:extent cx="196215" cy="182181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83.928711pt;width:15.45pt;height:143.450pt;mso-position-horizontal-relative:page;mso-position-vertical-relative:page;z-index:15729664" type="#_x0000_t202" id="docshape6"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254000</wp:posOffset>
                </wp:positionH>
                <wp:positionV relativeFrom="page">
                  <wp:posOffset>3776107</wp:posOffset>
                </wp:positionV>
                <wp:extent cx="196215" cy="182181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297.331268pt;width:15.45pt;height:143.450pt;mso-position-horizontal-relative:page;mso-position-vertical-relative:page;z-index:15730176" type="#_x0000_t202" id="docshape7"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254000</wp:posOffset>
                </wp:positionH>
                <wp:positionV relativeFrom="page">
                  <wp:posOffset>6486319</wp:posOffset>
                </wp:positionV>
                <wp:extent cx="196215" cy="182181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510.733856pt;width:15.45pt;height:143.450pt;mso-position-horizontal-relative:page;mso-position-vertical-relative:page;z-index:15730688" type="#_x0000_t202" id="docshape8"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p>
    <w:p>
      <w:pPr>
        <w:pStyle w:val="BodyText"/>
      </w:pPr>
    </w:p>
    <w:p>
      <w:pPr>
        <w:pStyle w:val="BodyText"/>
      </w:pPr>
    </w:p>
    <w:p>
      <w:pPr>
        <w:pStyle w:val="BodyText"/>
      </w:pPr>
    </w:p>
    <w:p>
      <w:pPr>
        <w:pStyle w:val="BodyText"/>
        <w:spacing w:before="31"/>
      </w:pPr>
    </w:p>
    <w:p>
      <w:pPr>
        <w:pStyle w:val="BodyText"/>
        <w:ind w:left="360"/>
      </w:pPr>
      <w:r>
        <w:rPr/>
        <w:t>Published in final edited form </w:t>
      </w:r>
      <w:r>
        <w:rPr>
          <w:spacing w:val="-5"/>
        </w:rPr>
        <w:t>as:</w:t>
      </w:r>
    </w:p>
    <w:p>
      <w:pPr>
        <w:pStyle w:val="BodyText"/>
        <w:spacing w:before="1"/>
        <w:ind w:left="480"/>
      </w:pPr>
      <w:r>
        <w:rPr>
          <w:i/>
          <w:sz w:val="21"/>
        </w:rPr>
        <w:t>Fertil</w:t>
      </w:r>
      <w:r>
        <w:rPr>
          <w:i/>
          <w:spacing w:val="-10"/>
          <w:sz w:val="21"/>
        </w:rPr>
        <w:t> </w:t>
      </w:r>
      <w:r>
        <w:rPr>
          <w:i/>
          <w:sz w:val="21"/>
        </w:rPr>
        <w:t>Steril</w:t>
      </w:r>
      <w:r>
        <w:rPr/>
        <w:t>.</w:t>
      </w:r>
      <w:r>
        <w:rPr>
          <w:spacing w:val="-7"/>
        </w:rPr>
        <w:t> </w:t>
      </w:r>
      <w:r>
        <w:rPr/>
        <w:t>2010</w:t>
      </w:r>
      <w:r>
        <w:rPr>
          <w:spacing w:val="-6"/>
        </w:rPr>
        <w:t> </w:t>
      </w:r>
      <w:r>
        <w:rPr/>
        <w:t>December</w:t>
      </w:r>
      <w:r>
        <w:rPr>
          <w:spacing w:val="-7"/>
        </w:rPr>
        <w:t> </w:t>
      </w:r>
      <w:r>
        <w:rPr/>
        <w:t>;</w:t>
      </w:r>
      <w:r>
        <w:rPr>
          <w:spacing w:val="-7"/>
        </w:rPr>
        <w:t> </w:t>
      </w:r>
      <w:r>
        <w:rPr/>
        <w:t>94(7):</w:t>
      </w:r>
      <w:r>
        <w:rPr>
          <w:spacing w:val="-6"/>
        </w:rPr>
        <w:t> </w:t>
      </w:r>
      <w:r>
        <w:rPr/>
        <w:t>2932–2934.</w:t>
      </w:r>
      <w:r>
        <w:rPr>
          <w:spacing w:val="-7"/>
        </w:rPr>
        <w:t> </w:t>
      </w:r>
      <w:r>
        <w:rPr>
          <w:spacing w:val="-2"/>
        </w:rPr>
        <w:t>doi:10.1016/j.fertnstert.2010.06.049.</w:t>
      </w:r>
    </w:p>
    <w:p>
      <w:pPr>
        <w:pStyle w:val="BodyText"/>
        <w:spacing w:before="252"/>
        <w:rPr>
          <w:sz w:val="28"/>
        </w:rPr>
      </w:pPr>
    </w:p>
    <w:p>
      <w:pPr>
        <w:pStyle w:val="Title"/>
        <w:spacing w:line="343" w:lineRule="auto"/>
      </w:pPr>
      <w:r>
        <w:rPr/>
        <w:t>Five mutations of mitochondrial DNA polymerase-gamma (</w:t>
      </w:r>
      <w:r>
        <w:rPr>
          <w:i/>
        </w:rPr>
        <w:t>POLG</w:t>
      </w:r>
      <w:r>
        <w:rPr/>
        <w:t>)</w:t>
      </w:r>
      <w:r>
        <w:rPr>
          <w:spacing w:val="-5"/>
        </w:rPr>
        <w:t> </w:t>
      </w:r>
      <w:r>
        <w:rPr/>
        <w:t>are</w:t>
      </w:r>
      <w:r>
        <w:rPr>
          <w:spacing w:val="-5"/>
        </w:rPr>
        <w:t> </w:t>
      </w:r>
      <w:r>
        <w:rPr/>
        <w:t>not</w:t>
      </w:r>
      <w:r>
        <w:rPr>
          <w:spacing w:val="-5"/>
        </w:rPr>
        <w:t> </w:t>
      </w:r>
      <w:r>
        <w:rPr/>
        <w:t>a</w:t>
      </w:r>
      <w:r>
        <w:rPr>
          <w:spacing w:val="-5"/>
        </w:rPr>
        <w:t> </w:t>
      </w:r>
      <w:r>
        <w:rPr/>
        <w:t>prevalent</w:t>
      </w:r>
      <w:r>
        <w:rPr>
          <w:spacing w:val="-5"/>
        </w:rPr>
        <w:t> </w:t>
      </w:r>
      <w:r>
        <w:rPr/>
        <w:t>etiology</w:t>
      </w:r>
      <w:r>
        <w:rPr>
          <w:spacing w:val="-5"/>
        </w:rPr>
        <w:t> </w:t>
      </w:r>
      <w:r>
        <w:rPr/>
        <w:t>for</w:t>
      </w:r>
      <w:r>
        <w:rPr>
          <w:spacing w:val="-5"/>
        </w:rPr>
        <w:t> </w:t>
      </w:r>
      <w:r>
        <w:rPr/>
        <w:t>spontaneous</w:t>
      </w:r>
      <w:r>
        <w:rPr>
          <w:spacing w:val="-5"/>
        </w:rPr>
        <w:t> </w:t>
      </w:r>
      <w:r>
        <w:rPr/>
        <w:t>46,XX primary ovarian insufficiency (sPOI)</w:t>
      </w:r>
    </w:p>
    <w:p>
      <w:pPr>
        <w:pStyle w:val="Heading2"/>
        <w:spacing w:line="249" w:lineRule="auto" w:before="181"/>
        <w:ind w:left="360" w:right="400"/>
      </w:pPr>
      <w:r>
        <w:rPr/>
        <w:t>Zhi-Bin</w:t>
      </w:r>
      <w:r>
        <w:rPr>
          <w:spacing w:val="-3"/>
        </w:rPr>
        <w:t> </w:t>
      </w:r>
      <w:r>
        <w:rPr/>
        <w:t>Tong,</w:t>
      </w:r>
      <w:r>
        <w:rPr>
          <w:spacing w:val="-3"/>
        </w:rPr>
        <w:t> </w:t>
      </w:r>
      <w:r>
        <w:rPr/>
        <w:t>MD</w:t>
      </w:r>
      <w:r>
        <w:rPr>
          <w:b w:val="0"/>
        </w:rPr>
        <w:t>,</w:t>
      </w:r>
      <w:r>
        <w:rPr>
          <w:b w:val="0"/>
          <w:spacing w:val="-4"/>
        </w:rPr>
        <w:t> </w:t>
      </w:r>
      <w:r>
        <w:rPr/>
        <w:t>Shannon</w:t>
      </w:r>
      <w:r>
        <w:rPr>
          <w:spacing w:val="-3"/>
        </w:rPr>
        <w:t> </w:t>
      </w:r>
      <w:r>
        <w:rPr/>
        <w:t>D.</w:t>
      </w:r>
      <w:r>
        <w:rPr>
          <w:spacing w:val="-3"/>
        </w:rPr>
        <w:t> </w:t>
      </w:r>
      <w:r>
        <w:rPr/>
        <w:t>Sullivan,</w:t>
      </w:r>
      <w:r>
        <w:rPr>
          <w:spacing w:val="-3"/>
        </w:rPr>
        <w:t> </w:t>
      </w:r>
      <w:r>
        <w:rPr/>
        <w:t>MD,</w:t>
      </w:r>
      <w:r>
        <w:rPr>
          <w:spacing w:val="-3"/>
        </w:rPr>
        <w:t> </w:t>
      </w:r>
      <w:r>
        <w:rPr/>
        <w:t>PhD</w:t>
      </w:r>
      <w:r>
        <w:rPr>
          <w:b w:val="0"/>
        </w:rPr>
        <w:t>,</w:t>
      </w:r>
      <w:r>
        <w:rPr>
          <w:b w:val="0"/>
          <w:spacing w:val="-4"/>
        </w:rPr>
        <w:t> </w:t>
      </w:r>
      <w:r>
        <w:rPr/>
        <w:t>Lindsey</w:t>
      </w:r>
      <w:r>
        <w:rPr>
          <w:spacing w:val="-3"/>
        </w:rPr>
        <w:t> </w:t>
      </w:r>
      <w:r>
        <w:rPr/>
        <w:t>M.</w:t>
      </w:r>
      <w:r>
        <w:rPr>
          <w:spacing w:val="-3"/>
        </w:rPr>
        <w:t> </w:t>
      </w:r>
      <w:r>
        <w:rPr/>
        <w:t>Lawless,</w:t>
      </w:r>
      <w:r>
        <w:rPr>
          <w:spacing w:val="-3"/>
        </w:rPr>
        <w:t> </w:t>
      </w:r>
      <w:r>
        <w:rPr/>
        <w:t>BS</w:t>
      </w:r>
      <w:r>
        <w:rPr>
          <w:b w:val="0"/>
        </w:rPr>
        <w:t>,</w:t>
      </w:r>
      <w:r>
        <w:rPr>
          <w:b w:val="0"/>
          <w:spacing w:val="-4"/>
        </w:rPr>
        <w:t> </w:t>
      </w:r>
      <w:r>
        <w:rPr/>
        <w:t>Vien Vanderhoof, CRNP</w:t>
      </w:r>
      <w:r>
        <w:rPr>
          <w:b w:val="0"/>
        </w:rPr>
        <w:t>, </w:t>
      </w:r>
      <w:r>
        <w:rPr/>
        <w:t>Keith Zachman, MS</w:t>
      </w:r>
      <w:r>
        <w:rPr>
          <w:b w:val="0"/>
        </w:rPr>
        <w:t>, and </w:t>
      </w:r>
      <w:r>
        <w:rPr/>
        <w:t>Lawrence M. Nelson, MD</w:t>
      </w:r>
    </w:p>
    <w:p>
      <w:pPr>
        <w:pStyle w:val="BodyText"/>
        <w:spacing w:line="249" w:lineRule="auto" w:before="2"/>
        <w:ind w:left="360" w:right="400"/>
        <w:rPr>
          <w:rFonts w:ascii="Arial"/>
        </w:rPr>
      </w:pPr>
      <w:r>
        <w:rPr>
          <w:rFonts w:ascii="Arial"/>
        </w:rPr>
        <w:t>Integrative</w:t>
      </w:r>
      <w:r>
        <w:rPr>
          <w:rFonts w:ascii="Arial"/>
          <w:spacing w:val="-5"/>
        </w:rPr>
        <w:t> </w:t>
      </w:r>
      <w:r>
        <w:rPr>
          <w:rFonts w:ascii="Arial"/>
        </w:rPr>
        <w:t>Reproductive</w:t>
      </w:r>
      <w:r>
        <w:rPr>
          <w:rFonts w:ascii="Arial"/>
          <w:spacing w:val="-5"/>
        </w:rPr>
        <w:t> </w:t>
      </w:r>
      <w:r>
        <w:rPr>
          <w:rFonts w:ascii="Arial"/>
        </w:rPr>
        <w:t>Medicine</w:t>
      </w:r>
      <w:r>
        <w:rPr>
          <w:rFonts w:ascii="Arial"/>
          <w:spacing w:val="-5"/>
        </w:rPr>
        <w:t> </w:t>
      </w:r>
      <w:r>
        <w:rPr>
          <w:rFonts w:ascii="Arial"/>
        </w:rPr>
        <w:t>Group,</w:t>
      </w:r>
      <w:r>
        <w:rPr>
          <w:rFonts w:ascii="Arial"/>
          <w:spacing w:val="-5"/>
        </w:rPr>
        <w:t> </w:t>
      </w:r>
      <w:r>
        <w:rPr>
          <w:rFonts w:ascii="Arial"/>
        </w:rPr>
        <w:t>Intramural</w:t>
      </w:r>
      <w:r>
        <w:rPr>
          <w:rFonts w:ascii="Arial"/>
          <w:spacing w:val="-5"/>
        </w:rPr>
        <w:t> </w:t>
      </w:r>
      <w:r>
        <w:rPr>
          <w:rFonts w:ascii="Arial"/>
        </w:rPr>
        <w:t>Research</w:t>
      </w:r>
      <w:r>
        <w:rPr>
          <w:rFonts w:ascii="Arial"/>
          <w:spacing w:val="-5"/>
        </w:rPr>
        <w:t> </w:t>
      </w:r>
      <w:r>
        <w:rPr>
          <w:rFonts w:ascii="Arial"/>
        </w:rPr>
        <w:t>Program</w:t>
      </w:r>
      <w:r>
        <w:rPr>
          <w:rFonts w:ascii="Arial"/>
          <w:spacing w:val="-5"/>
        </w:rPr>
        <w:t> </w:t>
      </w:r>
      <w:r>
        <w:rPr>
          <w:rFonts w:ascii="Arial"/>
        </w:rPr>
        <w:t>on</w:t>
      </w:r>
      <w:r>
        <w:rPr>
          <w:rFonts w:ascii="Arial"/>
          <w:spacing w:val="-5"/>
        </w:rPr>
        <w:t> </w:t>
      </w:r>
      <w:r>
        <w:rPr>
          <w:rFonts w:ascii="Arial"/>
        </w:rPr>
        <w:t>Reproductive</w:t>
      </w:r>
      <w:r>
        <w:rPr>
          <w:rFonts w:ascii="Arial"/>
          <w:spacing w:val="-5"/>
        </w:rPr>
        <w:t> </w:t>
      </w:r>
      <w:r>
        <w:rPr>
          <w:rFonts w:ascii="Arial"/>
        </w:rPr>
        <w:t>and Adult Endocrinology, </w:t>
      </w:r>
      <w:r>
        <w:rPr>
          <w:rFonts w:ascii="Arial"/>
          <w:i/>
        </w:rPr>
        <w:t>Eunice Kennedy Shriver </w:t>
      </w:r>
      <w:r>
        <w:rPr>
          <w:rFonts w:ascii="Arial"/>
        </w:rPr>
        <w:t>National Institute of Child Health and Human Development, National Institutes of Health, Bethesda, Maryland</w:t>
      </w:r>
    </w:p>
    <w:p>
      <w:pPr>
        <w:pStyle w:val="BodyText"/>
        <w:spacing w:before="6"/>
        <w:rPr>
          <w:rFonts w:ascii="Arial"/>
        </w:rPr>
      </w:pPr>
    </w:p>
    <w:p>
      <w:pPr>
        <w:pStyle w:val="Heading1"/>
      </w:pPr>
      <w:r>
        <w:rPr>
          <w:spacing w:val="-2"/>
        </w:rPr>
        <w:t>Abstract</w:t>
      </w:r>
    </w:p>
    <w:p>
      <w:pPr>
        <w:pStyle w:val="BodyText"/>
        <w:spacing w:line="249" w:lineRule="auto" w:before="90"/>
        <w:ind w:left="719" w:right="757"/>
      </w:pPr>
      <w:r>
        <w:rPr/>
        <w:t>The etiology of most cases of spontaneous 46,XX primary ovarian insufficiency (sPOI) is unknown,</w:t>
      </w:r>
      <w:r>
        <w:rPr>
          <w:spacing w:val="-4"/>
        </w:rPr>
        <w:t> </w:t>
      </w:r>
      <w:r>
        <w:rPr/>
        <w:t>however,</w:t>
      </w:r>
      <w:r>
        <w:rPr>
          <w:spacing w:val="-4"/>
        </w:rPr>
        <w:t> </w:t>
      </w:r>
      <w:r>
        <w:rPr/>
        <w:t>associations</w:t>
      </w:r>
      <w:r>
        <w:rPr>
          <w:spacing w:val="-4"/>
        </w:rPr>
        <w:t> </w:t>
      </w:r>
      <w:r>
        <w:rPr/>
        <w:t>have</w:t>
      </w:r>
      <w:r>
        <w:rPr>
          <w:spacing w:val="-4"/>
        </w:rPr>
        <w:t> </w:t>
      </w:r>
      <w:r>
        <w:rPr/>
        <w:t>been</w:t>
      </w:r>
      <w:r>
        <w:rPr>
          <w:spacing w:val="-4"/>
        </w:rPr>
        <w:t> </w:t>
      </w:r>
      <w:r>
        <w:rPr/>
        <w:t>made</w:t>
      </w:r>
      <w:r>
        <w:rPr>
          <w:spacing w:val="-4"/>
        </w:rPr>
        <w:t> </w:t>
      </w:r>
      <w:r>
        <w:rPr/>
        <w:t>between</w:t>
      </w:r>
      <w:r>
        <w:rPr>
          <w:spacing w:val="-4"/>
        </w:rPr>
        <w:t> </w:t>
      </w:r>
      <w:r>
        <w:rPr/>
        <w:t>mitochondrial</w:t>
      </w:r>
      <w:r>
        <w:rPr>
          <w:spacing w:val="-4"/>
        </w:rPr>
        <w:t> </w:t>
      </w:r>
      <w:r>
        <w:rPr/>
        <w:t>diseases</w:t>
      </w:r>
      <w:r>
        <w:rPr>
          <w:spacing w:val="-4"/>
        </w:rPr>
        <w:t> </w:t>
      </w:r>
      <w:r>
        <w:rPr/>
        <w:t>due</w:t>
      </w:r>
      <w:r>
        <w:rPr>
          <w:spacing w:val="-4"/>
        </w:rPr>
        <w:t> </w:t>
      </w:r>
      <w:r>
        <w:rPr/>
        <w:t>to</w:t>
      </w:r>
      <w:r>
        <w:rPr>
          <w:spacing w:val="-4"/>
        </w:rPr>
        <w:t> </w:t>
      </w:r>
      <w:r>
        <w:rPr/>
        <w:t>mutated mitochondrial DNA polymerase gamma (</w:t>
      </w:r>
      <w:r>
        <w:rPr>
          <w:i/>
        </w:rPr>
        <w:t>POLG</w:t>
      </w:r>
      <w:r>
        <w:rPr/>
        <w:t>) and sPOI. Here, we show that in 201 women with</w:t>
      </w:r>
      <w:r>
        <w:rPr>
          <w:spacing w:val="-2"/>
        </w:rPr>
        <w:t> </w:t>
      </w:r>
      <w:r>
        <w:rPr/>
        <w:t>46,XX</w:t>
      </w:r>
      <w:r>
        <w:rPr>
          <w:spacing w:val="-2"/>
        </w:rPr>
        <w:t> </w:t>
      </w:r>
      <w:r>
        <w:rPr/>
        <w:t>sPOI,</w:t>
      </w:r>
      <w:r>
        <w:rPr>
          <w:spacing w:val="-2"/>
        </w:rPr>
        <w:t> </w:t>
      </w:r>
      <w:r>
        <w:rPr/>
        <w:t>RFLP</w:t>
      </w:r>
      <w:r>
        <w:rPr>
          <w:spacing w:val="-2"/>
        </w:rPr>
        <w:t> </w:t>
      </w:r>
      <w:r>
        <w:rPr/>
        <w:t>analysis</w:t>
      </w:r>
      <w:r>
        <w:rPr>
          <w:spacing w:val="-2"/>
        </w:rPr>
        <w:t> </w:t>
      </w:r>
      <w:r>
        <w:rPr/>
        <w:t>of</w:t>
      </w:r>
      <w:r>
        <w:rPr>
          <w:spacing w:val="-2"/>
        </w:rPr>
        <w:t> </w:t>
      </w:r>
      <w:r>
        <w:rPr/>
        <w:t>genomic</w:t>
      </w:r>
      <w:r>
        <w:rPr>
          <w:spacing w:val="-2"/>
        </w:rPr>
        <w:t> </w:t>
      </w:r>
      <w:r>
        <w:rPr/>
        <w:t>DNA</w:t>
      </w:r>
      <w:r>
        <w:rPr>
          <w:spacing w:val="-2"/>
        </w:rPr>
        <w:t> </w:t>
      </w:r>
      <w:r>
        <w:rPr/>
        <w:t>shows</w:t>
      </w:r>
      <w:r>
        <w:rPr>
          <w:spacing w:val="-2"/>
        </w:rPr>
        <w:t> </w:t>
      </w:r>
      <w:r>
        <w:rPr/>
        <w:t>only</w:t>
      </w:r>
      <w:r>
        <w:rPr>
          <w:spacing w:val="-2"/>
        </w:rPr>
        <w:t> </w:t>
      </w:r>
      <w:r>
        <w:rPr/>
        <w:t>one</w:t>
      </w:r>
      <w:r>
        <w:rPr>
          <w:spacing w:val="-2"/>
        </w:rPr>
        <w:t> </w:t>
      </w:r>
      <w:r>
        <w:rPr/>
        <w:t>case</w:t>
      </w:r>
      <w:r>
        <w:rPr>
          <w:spacing w:val="-2"/>
        </w:rPr>
        <w:t> </w:t>
      </w:r>
      <w:r>
        <w:rPr/>
        <w:t>(0.5%,</w:t>
      </w:r>
      <w:r>
        <w:rPr>
          <w:spacing w:val="-2"/>
        </w:rPr>
        <w:t> </w:t>
      </w:r>
      <w:r>
        <w:rPr/>
        <w:t>95%</w:t>
      </w:r>
      <w:r>
        <w:rPr>
          <w:spacing w:val="-2"/>
        </w:rPr>
        <w:t> </w:t>
      </w:r>
      <w:r>
        <w:rPr/>
        <w:t>CI</w:t>
      </w:r>
      <w:r>
        <w:rPr>
          <w:spacing w:val="-2"/>
        </w:rPr>
        <w:t> </w:t>
      </w:r>
      <w:r>
        <w:rPr/>
        <w:t>&lt;3%)</w:t>
      </w:r>
      <w:r>
        <w:rPr>
          <w:spacing w:val="-2"/>
        </w:rPr>
        <w:t> </w:t>
      </w:r>
      <w:r>
        <w:rPr/>
        <w:t>of heterozygosity for a mtDNA </w:t>
      </w:r>
      <w:r>
        <w:rPr>
          <w:i/>
        </w:rPr>
        <w:t>POLG </w:t>
      </w:r>
      <w:r>
        <w:rPr/>
        <w:t>mutation, suggesting that this is not a common genetic etiology for this form of infertility.</w:t>
      </w:r>
    </w:p>
    <w:p>
      <w:pPr>
        <w:pStyle w:val="BodyText"/>
        <w:spacing w:before="105"/>
      </w:pPr>
    </w:p>
    <w:p>
      <w:pPr>
        <w:pStyle w:val="BodyText"/>
        <w:spacing w:line="249" w:lineRule="auto"/>
        <w:ind w:left="1560" w:right="400"/>
      </w:pPr>
      <w:r>
        <w:rPr/>
        <w:t>Spontaneous</w:t>
      </w:r>
      <w:r>
        <w:rPr>
          <w:spacing w:val="-4"/>
        </w:rPr>
        <w:t> </w:t>
      </w:r>
      <w:r>
        <w:rPr/>
        <w:t>46,XX</w:t>
      </w:r>
      <w:r>
        <w:rPr>
          <w:spacing w:val="-4"/>
        </w:rPr>
        <w:t> </w:t>
      </w:r>
      <w:r>
        <w:rPr/>
        <w:t>primary</w:t>
      </w:r>
      <w:r>
        <w:rPr>
          <w:spacing w:val="-4"/>
        </w:rPr>
        <w:t> </w:t>
      </w:r>
      <w:r>
        <w:rPr/>
        <w:t>ovarian</w:t>
      </w:r>
      <w:r>
        <w:rPr>
          <w:spacing w:val="-4"/>
        </w:rPr>
        <w:t> </w:t>
      </w:r>
      <w:r>
        <w:rPr/>
        <w:t>insufficiency</w:t>
      </w:r>
      <w:r>
        <w:rPr>
          <w:spacing w:val="-4"/>
        </w:rPr>
        <w:t> </w:t>
      </w:r>
      <w:r>
        <w:rPr/>
        <w:t>(sPOI),</w:t>
      </w:r>
      <w:r>
        <w:rPr>
          <w:spacing w:val="-4"/>
        </w:rPr>
        <w:t> </w:t>
      </w:r>
      <w:r>
        <w:rPr/>
        <w:t>also</w:t>
      </w:r>
      <w:r>
        <w:rPr>
          <w:spacing w:val="-4"/>
        </w:rPr>
        <w:t> </w:t>
      </w:r>
      <w:r>
        <w:rPr/>
        <w:t>known</w:t>
      </w:r>
      <w:r>
        <w:rPr>
          <w:spacing w:val="-4"/>
        </w:rPr>
        <w:t> </w:t>
      </w:r>
      <w:r>
        <w:rPr/>
        <w:t>as</w:t>
      </w:r>
      <w:r>
        <w:rPr>
          <w:spacing w:val="-4"/>
        </w:rPr>
        <w:t> </w:t>
      </w:r>
      <w:r>
        <w:rPr/>
        <w:t>premature</w:t>
      </w:r>
      <w:r>
        <w:rPr>
          <w:spacing w:val="-4"/>
        </w:rPr>
        <w:t> </w:t>
      </w:r>
      <w:r>
        <w:rPr/>
        <w:t>ovarian failure (POF), affects ~1% of women before age 40. sPOI is characterized by abnormal menses, menopausal FSH, and estrogen deficiency due to primary ovarian dysfunction. In</w:t>
      </w:r>
    </w:p>
    <w:p>
      <w:pPr>
        <w:pStyle w:val="BodyText"/>
        <w:spacing w:line="249" w:lineRule="auto" w:before="3"/>
        <w:ind w:left="1560" w:right="400"/>
      </w:pPr>
      <w:r>
        <w:rPr/>
        <w:t>~90%</w:t>
      </w:r>
      <w:r>
        <w:rPr>
          <w:spacing w:val="-4"/>
        </w:rPr>
        <w:t> </w:t>
      </w:r>
      <w:r>
        <w:rPr/>
        <w:t>of</w:t>
      </w:r>
      <w:r>
        <w:rPr>
          <w:spacing w:val="-4"/>
        </w:rPr>
        <w:t> </w:t>
      </w:r>
      <w:r>
        <w:rPr/>
        <w:t>cases,</w:t>
      </w:r>
      <w:r>
        <w:rPr>
          <w:spacing w:val="-4"/>
        </w:rPr>
        <w:t> </w:t>
      </w:r>
      <w:r>
        <w:rPr/>
        <w:t>the</w:t>
      </w:r>
      <w:r>
        <w:rPr>
          <w:spacing w:val="-4"/>
        </w:rPr>
        <w:t> </w:t>
      </w:r>
      <w:r>
        <w:rPr/>
        <w:t>etiology</w:t>
      </w:r>
      <w:r>
        <w:rPr>
          <w:spacing w:val="-4"/>
        </w:rPr>
        <w:t> </w:t>
      </w:r>
      <w:r>
        <w:rPr/>
        <w:t>is</w:t>
      </w:r>
      <w:r>
        <w:rPr>
          <w:spacing w:val="-4"/>
        </w:rPr>
        <w:t> </w:t>
      </w:r>
      <w:r>
        <w:rPr/>
        <w:t>unknown.</w:t>
      </w:r>
      <w:r>
        <w:rPr>
          <w:spacing w:val="-4"/>
        </w:rPr>
        <w:t> </w:t>
      </w:r>
      <w:r>
        <w:rPr/>
        <w:t>Recently,</w:t>
      </w:r>
      <w:r>
        <w:rPr>
          <w:spacing w:val="-4"/>
        </w:rPr>
        <w:t> </w:t>
      </w:r>
      <w:r>
        <w:rPr/>
        <w:t>several</w:t>
      </w:r>
      <w:r>
        <w:rPr>
          <w:spacing w:val="-4"/>
        </w:rPr>
        <w:t> </w:t>
      </w:r>
      <w:r>
        <w:rPr/>
        <w:t>genetic</w:t>
      </w:r>
      <w:r>
        <w:rPr>
          <w:spacing w:val="-4"/>
        </w:rPr>
        <w:t> </w:t>
      </w:r>
      <w:r>
        <w:rPr/>
        <w:t>abnormalities</w:t>
      </w:r>
      <w:r>
        <w:rPr>
          <w:spacing w:val="-4"/>
        </w:rPr>
        <w:t> </w:t>
      </w:r>
      <w:r>
        <w:rPr/>
        <w:t>have</w:t>
      </w:r>
      <w:r>
        <w:rPr>
          <w:spacing w:val="-4"/>
        </w:rPr>
        <w:t> </w:t>
      </w:r>
      <w:r>
        <w:rPr/>
        <w:t>been highly associated with sPOI, including mutations in mitochondrial DNA polymerase-γ (</w:t>
      </w:r>
      <w:r>
        <w:rPr>
          <w:i/>
        </w:rPr>
        <w:t>POLG) </w:t>
      </w:r>
      <w:r>
        <w:rPr/>
        <w:t>(1-4).</w:t>
      </w:r>
    </w:p>
    <w:p>
      <w:pPr>
        <w:pStyle w:val="BodyText"/>
        <w:spacing w:line="249" w:lineRule="auto" w:before="202"/>
        <w:ind w:left="1559" w:right="380"/>
      </w:pPr>
      <w:r>
        <w:rPr>
          <w:i/>
        </w:rPr>
        <w:t>POLG </w:t>
      </w:r>
      <w:r>
        <w:rPr/>
        <w:t>is the only DNA polymerase responsible for mitochondrial DNA (mtDNA) replication and repair, thus it is essential for mitochondrial function. Several </w:t>
      </w:r>
      <w:r>
        <w:rPr>
          <w:i/>
        </w:rPr>
        <w:t>POLG </w:t>
      </w:r>
      <w:r>
        <w:rPr/>
        <w:t>mutations have been described, resulting in deletions or point mutations in mtDNA and decreased</w:t>
      </w:r>
      <w:r>
        <w:rPr>
          <w:spacing w:val="-3"/>
        </w:rPr>
        <w:t> </w:t>
      </w:r>
      <w:r>
        <w:rPr/>
        <w:t>polymerase</w:t>
      </w:r>
      <w:r>
        <w:rPr>
          <w:spacing w:val="-3"/>
        </w:rPr>
        <w:t> </w:t>
      </w:r>
      <w:r>
        <w:rPr/>
        <w:t>activity.</w:t>
      </w:r>
      <w:r>
        <w:rPr>
          <w:spacing w:val="-3"/>
        </w:rPr>
        <w:t> </w:t>
      </w:r>
      <w:r>
        <w:rPr/>
        <w:t>Although</w:t>
      </w:r>
      <w:r>
        <w:rPr>
          <w:spacing w:val="-3"/>
        </w:rPr>
        <w:t> </w:t>
      </w:r>
      <w:r>
        <w:rPr/>
        <w:t>there</w:t>
      </w:r>
      <w:r>
        <w:rPr>
          <w:spacing w:val="-3"/>
        </w:rPr>
        <w:t> </w:t>
      </w:r>
      <w:r>
        <w:rPr/>
        <w:t>is</w:t>
      </w:r>
      <w:r>
        <w:rPr>
          <w:spacing w:val="-3"/>
        </w:rPr>
        <w:t> </w:t>
      </w:r>
      <w:r>
        <w:rPr/>
        <w:t>a</w:t>
      </w:r>
      <w:r>
        <w:rPr>
          <w:spacing w:val="-3"/>
        </w:rPr>
        <w:t> </w:t>
      </w:r>
      <w:r>
        <w:rPr/>
        <w:t>spectrum</w:t>
      </w:r>
      <w:r>
        <w:rPr>
          <w:spacing w:val="-3"/>
        </w:rPr>
        <w:t> </w:t>
      </w:r>
      <w:r>
        <w:rPr/>
        <w:t>in</w:t>
      </w:r>
      <w:r>
        <w:rPr>
          <w:spacing w:val="-3"/>
        </w:rPr>
        <w:t> </w:t>
      </w:r>
      <w:r>
        <w:rPr/>
        <w:t>the</w:t>
      </w:r>
      <w:r>
        <w:rPr>
          <w:spacing w:val="-3"/>
        </w:rPr>
        <w:t> </w:t>
      </w:r>
      <w:r>
        <w:rPr/>
        <w:t>degree</w:t>
      </w:r>
      <w:r>
        <w:rPr>
          <w:spacing w:val="-3"/>
        </w:rPr>
        <w:t> </w:t>
      </w:r>
      <w:r>
        <w:rPr/>
        <w:t>of</w:t>
      </w:r>
      <w:r>
        <w:rPr>
          <w:spacing w:val="-3"/>
        </w:rPr>
        <w:t> </w:t>
      </w:r>
      <w:r>
        <w:rPr/>
        <w:t>insufficiency</w:t>
      </w:r>
      <w:r>
        <w:rPr>
          <w:spacing w:val="-3"/>
        </w:rPr>
        <w:t> </w:t>
      </w:r>
      <w:r>
        <w:rPr/>
        <w:t>in polymerase activity, the most severe mutations lead to loss of &gt;99% of polymerase function and cell death due to insufficient cellular energy production (5). Autosomal dominant progressive external ophthalmoplegia (PEO) was the first disease associated with </w:t>
      </w:r>
      <w:r>
        <w:rPr>
          <w:i/>
        </w:rPr>
        <w:t>POLG </w:t>
      </w:r>
      <w:r>
        <w:rPr/>
        <w:t>mutations (3,6). Additional </w:t>
      </w:r>
      <w:r>
        <w:rPr>
          <w:i/>
        </w:rPr>
        <w:t>POLG</w:t>
      </w:r>
      <w:r>
        <w:rPr/>
        <w:t>-driven mitochondrial diseases include Parkinson’s disease (PD), epilepsy, ataxia, psychiatric illnesses (1,6-9), and primary gonadal insufficiency in both men and women (1-4). In women, sPOI co-segregates with PEO and Parkinson’s in heterozygous </w:t>
      </w:r>
      <w:r>
        <w:rPr>
          <w:i/>
        </w:rPr>
        <w:t>POLG </w:t>
      </w:r>
      <w:r>
        <w:rPr/>
        <w:t>mutation carriers, suggesting mtDNA polymerase activity is required for both normal neurologic and ovarian function (1). Several described </w:t>
      </w:r>
      <w:r>
        <w:rPr>
          <w:i/>
        </w:rPr>
        <w:t>POLG </w:t>
      </w:r>
      <w:r>
        <w:rPr/>
        <w:t>mutations are associated with PEO: Y955C [indicating change from tyrosine (Y) to</w:t>
      </w:r>
    </w:p>
    <w:p>
      <w:pPr>
        <w:pStyle w:val="BodyText"/>
      </w:pPr>
    </w:p>
    <w:p>
      <w:pPr>
        <w:pStyle w:val="BodyText"/>
        <w:spacing w:before="114"/>
      </w:pPr>
      <w:r>
        <w:rPr/>
        <mc:AlternateContent>
          <mc:Choice Requires="wps">
            <w:drawing>
              <wp:anchor distT="0" distB="0" distL="0" distR="0" allowOverlap="1" layoutInCell="1" locked="0" behindDoc="1" simplePos="0" relativeHeight="487587840">
                <wp:simplePos x="0" y="0"/>
                <wp:positionH relativeFrom="page">
                  <wp:posOffset>1143000</wp:posOffset>
                </wp:positionH>
                <wp:positionV relativeFrom="paragraph">
                  <wp:posOffset>233739</wp:posOffset>
                </wp:positionV>
                <wp:extent cx="18288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1270"/>
                        </a:xfrm>
                        <a:custGeom>
                          <a:avLst/>
                          <a:gdLst/>
                          <a:ahLst/>
                          <a:cxnLst/>
                          <a:rect l="l" t="t" r="r" b="b"/>
                          <a:pathLst>
                            <a:path w="1828800" h="0">
                              <a:moveTo>
                                <a:pt x="182880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18.404667pt;width:144pt;height:.1pt;mso-position-horizontal-relative:page;mso-position-vertical-relative:paragraph;z-index:-15728640;mso-wrap-distance-left:0;mso-wrap-distance-right:0" id="docshape9" coordorigin="1800,368" coordsize="2880,0" path="m4680,368l1800,368e" filled="false" stroked="true" strokeweight=".5pt" strokecolor="#000000">
                <v:path arrowok="t"/>
                <v:stroke dashstyle="solid"/>
                <w10:wrap type="topAndBottom"/>
              </v:shape>
            </w:pict>
          </mc:Fallback>
        </mc:AlternateContent>
      </w:r>
    </w:p>
    <w:p>
      <w:pPr>
        <w:spacing w:line="235" w:lineRule="auto" w:before="160"/>
        <w:ind w:left="360" w:right="757" w:firstLine="0"/>
        <w:jc w:val="left"/>
        <w:rPr>
          <w:sz w:val="16"/>
        </w:rPr>
      </w:pPr>
      <w:r>
        <w:rPr>
          <w:b/>
          <w:sz w:val="16"/>
        </w:rPr>
        <w:t>Reprint</w:t>
      </w:r>
      <w:r>
        <w:rPr>
          <w:b/>
          <w:spacing w:val="-3"/>
          <w:sz w:val="16"/>
        </w:rPr>
        <w:t> </w:t>
      </w:r>
      <w:r>
        <w:rPr>
          <w:b/>
          <w:sz w:val="16"/>
        </w:rPr>
        <w:t>requests:</w:t>
      </w:r>
      <w:r>
        <w:rPr>
          <w:b/>
          <w:spacing w:val="-3"/>
          <w:sz w:val="16"/>
        </w:rPr>
        <w:t> </w:t>
      </w:r>
      <w:r>
        <w:rPr>
          <w:sz w:val="16"/>
        </w:rPr>
        <w:t>Shannon</w:t>
      </w:r>
      <w:r>
        <w:rPr>
          <w:spacing w:val="-3"/>
          <w:sz w:val="16"/>
        </w:rPr>
        <w:t> </w:t>
      </w:r>
      <w:r>
        <w:rPr>
          <w:sz w:val="16"/>
        </w:rPr>
        <w:t>D.</w:t>
      </w:r>
      <w:r>
        <w:rPr>
          <w:spacing w:val="-3"/>
          <w:sz w:val="16"/>
        </w:rPr>
        <w:t> </w:t>
      </w:r>
      <w:r>
        <w:rPr>
          <w:sz w:val="16"/>
        </w:rPr>
        <w:t>Sullivan,</w:t>
      </w:r>
      <w:r>
        <w:rPr>
          <w:spacing w:val="-3"/>
          <w:sz w:val="16"/>
        </w:rPr>
        <w:t> </w:t>
      </w:r>
      <w:r>
        <w:rPr>
          <w:sz w:val="16"/>
        </w:rPr>
        <w:t>MD,</w:t>
      </w:r>
      <w:r>
        <w:rPr>
          <w:spacing w:val="-3"/>
          <w:sz w:val="16"/>
        </w:rPr>
        <w:t> </w:t>
      </w:r>
      <w:r>
        <w:rPr>
          <w:sz w:val="16"/>
        </w:rPr>
        <w:t>PhD,</w:t>
      </w:r>
      <w:r>
        <w:rPr>
          <w:spacing w:val="-3"/>
          <w:sz w:val="16"/>
        </w:rPr>
        <w:t> </w:t>
      </w:r>
      <w:r>
        <w:rPr>
          <w:sz w:val="16"/>
        </w:rPr>
        <w:t>National</w:t>
      </w:r>
      <w:r>
        <w:rPr>
          <w:spacing w:val="-3"/>
          <w:sz w:val="16"/>
        </w:rPr>
        <w:t> </w:t>
      </w:r>
      <w:r>
        <w:rPr>
          <w:sz w:val="16"/>
        </w:rPr>
        <w:t>Institutes</w:t>
      </w:r>
      <w:r>
        <w:rPr>
          <w:spacing w:val="-3"/>
          <w:sz w:val="16"/>
        </w:rPr>
        <w:t> </w:t>
      </w:r>
      <w:r>
        <w:rPr>
          <w:sz w:val="16"/>
        </w:rPr>
        <w:t>of</w:t>
      </w:r>
      <w:r>
        <w:rPr>
          <w:spacing w:val="-3"/>
          <w:sz w:val="16"/>
        </w:rPr>
        <w:t> </w:t>
      </w:r>
      <w:r>
        <w:rPr>
          <w:sz w:val="16"/>
        </w:rPr>
        <w:t>Health,</w:t>
      </w:r>
      <w:r>
        <w:rPr>
          <w:spacing w:val="-3"/>
          <w:sz w:val="16"/>
        </w:rPr>
        <w:t> </w:t>
      </w:r>
      <w:r>
        <w:rPr>
          <w:sz w:val="16"/>
        </w:rPr>
        <w:t>CRC</w:t>
      </w:r>
      <w:r>
        <w:rPr>
          <w:spacing w:val="-3"/>
          <w:sz w:val="16"/>
        </w:rPr>
        <w:t> </w:t>
      </w:r>
      <w:r>
        <w:rPr>
          <w:sz w:val="16"/>
        </w:rPr>
        <w:t>1-3140,</w:t>
      </w:r>
      <w:r>
        <w:rPr>
          <w:spacing w:val="-3"/>
          <w:sz w:val="16"/>
        </w:rPr>
        <w:t> </w:t>
      </w:r>
      <w:r>
        <w:rPr>
          <w:sz w:val="16"/>
        </w:rPr>
        <w:t>10</w:t>
      </w:r>
      <w:r>
        <w:rPr>
          <w:spacing w:val="-3"/>
          <w:sz w:val="16"/>
        </w:rPr>
        <w:t> </w:t>
      </w:r>
      <w:r>
        <w:rPr>
          <w:sz w:val="16"/>
        </w:rPr>
        <w:t>Center</w:t>
      </w:r>
      <w:r>
        <w:rPr>
          <w:spacing w:val="-3"/>
          <w:sz w:val="16"/>
        </w:rPr>
        <w:t> </w:t>
      </w:r>
      <w:r>
        <w:rPr>
          <w:sz w:val="16"/>
        </w:rPr>
        <w:t>Drive,</w:t>
      </w:r>
      <w:r>
        <w:rPr>
          <w:spacing w:val="-3"/>
          <w:sz w:val="16"/>
        </w:rPr>
        <w:t> </w:t>
      </w:r>
      <w:r>
        <w:rPr>
          <w:sz w:val="16"/>
        </w:rPr>
        <w:t>MSC-</w:t>
      </w:r>
      <w:r>
        <w:rPr>
          <w:sz w:val="16"/>
        </w:rPr>
        <w:t>1109,</w:t>
      </w:r>
      <w:r>
        <w:rPr>
          <w:spacing w:val="40"/>
          <w:sz w:val="16"/>
        </w:rPr>
        <w:t> </w:t>
      </w:r>
      <w:r>
        <w:rPr>
          <w:sz w:val="16"/>
        </w:rPr>
        <w:t>Bethesda, MD 20892-1103, USA, (FAX: 301 402 0884; </w:t>
      </w:r>
      <w:hyperlink r:id="rId6">
        <w:r>
          <w:rPr>
            <w:sz w:val="16"/>
          </w:rPr>
          <w:t>sullivsh@mail.nih.gov).</w:t>
        </w:r>
      </w:hyperlink>
    </w:p>
    <w:p>
      <w:pPr>
        <w:spacing w:line="249" w:lineRule="auto" w:before="51"/>
        <w:ind w:left="360" w:right="400" w:firstLine="0"/>
        <w:jc w:val="left"/>
        <w:rPr>
          <w:sz w:val="16"/>
        </w:rPr>
      </w:pPr>
      <w:r>
        <w:rPr>
          <w:b/>
          <w:sz w:val="16"/>
        </w:rPr>
        <w:t>Publisher's Disclaimer: </w:t>
      </w:r>
      <w:r>
        <w:rPr>
          <w:sz w:val="16"/>
        </w:rPr>
        <w:t>This is a PDF file of an unedited manuscript that has been accepted for publication. As a service to our</w:t>
      </w:r>
      <w:r>
        <w:rPr>
          <w:spacing w:val="40"/>
          <w:sz w:val="16"/>
        </w:rPr>
        <w:t> </w:t>
      </w:r>
      <w:r>
        <w:rPr>
          <w:sz w:val="16"/>
        </w:rPr>
        <w:t>customers</w:t>
      </w:r>
      <w:r>
        <w:rPr>
          <w:spacing w:val="-3"/>
          <w:sz w:val="16"/>
        </w:rPr>
        <w:t> </w:t>
      </w:r>
      <w:r>
        <w:rPr>
          <w:sz w:val="16"/>
        </w:rPr>
        <w:t>we</w:t>
      </w:r>
      <w:r>
        <w:rPr>
          <w:spacing w:val="-3"/>
          <w:sz w:val="16"/>
        </w:rPr>
        <w:t> </w:t>
      </w:r>
      <w:r>
        <w:rPr>
          <w:sz w:val="16"/>
        </w:rPr>
        <w:t>are</w:t>
      </w:r>
      <w:r>
        <w:rPr>
          <w:spacing w:val="-3"/>
          <w:sz w:val="16"/>
        </w:rPr>
        <w:t> </w:t>
      </w:r>
      <w:r>
        <w:rPr>
          <w:sz w:val="16"/>
        </w:rPr>
        <w:t>providing</w:t>
      </w:r>
      <w:r>
        <w:rPr>
          <w:spacing w:val="-3"/>
          <w:sz w:val="16"/>
        </w:rPr>
        <w:t> </w:t>
      </w:r>
      <w:r>
        <w:rPr>
          <w:sz w:val="16"/>
        </w:rPr>
        <w:t>this</w:t>
      </w:r>
      <w:r>
        <w:rPr>
          <w:spacing w:val="-3"/>
          <w:sz w:val="16"/>
        </w:rPr>
        <w:t> </w:t>
      </w:r>
      <w:r>
        <w:rPr>
          <w:sz w:val="16"/>
        </w:rPr>
        <w:t>early</w:t>
      </w:r>
      <w:r>
        <w:rPr>
          <w:spacing w:val="-3"/>
          <w:sz w:val="16"/>
        </w:rPr>
        <w:t> </w:t>
      </w:r>
      <w:r>
        <w:rPr>
          <w:sz w:val="16"/>
        </w:rPr>
        <w:t>version</w:t>
      </w:r>
      <w:r>
        <w:rPr>
          <w:spacing w:val="-3"/>
          <w:sz w:val="16"/>
        </w:rPr>
        <w:t> </w:t>
      </w:r>
      <w:r>
        <w:rPr>
          <w:sz w:val="16"/>
        </w:rPr>
        <w:t>of</w:t>
      </w:r>
      <w:r>
        <w:rPr>
          <w:spacing w:val="-3"/>
          <w:sz w:val="16"/>
        </w:rPr>
        <w:t> </w:t>
      </w:r>
      <w:r>
        <w:rPr>
          <w:sz w:val="16"/>
        </w:rPr>
        <w:t>the</w:t>
      </w:r>
      <w:r>
        <w:rPr>
          <w:spacing w:val="-3"/>
          <w:sz w:val="16"/>
        </w:rPr>
        <w:t> </w:t>
      </w:r>
      <w:r>
        <w:rPr>
          <w:sz w:val="16"/>
        </w:rPr>
        <w:t>manuscript.</w:t>
      </w:r>
      <w:r>
        <w:rPr>
          <w:spacing w:val="-3"/>
          <w:sz w:val="16"/>
        </w:rPr>
        <w:t> </w:t>
      </w:r>
      <w:r>
        <w:rPr>
          <w:sz w:val="16"/>
        </w:rPr>
        <w:t>The</w:t>
      </w:r>
      <w:r>
        <w:rPr>
          <w:spacing w:val="-3"/>
          <w:sz w:val="16"/>
        </w:rPr>
        <w:t> </w:t>
      </w:r>
      <w:r>
        <w:rPr>
          <w:sz w:val="16"/>
        </w:rPr>
        <w:t>manuscript</w:t>
      </w:r>
      <w:r>
        <w:rPr>
          <w:spacing w:val="-3"/>
          <w:sz w:val="16"/>
        </w:rPr>
        <w:t> </w:t>
      </w:r>
      <w:r>
        <w:rPr>
          <w:sz w:val="16"/>
        </w:rPr>
        <w:t>will</w:t>
      </w:r>
      <w:r>
        <w:rPr>
          <w:spacing w:val="-3"/>
          <w:sz w:val="16"/>
        </w:rPr>
        <w:t> </w:t>
      </w:r>
      <w:r>
        <w:rPr>
          <w:sz w:val="16"/>
        </w:rPr>
        <w:t>undergo</w:t>
      </w:r>
      <w:r>
        <w:rPr>
          <w:spacing w:val="-3"/>
          <w:sz w:val="16"/>
        </w:rPr>
        <w:t> </w:t>
      </w:r>
      <w:r>
        <w:rPr>
          <w:sz w:val="16"/>
        </w:rPr>
        <w:t>copyediting,</w:t>
      </w:r>
      <w:r>
        <w:rPr>
          <w:spacing w:val="-3"/>
          <w:sz w:val="16"/>
        </w:rPr>
        <w:t> </w:t>
      </w:r>
      <w:r>
        <w:rPr>
          <w:sz w:val="16"/>
        </w:rPr>
        <w:t>typesetting,</w:t>
      </w:r>
      <w:r>
        <w:rPr>
          <w:spacing w:val="-3"/>
          <w:sz w:val="16"/>
        </w:rPr>
        <w:t> </w:t>
      </w:r>
      <w:r>
        <w:rPr>
          <w:sz w:val="16"/>
        </w:rPr>
        <w:t>and</w:t>
      </w:r>
      <w:r>
        <w:rPr>
          <w:spacing w:val="-3"/>
          <w:sz w:val="16"/>
        </w:rPr>
        <w:t> </w:t>
      </w:r>
      <w:r>
        <w:rPr>
          <w:sz w:val="16"/>
        </w:rPr>
        <w:t>review</w:t>
      </w:r>
      <w:r>
        <w:rPr>
          <w:spacing w:val="-3"/>
          <w:sz w:val="16"/>
        </w:rPr>
        <w:t> </w:t>
      </w:r>
      <w:r>
        <w:rPr>
          <w:sz w:val="16"/>
        </w:rPr>
        <w:t>of</w:t>
      </w:r>
      <w:r>
        <w:rPr>
          <w:spacing w:val="40"/>
          <w:sz w:val="16"/>
        </w:rPr>
        <w:t> </w:t>
      </w:r>
      <w:r>
        <w:rPr>
          <w:sz w:val="16"/>
        </w:rPr>
        <w:t>the resulting proof before it is published in its final citable form. Please note that during the production process errors may be</w:t>
      </w:r>
      <w:r>
        <w:rPr>
          <w:spacing w:val="40"/>
          <w:sz w:val="16"/>
        </w:rPr>
        <w:t> </w:t>
      </w:r>
      <w:r>
        <w:rPr>
          <w:sz w:val="16"/>
        </w:rPr>
        <w:t>discovered which could affect the content, and all legal disclaimers that apply to the journal pertain.</w:t>
      </w:r>
    </w:p>
    <w:p>
      <w:pPr>
        <w:spacing w:after="0" w:line="249" w:lineRule="auto"/>
        <w:jc w:val="left"/>
        <w:rPr>
          <w:sz w:val="16"/>
        </w:rPr>
        <w:sectPr>
          <w:type w:val="continuous"/>
          <w:pgSz w:w="12240" w:h="15840"/>
          <w:pgMar w:top="340" w:bottom="280" w:left="1440" w:right="1440"/>
        </w:sectPr>
      </w:pPr>
    </w:p>
    <w:p>
      <w:pPr>
        <w:tabs>
          <w:tab w:pos="8568" w:val="left" w:leader="none"/>
        </w:tabs>
        <w:spacing w:before="76"/>
        <w:ind w:left="120" w:right="0" w:firstLine="0"/>
        <w:jc w:val="left"/>
        <w:rPr>
          <w:sz w:val="16"/>
        </w:rPr>
      </w:pPr>
      <w:r>
        <w:rPr>
          <w:sz w:val="16"/>
        </w:rPr>
        <mc:AlternateContent>
          <mc:Choice Requires="wps">
            <w:drawing>
              <wp:anchor distT="0" distB="0" distL="0" distR="0" allowOverlap="1" layoutInCell="1" locked="0" behindDoc="0" simplePos="0" relativeHeight="15731200">
                <wp:simplePos x="0" y="0"/>
                <wp:positionH relativeFrom="page">
                  <wp:posOffset>228600</wp:posOffset>
                </wp:positionH>
                <wp:positionV relativeFrom="page">
                  <wp:posOffset>457200</wp:posOffset>
                </wp:positionV>
                <wp:extent cx="228600" cy="86868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rect style="position:absolute;margin-left:18pt;margin-top:36pt;width:18pt;height:684pt;mso-position-horizontal-relative:page;mso-position-vertical-relative:page;z-index:15731200" id="docshape11" filled="true" fillcolor="#b4c6de" stroked="false">
                <v:fill type="solid"/>
                <w10:wrap type="none"/>
              </v:rect>
            </w:pict>
          </mc:Fallback>
        </mc:AlternateContent>
      </w:r>
      <w:r>
        <w:rPr>
          <w:sz w:val="16"/>
        </w:rPr>
        <mc:AlternateContent>
          <mc:Choice Requires="wps">
            <w:drawing>
              <wp:anchor distT="0" distB="0" distL="0" distR="0" allowOverlap="1" layoutInCell="1" locked="0" behindDoc="0" simplePos="0" relativeHeight="15731712">
                <wp:simplePos x="0" y="0"/>
                <wp:positionH relativeFrom="page">
                  <wp:posOffset>254000</wp:posOffset>
                </wp:positionH>
                <wp:positionV relativeFrom="page">
                  <wp:posOffset>1180194</wp:posOffset>
                </wp:positionV>
                <wp:extent cx="196215" cy="182181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92.928711pt;width:15.45pt;height:143.450pt;mso-position-horizontal-relative:page;mso-position-vertical-relative:page;z-index:15731712" type="#_x0000_t202" id="docshape12"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2224">
                <wp:simplePos x="0" y="0"/>
                <wp:positionH relativeFrom="page">
                  <wp:posOffset>254000</wp:posOffset>
                </wp:positionH>
                <wp:positionV relativeFrom="page">
                  <wp:posOffset>3890407</wp:posOffset>
                </wp:positionV>
                <wp:extent cx="196215" cy="182181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306.331268pt;width:15.45pt;height:143.450pt;mso-position-horizontal-relative:page;mso-position-vertical-relative:page;z-index:15732224" type="#_x0000_t202" id="docshape13"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2736">
                <wp:simplePos x="0" y="0"/>
                <wp:positionH relativeFrom="page">
                  <wp:posOffset>254000</wp:posOffset>
                </wp:positionH>
                <wp:positionV relativeFrom="page">
                  <wp:posOffset>6600619</wp:posOffset>
                </wp:positionV>
                <wp:extent cx="196215" cy="182181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519.733826pt;width:15.45pt;height:143.450pt;mso-position-horizontal-relative:page;mso-position-vertical-relative:page;z-index:15732736" type="#_x0000_t202" id="docshape14"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w:t>Tong et </w:t>
      </w:r>
      <w:r>
        <w:rPr>
          <w:spacing w:val="-5"/>
          <w:sz w:val="16"/>
        </w:rPr>
        <w:t>al.</w:t>
      </w:r>
      <w:r>
        <w:rPr>
          <w:sz w:val="16"/>
        </w:rPr>
        <w:tab/>
        <w:t>Page </w:t>
      </w:r>
      <w:r>
        <w:rPr>
          <w:spacing w:val="-10"/>
          <w:sz w:val="16"/>
        </w:rPr>
        <w:t>2</w:t>
      </w:r>
    </w:p>
    <w:p>
      <w:pPr>
        <w:pStyle w:val="BodyText"/>
        <w:spacing w:before="53"/>
        <w:rPr>
          <w:sz w:val="16"/>
        </w:rPr>
      </w:pPr>
    </w:p>
    <w:p>
      <w:pPr>
        <w:pStyle w:val="BodyText"/>
        <w:spacing w:line="249" w:lineRule="auto"/>
        <w:ind w:left="1560" w:right="400"/>
      </w:pPr>
      <w:r>
        <w:rPr/>
        <w:t>cystine</w:t>
      </w:r>
      <w:r>
        <w:rPr>
          <w:spacing w:val="-3"/>
        </w:rPr>
        <w:t> </w:t>
      </w:r>
      <w:r>
        <w:rPr/>
        <w:t>(C)</w:t>
      </w:r>
      <w:r>
        <w:rPr>
          <w:spacing w:val="-3"/>
        </w:rPr>
        <w:t> </w:t>
      </w:r>
      <w:r>
        <w:rPr/>
        <w:t>at</w:t>
      </w:r>
      <w:r>
        <w:rPr>
          <w:spacing w:val="-3"/>
        </w:rPr>
        <w:t> </w:t>
      </w:r>
      <w:r>
        <w:rPr/>
        <w:t>the</w:t>
      </w:r>
      <w:r>
        <w:rPr>
          <w:spacing w:val="-3"/>
        </w:rPr>
        <w:t> </w:t>
      </w:r>
      <w:r>
        <w:rPr/>
        <w:t>955</w:t>
      </w:r>
      <w:r>
        <w:rPr>
          <w:position w:val="7"/>
          <w:sz w:val="16"/>
        </w:rPr>
        <w:t>th </w:t>
      </w:r>
      <w:r>
        <w:rPr/>
        <w:t>peptide</w:t>
      </w:r>
      <w:r>
        <w:rPr>
          <w:spacing w:val="-3"/>
        </w:rPr>
        <w:t> </w:t>
      </w:r>
      <w:r>
        <w:rPr/>
        <w:t>residue],</w:t>
      </w:r>
      <w:r>
        <w:rPr>
          <w:spacing w:val="-3"/>
        </w:rPr>
        <w:t> </w:t>
      </w:r>
      <w:r>
        <w:rPr/>
        <w:t>R943H,</w:t>
      </w:r>
      <w:r>
        <w:rPr>
          <w:spacing w:val="-3"/>
        </w:rPr>
        <w:t> </w:t>
      </w:r>
      <w:r>
        <w:rPr/>
        <w:t>G923D,</w:t>
      </w:r>
      <w:r>
        <w:rPr>
          <w:spacing w:val="-3"/>
        </w:rPr>
        <w:t> </w:t>
      </w:r>
      <w:r>
        <w:rPr/>
        <w:t>A957S,</w:t>
      </w:r>
      <w:r>
        <w:rPr>
          <w:spacing w:val="-3"/>
        </w:rPr>
        <w:t> </w:t>
      </w:r>
      <w:r>
        <w:rPr/>
        <w:t>and</w:t>
      </w:r>
      <w:r>
        <w:rPr>
          <w:spacing w:val="-3"/>
        </w:rPr>
        <w:t> </w:t>
      </w:r>
      <w:r>
        <w:rPr/>
        <w:t>R953C</w:t>
      </w:r>
      <w:r>
        <w:rPr>
          <w:spacing w:val="-3"/>
        </w:rPr>
        <w:t> </w:t>
      </w:r>
      <w:r>
        <w:rPr/>
        <w:t>(5,10).</w:t>
      </w:r>
      <w:r>
        <w:rPr>
          <w:spacing w:val="-3"/>
        </w:rPr>
        <w:t> </w:t>
      </w:r>
      <w:r>
        <w:rPr/>
        <w:t>Of these, R943H has also been associated with sPOI (3).</w:t>
      </w:r>
    </w:p>
    <w:p>
      <w:pPr>
        <w:pStyle w:val="BodyText"/>
        <w:spacing w:line="249" w:lineRule="auto" w:before="202"/>
        <w:ind w:left="1559" w:right="383"/>
      </w:pPr>
      <w:r>
        <w:rPr/>
        <w:t>To determine if </w:t>
      </w:r>
      <w:r>
        <w:rPr>
          <w:i/>
        </w:rPr>
        <w:t>POLG </w:t>
      </w:r>
      <w:r>
        <w:rPr/>
        <w:t>mutations known to be associated with PEO are also associated with sPOI,</w:t>
      </w:r>
      <w:r>
        <w:rPr>
          <w:spacing w:val="-3"/>
        </w:rPr>
        <w:t> </w:t>
      </w:r>
      <w:r>
        <w:rPr/>
        <w:t>we</w:t>
      </w:r>
      <w:r>
        <w:rPr>
          <w:spacing w:val="-3"/>
        </w:rPr>
        <w:t> </w:t>
      </w:r>
      <w:r>
        <w:rPr/>
        <w:t>screened</w:t>
      </w:r>
      <w:r>
        <w:rPr>
          <w:spacing w:val="-3"/>
        </w:rPr>
        <w:t> </w:t>
      </w:r>
      <w:r>
        <w:rPr/>
        <w:t>the</w:t>
      </w:r>
      <w:r>
        <w:rPr>
          <w:spacing w:val="-3"/>
        </w:rPr>
        <w:t> </w:t>
      </w:r>
      <w:r>
        <w:rPr/>
        <w:t>genomic</w:t>
      </w:r>
      <w:r>
        <w:rPr>
          <w:spacing w:val="-3"/>
        </w:rPr>
        <w:t> </w:t>
      </w:r>
      <w:r>
        <w:rPr/>
        <w:t>DNA</w:t>
      </w:r>
      <w:r>
        <w:rPr>
          <w:spacing w:val="-3"/>
        </w:rPr>
        <w:t> </w:t>
      </w:r>
      <w:r>
        <w:rPr/>
        <w:t>of</w:t>
      </w:r>
      <w:r>
        <w:rPr>
          <w:spacing w:val="-3"/>
        </w:rPr>
        <w:t> </w:t>
      </w:r>
      <w:r>
        <w:rPr/>
        <w:t>women</w:t>
      </w:r>
      <w:r>
        <w:rPr>
          <w:spacing w:val="-3"/>
        </w:rPr>
        <w:t> </w:t>
      </w:r>
      <w:r>
        <w:rPr/>
        <w:t>with</w:t>
      </w:r>
      <w:r>
        <w:rPr>
          <w:spacing w:val="-3"/>
        </w:rPr>
        <w:t> </w:t>
      </w:r>
      <w:r>
        <w:rPr/>
        <w:t>46,XX</w:t>
      </w:r>
      <w:r>
        <w:rPr>
          <w:spacing w:val="-3"/>
        </w:rPr>
        <w:t> </w:t>
      </w:r>
      <w:r>
        <w:rPr/>
        <w:t>sPOI</w:t>
      </w:r>
      <w:r>
        <w:rPr>
          <w:spacing w:val="-3"/>
        </w:rPr>
        <w:t> </w:t>
      </w:r>
      <w:r>
        <w:rPr/>
        <w:t>for</w:t>
      </w:r>
      <w:r>
        <w:rPr>
          <w:spacing w:val="-3"/>
        </w:rPr>
        <w:t> </w:t>
      </w:r>
      <w:r>
        <w:rPr/>
        <w:t>the</w:t>
      </w:r>
      <w:r>
        <w:rPr>
          <w:spacing w:val="-3"/>
        </w:rPr>
        <w:t> </w:t>
      </w:r>
      <w:r>
        <w:rPr/>
        <w:t>5</w:t>
      </w:r>
      <w:r>
        <w:rPr>
          <w:spacing w:val="-3"/>
        </w:rPr>
        <w:t> </w:t>
      </w:r>
      <w:r>
        <w:rPr>
          <w:i/>
        </w:rPr>
        <w:t>POLG</w:t>
      </w:r>
      <w:r>
        <w:rPr>
          <w:i/>
          <w:spacing w:val="-3"/>
        </w:rPr>
        <w:t> </w:t>
      </w:r>
      <w:r>
        <w:rPr/>
        <w:t>mutations described above (G923D, R943H, R953C, Y955C, and A957S). Women aged 18-42 with 46,XX sPOI (n=201) were recruited between August 2004 and March 2006 as part of an ongoing cross-sectional study evaluating the health of women with sPOI (11). Women with known iatrogenic cause of POI were excluded. 46,XX sPOI was defined as abnormal</w:t>
      </w:r>
      <w:r>
        <w:rPr>
          <w:spacing w:val="40"/>
        </w:rPr>
        <w:t> </w:t>
      </w:r>
      <w:r>
        <w:rPr/>
        <w:t>menses for at least four months, menopausal range FSH levels confirmed on two occasions at least one month apart, and age less than 40 at the time of diagnosis. This study was approved by the Institutional Review Board of the National Institute of Child Health and Human Development.</w:t>
      </w:r>
    </w:p>
    <w:p>
      <w:pPr>
        <w:pStyle w:val="BodyText"/>
        <w:spacing w:line="240" w:lineRule="exact" w:before="203"/>
        <w:ind w:left="1559" w:right="372"/>
      </w:pPr>
      <w:r>
        <w:rPr/>
        <w:t>Demographics of this group was similar to that seen in other published groups of women with 46,XX sPOI (12): 82% Caucasian (164/201), 9% black (19/201), 5% Hispanic</w:t>
      </w:r>
      <w:r>
        <w:rPr>
          <w:spacing w:val="40"/>
        </w:rPr>
        <w:t> </w:t>
      </w:r>
      <w:r>
        <w:rPr/>
        <w:t>(11/201), and 2% Asian (5/201). FSH was elevated into the menopausal range in all women (mean FSH 77.4 +/</w:t>
      </w:r>
      <w:r>
        <w:rPr>
          <w:rFonts w:ascii="Comic Sans MS" w:hAnsi="Comic Sans MS"/>
        </w:rPr>
        <w:t>− </w:t>
      </w:r>
      <w:r>
        <w:rPr/>
        <w:t>37.8 U/L), with corresponding low serum estradiol levels (mean E2 44.5 +/</w:t>
      </w:r>
      <w:r>
        <w:rPr>
          <w:rFonts w:ascii="Comic Sans MS" w:hAnsi="Comic Sans MS"/>
        </w:rPr>
        <w:t>− </w:t>
      </w:r>
      <w:r>
        <w:rPr/>
        <w:t>42.7 pg/mL). 112 (56%) women were tested for a premutation in the Fragile X (</w:t>
      </w:r>
      <w:r>
        <w:rPr>
          <w:i/>
        </w:rPr>
        <w:t>FMR1</w:t>
      </w:r>
      <w:r>
        <w:rPr/>
        <w:t>)</w:t>
      </w:r>
      <w:r>
        <w:rPr>
          <w:spacing w:val="-1"/>
        </w:rPr>
        <w:t> </w:t>
      </w:r>
      <w:r>
        <w:rPr/>
        <w:t>gene.</w:t>
      </w:r>
      <w:r>
        <w:rPr>
          <w:spacing w:val="-1"/>
        </w:rPr>
        <w:t> </w:t>
      </w:r>
      <w:r>
        <w:rPr/>
        <w:t>3</w:t>
      </w:r>
      <w:r>
        <w:rPr>
          <w:spacing w:val="-1"/>
        </w:rPr>
        <w:t> </w:t>
      </w:r>
      <w:r>
        <w:rPr/>
        <w:t>of</w:t>
      </w:r>
      <w:r>
        <w:rPr>
          <w:spacing w:val="-1"/>
        </w:rPr>
        <w:t> </w:t>
      </w:r>
      <w:r>
        <w:rPr/>
        <w:t>these</w:t>
      </w:r>
      <w:r>
        <w:rPr>
          <w:spacing w:val="-1"/>
        </w:rPr>
        <w:t> </w:t>
      </w:r>
      <w:r>
        <w:rPr/>
        <w:t>women</w:t>
      </w:r>
      <w:r>
        <w:rPr>
          <w:spacing w:val="-1"/>
        </w:rPr>
        <w:t> </w:t>
      </w:r>
      <w:r>
        <w:rPr/>
        <w:t>(3%)</w:t>
      </w:r>
      <w:r>
        <w:rPr>
          <w:spacing w:val="-1"/>
        </w:rPr>
        <w:t> </w:t>
      </w:r>
      <w:r>
        <w:rPr/>
        <w:t>carry</w:t>
      </w:r>
      <w:r>
        <w:rPr>
          <w:spacing w:val="-1"/>
        </w:rPr>
        <w:t> </w:t>
      </w:r>
      <w:r>
        <w:rPr/>
        <w:t>the</w:t>
      </w:r>
      <w:r>
        <w:rPr>
          <w:spacing w:val="-1"/>
        </w:rPr>
        <w:t> </w:t>
      </w:r>
      <w:r>
        <w:rPr>
          <w:i/>
        </w:rPr>
        <w:t>FMR1</w:t>
      </w:r>
      <w:r>
        <w:rPr>
          <w:i/>
          <w:spacing w:val="-1"/>
        </w:rPr>
        <w:t> </w:t>
      </w:r>
      <w:r>
        <w:rPr/>
        <w:t>premutation</w:t>
      </w:r>
      <w:r>
        <w:rPr>
          <w:spacing w:val="-1"/>
        </w:rPr>
        <w:t> </w:t>
      </w:r>
      <w:r>
        <w:rPr/>
        <w:t>(defined</w:t>
      </w:r>
      <w:r>
        <w:rPr>
          <w:spacing w:val="-1"/>
        </w:rPr>
        <w:t> </w:t>
      </w:r>
      <w:r>
        <w:rPr/>
        <w:t>as</w:t>
      </w:r>
      <w:r>
        <w:rPr>
          <w:spacing w:val="-1"/>
        </w:rPr>
        <w:t> </w:t>
      </w:r>
      <w:r>
        <w:rPr/>
        <w:t>55-199</w:t>
      </w:r>
      <w:r>
        <w:rPr>
          <w:spacing w:val="-1"/>
        </w:rPr>
        <w:t> </w:t>
      </w:r>
      <w:r>
        <w:rPr/>
        <w:t>CGG repeats on the </w:t>
      </w:r>
      <w:r>
        <w:rPr>
          <w:i/>
        </w:rPr>
        <w:t>FMR1 </w:t>
      </w:r>
      <w:r>
        <w:rPr/>
        <w:t>gene), which itself infers approximately a 20% risk of developing </w:t>
      </w:r>
      <w:r>
        <w:rPr>
          <w:spacing w:val="-4"/>
        </w:rPr>
        <w:t>sPOI</w:t>
      </w:r>
    </w:p>
    <w:p>
      <w:pPr>
        <w:pStyle w:val="BodyText"/>
        <w:spacing w:line="249" w:lineRule="auto" w:before="5"/>
        <w:ind w:left="1560" w:right="400"/>
      </w:pPr>
      <w:r>
        <w:rPr/>
        <w:t>(13). 1 woman (0.5%) had steroidogenic cell autoantibodies, indicating autoimmune oophoritis</w:t>
      </w:r>
      <w:r>
        <w:rPr>
          <w:spacing w:val="-3"/>
        </w:rPr>
        <w:t> </w:t>
      </w:r>
      <w:r>
        <w:rPr/>
        <w:t>as</w:t>
      </w:r>
      <w:r>
        <w:rPr>
          <w:spacing w:val="-3"/>
        </w:rPr>
        <w:t> </w:t>
      </w:r>
      <w:r>
        <w:rPr/>
        <w:t>the</w:t>
      </w:r>
      <w:r>
        <w:rPr>
          <w:spacing w:val="-3"/>
        </w:rPr>
        <w:t> </w:t>
      </w:r>
      <w:r>
        <w:rPr/>
        <w:t>primary</w:t>
      </w:r>
      <w:r>
        <w:rPr>
          <w:spacing w:val="-3"/>
        </w:rPr>
        <w:t> </w:t>
      </w:r>
      <w:r>
        <w:rPr/>
        <w:t>cause</w:t>
      </w:r>
      <w:r>
        <w:rPr>
          <w:spacing w:val="-3"/>
        </w:rPr>
        <w:t> </w:t>
      </w:r>
      <w:r>
        <w:rPr/>
        <w:t>of</w:t>
      </w:r>
      <w:r>
        <w:rPr>
          <w:spacing w:val="-3"/>
        </w:rPr>
        <w:t> </w:t>
      </w:r>
      <w:r>
        <w:rPr/>
        <w:t>her</w:t>
      </w:r>
      <w:r>
        <w:rPr>
          <w:spacing w:val="-3"/>
        </w:rPr>
        <w:t> </w:t>
      </w:r>
      <w:r>
        <w:rPr/>
        <w:t>sPOI.</w:t>
      </w:r>
      <w:r>
        <w:rPr>
          <w:spacing w:val="-3"/>
        </w:rPr>
        <w:t> </w:t>
      </w:r>
      <w:r>
        <w:rPr/>
        <w:t>45</w:t>
      </w:r>
      <w:r>
        <w:rPr>
          <w:spacing w:val="-3"/>
        </w:rPr>
        <w:t> </w:t>
      </w:r>
      <w:r>
        <w:rPr/>
        <w:t>women</w:t>
      </w:r>
      <w:r>
        <w:rPr>
          <w:spacing w:val="-3"/>
        </w:rPr>
        <w:t> </w:t>
      </w:r>
      <w:r>
        <w:rPr/>
        <w:t>(22%)</w:t>
      </w:r>
      <w:r>
        <w:rPr>
          <w:spacing w:val="-3"/>
        </w:rPr>
        <w:t> </w:t>
      </w:r>
      <w:r>
        <w:rPr/>
        <w:t>reported</w:t>
      </w:r>
      <w:r>
        <w:rPr>
          <w:spacing w:val="-3"/>
        </w:rPr>
        <w:t> </w:t>
      </w:r>
      <w:r>
        <w:rPr/>
        <w:t>a</w:t>
      </w:r>
      <w:r>
        <w:rPr>
          <w:spacing w:val="-3"/>
        </w:rPr>
        <w:t> </w:t>
      </w:r>
      <w:r>
        <w:rPr/>
        <w:t>family</w:t>
      </w:r>
      <w:r>
        <w:rPr>
          <w:spacing w:val="-3"/>
        </w:rPr>
        <w:t> </w:t>
      </w:r>
      <w:r>
        <w:rPr/>
        <w:t>history</w:t>
      </w:r>
      <w:r>
        <w:rPr>
          <w:spacing w:val="-3"/>
        </w:rPr>
        <w:t> </w:t>
      </w:r>
      <w:r>
        <w:rPr/>
        <w:t>of sPOI (or “POF” or “premature menopause”). Several patients reported a family history of neurologic disorders: Parkinson’s disease (4.5%), tremor (10%), ataxia (4%), early onset hearing loss (3.5%), learning disability (14.4%), and mental retardation (1%).</w:t>
      </w:r>
    </w:p>
    <w:p>
      <w:pPr>
        <w:pStyle w:val="BodyText"/>
        <w:spacing w:line="249" w:lineRule="auto" w:before="204"/>
        <w:ind w:left="1560" w:right="366"/>
      </w:pPr>
      <w:r>
        <w:rPr/>
        <w:t>Genomic DNA from each patient was isolated using a rapid non-enzymatic method and amplified</w:t>
      </w:r>
      <w:r>
        <w:rPr>
          <w:spacing w:val="-3"/>
        </w:rPr>
        <w:t> </w:t>
      </w:r>
      <w:r>
        <w:rPr/>
        <w:t>using</w:t>
      </w:r>
      <w:r>
        <w:rPr>
          <w:spacing w:val="-3"/>
        </w:rPr>
        <w:t> </w:t>
      </w:r>
      <w:r>
        <w:rPr/>
        <w:t>PCR</w:t>
      </w:r>
      <w:r>
        <w:rPr>
          <w:spacing w:val="-3"/>
        </w:rPr>
        <w:t> </w:t>
      </w:r>
      <w:r>
        <w:rPr/>
        <w:t>as</w:t>
      </w:r>
      <w:r>
        <w:rPr>
          <w:spacing w:val="-3"/>
        </w:rPr>
        <w:t> </w:t>
      </w:r>
      <w:r>
        <w:rPr/>
        <w:t>previously</w:t>
      </w:r>
      <w:r>
        <w:rPr>
          <w:spacing w:val="-3"/>
        </w:rPr>
        <w:t> </w:t>
      </w:r>
      <w:r>
        <w:rPr/>
        <w:t>described</w:t>
      </w:r>
      <w:r>
        <w:rPr>
          <w:spacing w:val="-3"/>
        </w:rPr>
        <w:t> </w:t>
      </w:r>
      <w:r>
        <w:rPr/>
        <w:t>(14,15).</w:t>
      </w:r>
      <w:r>
        <w:rPr>
          <w:spacing w:val="-3"/>
        </w:rPr>
        <w:t> </w:t>
      </w:r>
      <w:r>
        <w:rPr/>
        <w:t>We</w:t>
      </w:r>
      <w:r>
        <w:rPr>
          <w:spacing w:val="-3"/>
        </w:rPr>
        <w:t> </w:t>
      </w:r>
      <w:r>
        <w:rPr/>
        <w:t>performed</w:t>
      </w:r>
      <w:r>
        <w:rPr>
          <w:spacing w:val="-3"/>
        </w:rPr>
        <w:t> </w:t>
      </w:r>
      <w:r>
        <w:rPr/>
        <w:t>DNA</w:t>
      </w:r>
      <w:r>
        <w:rPr>
          <w:spacing w:val="-3"/>
        </w:rPr>
        <w:t> </w:t>
      </w:r>
      <w:r>
        <w:rPr/>
        <w:t>mutagenesis</w:t>
      </w:r>
      <w:r>
        <w:rPr>
          <w:spacing w:val="-3"/>
        </w:rPr>
        <w:t> </w:t>
      </w:r>
      <w:r>
        <w:rPr/>
        <w:t>on</w:t>
      </w:r>
      <w:r>
        <w:rPr>
          <w:spacing w:val="-3"/>
        </w:rPr>
        <w:t> </w:t>
      </w:r>
      <w:r>
        <w:rPr/>
        <w:t>a plasmid with the PCR products (460 bp) containing normal sequences of exon 18 of the </w:t>
      </w:r>
      <w:r>
        <w:rPr>
          <w:i/>
        </w:rPr>
        <w:t>POLG </w:t>
      </w:r>
      <w:r>
        <w:rPr/>
        <w:t>using QuikChange II XL Site-Directed Mutagenesis Kit (Stratagene) and confirmed the</w:t>
      </w:r>
      <w:r>
        <w:rPr>
          <w:spacing w:val="-4"/>
        </w:rPr>
        <w:t> </w:t>
      </w:r>
      <w:r>
        <w:rPr/>
        <w:t>expected</w:t>
      </w:r>
      <w:r>
        <w:rPr>
          <w:spacing w:val="-4"/>
        </w:rPr>
        <w:t> </w:t>
      </w:r>
      <w:r>
        <w:rPr/>
        <w:t>mutant</w:t>
      </w:r>
      <w:r>
        <w:rPr>
          <w:spacing w:val="-4"/>
        </w:rPr>
        <w:t> </w:t>
      </w:r>
      <w:r>
        <w:rPr/>
        <w:t>plasmids</w:t>
      </w:r>
      <w:r>
        <w:rPr>
          <w:spacing w:val="-4"/>
        </w:rPr>
        <w:t> </w:t>
      </w:r>
      <w:r>
        <w:rPr/>
        <w:t>with</w:t>
      </w:r>
      <w:r>
        <w:rPr>
          <w:spacing w:val="-4"/>
        </w:rPr>
        <w:t> </w:t>
      </w:r>
      <w:r>
        <w:rPr/>
        <w:t>the</w:t>
      </w:r>
      <w:r>
        <w:rPr>
          <w:spacing w:val="-4"/>
        </w:rPr>
        <w:t> </w:t>
      </w:r>
      <w:r>
        <w:rPr>
          <w:i/>
        </w:rPr>
        <w:t>POLG</w:t>
      </w:r>
      <w:r>
        <w:rPr>
          <w:i/>
          <w:spacing w:val="-4"/>
        </w:rPr>
        <w:t> </w:t>
      </w:r>
      <w:r>
        <w:rPr/>
        <w:t>mutations</w:t>
      </w:r>
      <w:r>
        <w:rPr>
          <w:spacing w:val="-4"/>
        </w:rPr>
        <w:t> </w:t>
      </w:r>
      <w:r>
        <w:rPr/>
        <w:t>c2767G&gt;A,</w:t>
      </w:r>
      <w:r>
        <w:rPr>
          <w:spacing w:val="-4"/>
        </w:rPr>
        <w:t> </w:t>
      </w:r>
      <w:r>
        <w:rPr/>
        <w:t>c2828G&gt;A,</w:t>
      </w:r>
      <w:r>
        <w:rPr>
          <w:spacing w:val="-4"/>
        </w:rPr>
        <w:t> </w:t>
      </w:r>
      <w:r>
        <w:rPr/>
        <w:t>c2857C&gt;T, c2864A&gt;G and c2869G&gt;T, individually. These mutant plasmids were used as templates for PCR reactions for positive controls of such DNA mutations. In RFLP analysis as shown in Table 1, the restriction enzymes </w:t>
      </w:r>
      <w:r>
        <w:rPr>
          <w:i/>
        </w:rPr>
        <w:t>Mwo</w:t>
      </w:r>
      <w:r>
        <w:rPr/>
        <w:t>I, </w:t>
      </w:r>
      <w:r>
        <w:rPr>
          <w:i/>
        </w:rPr>
        <w:t>Msl</w:t>
      </w:r>
      <w:r>
        <w:rPr/>
        <w:t>I, </w:t>
      </w:r>
      <w:r>
        <w:rPr>
          <w:i/>
        </w:rPr>
        <w:t>Eag</w:t>
      </w:r>
      <w:r>
        <w:rPr/>
        <w:t>I, </w:t>
      </w:r>
      <w:r>
        <w:rPr>
          <w:i/>
        </w:rPr>
        <w:t>AlwN</w:t>
      </w:r>
      <w:r>
        <w:rPr/>
        <w:t>I and </w:t>
      </w:r>
      <w:r>
        <w:rPr>
          <w:i/>
        </w:rPr>
        <w:t>BseY</w:t>
      </w:r>
      <w:r>
        <w:rPr/>
        <w:t>I were used and the resultant DNA fragments were separated by gel electrophoresis to screen for the </w:t>
      </w:r>
      <w:r>
        <w:rPr>
          <w:i/>
        </w:rPr>
        <w:t>POLG </w:t>
      </w:r>
      <w:r>
        <w:rPr/>
        <w:t>mutations c2767G&gt;A, c2828G&gt;A, c2857C&gt;T, c2864A&gt;G and c2869G&gt;T, respectively.</w:t>
      </w:r>
    </w:p>
    <w:p>
      <w:pPr>
        <w:pStyle w:val="BodyText"/>
        <w:spacing w:line="249" w:lineRule="auto" w:before="8"/>
        <w:ind w:left="1560" w:right="499"/>
      </w:pPr>
      <w:r>
        <w:rPr/>
        <w:t>These</w:t>
      </w:r>
      <w:r>
        <w:rPr>
          <w:spacing w:val="-3"/>
        </w:rPr>
        <w:t> </w:t>
      </w:r>
      <w:r>
        <w:rPr/>
        <w:t>nucleotide</w:t>
      </w:r>
      <w:r>
        <w:rPr>
          <w:spacing w:val="-3"/>
        </w:rPr>
        <w:t> </w:t>
      </w:r>
      <w:r>
        <w:rPr/>
        <w:t>changes</w:t>
      </w:r>
      <w:r>
        <w:rPr>
          <w:spacing w:val="-3"/>
        </w:rPr>
        <w:t> </w:t>
      </w:r>
      <w:r>
        <w:rPr/>
        <w:t>lead</w:t>
      </w:r>
      <w:r>
        <w:rPr>
          <w:spacing w:val="-3"/>
        </w:rPr>
        <w:t> </w:t>
      </w:r>
      <w:r>
        <w:rPr/>
        <w:t>to</w:t>
      </w:r>
      <w:r>
        <w:rPr>
          <w:spacing w:val="-3"/>
        </w:rPr>
        <w:t> </w:t>
      </w:r>
      <w:r>
        <w:rPr/>
        <w:t>the</w:t>
      </w:r>
      <w:r>
        <w:rPr>
          <w:spacing w:val="-3"/>
        </w:rPr>
        <w:t> </w:t>
      </w:r>
      <w:r>
        <w:rPr/>
        <w:t>POLG</w:t>
      </w:r>
      <w:r>
        <w:rPr>
          <w:spacing w:val="-3"/>
        </w:rPr>
        <w:t> </w:t>
      </w:r>
      <w:r>
        <w:rPr/>
        <w:t>mutations</w:t>
      </w:r>
      <w:r>
        <w:rPr>
          <w:spacing w:val="-3"/>
        </w:rPr>
        <w:t> </w:t>
      </w:r>
      <w:r>
        <w:rPr/>
        <w:t>of</w:t>
      </w:r>
      <w:r>
        <w:rPr>
          <w:spacing w:val="-3"/>
        </w:rPr>
        <w:t> </w:t>
      </w:r>
      <w:r>
        <w:rPr/>
        <w:t>the</w:t>
      </w:r>
      <w:r>
        <w:rPr>
          <w:spacing w:val="-3"/>
        </w:rPr>
        <w:t> </w:t>
      </w:r>
      <w:r>
        <w:rPr/>
        <w:t>peptide</w:t>
      </w:r>
      <w:r>
        <w:rPr>
          <w:spacing w:val="-3"/>
        </w:rPr>
        <w:t> </w:t>
      </w:r>
      <w:r>
        <w:rPr/>
        <w:t>residues</w:t>
      </w:r>
      <w:r>
        <w:rPr>
          <w:spacing w:val="-3"/>
        </w:rPr>
        <w:t> </w:t>
      </w:r>
      <w:r>
        <w:rPr/>
        <w:t>with</w:t>
      </w:r>
      <w:r>
        <w:rPr>
          <w:spacing w:val="-3"/>
        </w:rPr>
        <w:t> </w:t>
      </w:r>
      <w:r>
        <w:rPr/>
        <w:t>G923D, R943H, R953C, Y955C and A957S, respectively.</w:t>
      </w:r>
    </w:p>
    <w:p>
      <w:pPr>
        <w:pStyle w:val="BodyText"/>
        <w:spacing w:line="249" w:lineRule="auto" w:before="202"/>
        <w:ind w:left="1560" w:right="400"/>
      </w:pPr>
      <w:r>
        <w:rPr/>
        <w:t>Mitochondrial DNA </w:t>
      </w:r>
      <w:r>
        <w:rPr>
          <w:i/>
        </w:rPr>
        <w:t>POLG </w:t>
      </w:r>
      <w:r>
        <w:rPr/>
        <w:t>mutations are associated with sPOI in combination with other mitochondrial diseases, particularly PEO. We screened 201 women with 46,XX sPOI for five </w:t>
      </w:r>
      <w:r>
        <w:rPr>
          <w:i/>
        </w:rPr>
        <w:t>POLG </w:t>
      </w:r>
      <w:r>
        <w:rPr/>
        <w:t>mutations with known association with PEO, including Y955C and R943H, which have also been associated with sPOI (1,3,4). Only 1 of the 201 women we screened (0.5%) demonstrated heterozygosity for a single </w:t>
      </w:r>
      <w:r>
        <w:rPr>
          <w:i/>
        </w:rPr>
        <w:t>POLG </w:t>
      </w:r>
      <w:r>
        <w:rPr/>
        <w:t>mutation--c2857C&gt;T (R953C) (Table</w:t>
      </w:r>
      <w:r>
        <w:rPr>
          <w:spacing w:val="-3"/>
        </w:rPr>
        <w:t> </w:t>
      </w:r>
      <w:r>
        <w:rPr/>
        <w:t>1).</w:t>
      </w:r>
      <w:r>
        <w:rPr>
          <w:spacing w:val="-3"/>
        </w:rPr>
        <w:t> </w:t>
      </w:r>
      <w:r>
        <w:rPr/>
        <w:t>Based</w:t>
      </w:r>
      <w:r>
        <w:rPr>
          <w:spacing w:val="-3"/>
        </w:rPr>
        <w:t> </w:t>
      </w:r>
      <w:r>
        <w:rPr/>
        <w:t>on</w:t>
      </w:r>
      <w:r>
        <w:rPr>
          <w:spacing w:val="-3"/>
        </w:rPr>
        <w:t> </w:t>
      </w:r>
      <w:r>
        <w:rPr/>
        <w:t>this</w:t>
      </w:r>
      <w:r>
        <w:rPr>
          <w:spacing w:val="-3"/>
        </w:rPr>
        <w:t> </w:t>
      </w:r>
      <w:r>
        <w:rPr/>
        <w:t>observation,</w:t>
      </w:r>
      <w:r>
        <w:rPr>
          <w:spacing w:val="-3"/>
        </w:rPr>
        <w:t> </w:t>
      </w:r>
      <w:r>
        <w:rPr/>
        <w:t>95%</w:t>
      </w:r>
      <w:r>
        <w:rPr>
          <w:spacing w:val="-3"/>
        </w:rPr>
        <w:t> </w:t>
      </w:r>
      <w:r>
        <w:rPr/>
        <w:t>confidence</w:t>
      </w:r>
      <w:r>
        <w:rPr>
          <w:spacing w:val="-3"/>
        </w:rPr>
        <w:t> </w:t>
      </w:r>
      <w:r>
        <w:rPr/>
        <w:t>level</w:t>
      </w:r>
      <w:r>
        <w:rPr>
          <w:spacing w:val="-3"/>
        </w:rPr>
        <w:t> </w:t>
      </w:r>
      <w:r>
        <w:rPr/>
        <w:t>indicates</w:t>
      </w:r>
      <w:r>
        <w:rPr>
          <w:spacing w:val="-3"/>
        </w:rPr>
        <w:t> </w:t>
      </w:r>
      <w:r>
        <w:rPr/>
        <w:t>the</w:t>
      </w:r>
      <w:r>
        <w:rPr>
          <w:spacing w:val="-3"/>
        </w:rPr>
        <w:t> </w:t>
      </w:r>
      <w:r>
        <w:rPr/>
        <w:t>frequency</w:t>
      </w:r>
      <w:r>
        <w:rPr>
          <w:spacing w:val="-3"/>
        </w:rPr>
        <w:t> </w:t>
      </w:r>
      <w:r>
        <w:rPr/>
        <w:t>of</w:t>
      </w:r>
      <w:r>
        <w:rPr>
          <w:spacing w:val="-3"/>
        </w:rPr>
        <w:t> </w:t>
      </w:r>
      <w:r>
        <w:rPr/>
        <w:t>these </w:t>
      </w:r>
      <w:r>
        <w:rPr>
          <w:i/>
        </w:rPr>
        <w:t>POLG </w:t>
      </w:r>
      <w:r>
        <w:rPr/>
        <w:t>mutations accounts for &lt;3% of cases of 46,XX sPOI.</w:t>
      </w:r>
    </w:p>
    <w:p>
      <w:pPr>
        <w:pStyle w:val="BodyText"/>
        <w:spacing w:line="249" w:lineRule="auto" w:before="206"/>
        <w:ind w:left="1560" w:right="366"/>
      </w:pPr>
      <w:r>
        <w:rPr/>
        <w:t>The woman found to have a heterozygous </w:t>
      </w:r>
      <w:r>
        <w:rPr>
          <w:i/>
        </w:rPr>
        <w:t>POLG </w:t>
      </w:r>
      <w:r>
        <w:rPr/>
        <w:t>mutation was an otherwise healthy, 28- year</w:t>
      </w:r>
      <w:r>
        <w:rPr>
          <w:spacing w:val="-1"/>
        </w:rPr>
        <w:t> </w:t>
      </w:r>
      <w:r>
        <w:rPr/>
        <w:t>old</w:t>
      </w:r>
      <w:r>
        <w:rPr>
          <w:spacing w:val="-1"/>
        </w:rPr>
        <w:t> </w:t>
      </w:r>
      <w:r>
        <w:rPr/>
        <w:t>Caucasian.</w:t>
      </w:r>
      <w:r>
        <w:rPr>
          <w:spacing w:val="-1"/>
        </w:rPr>
        <w:t> </w:t>
      </w:r>
      <w:r>
        <w:rPr/>
        <w:t>She</w:t>
      </w:r>
      <w:r>
        <w:rPr>
          <w:spacing w:val="-1"/>
        </w:rPr>
        <w:t> </w:t>
      </w:r>
      <w:r>
        <w:rPr/>
        <w:t>had</w:t>
      </w:r>
      <w:r>
        <w:rPr>
          <w:spacing w:val="-1"/>
        </w:rPr>
        <w:t> </w:t>
      </w:r>
      <w:r>
        <w:rPr/>
        <w:t>menarche</w:t>
      </w:r>
      <w:r>
        <w:rPr>
          <w:spacing w:val="-1"/>
        </w:rPr>
        <w:t> </w:t>
      </w:r>
      <w:r>
        <w:rPr/>
        <w:t>at</w:t>
      </w:r>
      <w:r>
        <w:rPr>
          <w:spacing w:val="-1"/>
        </w:rPr>
        <w:t> </w:t>
      </w:r>
      <w:r>
        <w:rPr/>
        <w:t>age</w:t>
      </w:r>
      <w:r>
        <w:rPr>
          <w:spacing w:val="-1"/>
        </w:rPr>
        <w:t> </w:t>
      </w:r>
      <w:r>
        <w:rPr/>
        <w:t>11</w:t>
      </w:r>
      <w:r>
        <w:rPr>
          <w:spacing w:val="-1"/>
        </w:rPr>
        <w:t> </w:t>
      </w:r>
      <w:r>
        <w:rPr/>
        <w:t>and</w:t>
      </w:r>
      <w:r>
        <w:rPr>
          <w:spacing w:val="-1"/>
        </w:rPr>
        <w:t> </w:t>
      </w:r>
      <w:r>
        <w:rPr/>
        <w:t>normal</w:t>
      </w:r>
      <w:r>
        <w:rPr>
          <w:spacing w:val="-1"/>
        </w:rPr>
        <w:t> </w:t>
      </w:r>
      <w:r>
        <w:rPr/>
        <w:t>monthly</w:t>
      </w:r>
      <w:r>
        <w:rPr>
          <w:spacing w:val="-1"/>
        </w:rPr>
        <w:t> </w:t>
      </w:r>
      <w:r>
        <w:rPr/>
        <w:t>menses</w:t>
      </w:r>
      <w:r>
        <w:rPr>
          <w:spacing w:val="-1"/>
        </w:rPr>
        <w:t> </w:t>
      </w:r>
      <w:r>
        <w:rPr/>
        <w:t>until</w:t>
      </w:r>
      <w:r>
        <w:rPr>
          <w:spacing w:val="-1"/>
        </w:rPr>
        <w:t> </w:t>
      </w:r>
      <w:r>
        <w:rPr/>
        <w:t>age</w:t>
      </w:r>
      <w:r>
        <w:rPr>
          <w:spacing w:val="-1"/>
        </w:rPr>
        <w:t> </w:t>
      </w:r>
      <w:r>
        <w:rPr/>
        <w:t>28,</w:t>
      </w:r>
      <w:r>
        <w:rPr>
          <w:spacing w:val="-1"/>
        </w:rPr>
        <w:t> </w:t>
      </w:r>
      <w:r>
        <w:rPr/>
        <w:t>at which</w:t>
      </w:r>
      <w:r>
        <w:rPr>
          <w:spacing w:val="-3"/>
        </w:rPr>
        <w:t> </w:t>
      </w:r>
      <w:r>
        <w:rPr/>
        <w:t>time</w:t>
      </w:r>
      <w:r>
        <w:rPr>
          <w:spacing w:val="-3"/>
        </w:rPr>
        <w:t> </w:t>
      </w:r>
      <w:r>
        <w:rPr/>
        <w:t>she</w:t>
      </w:r>
      <w:r>
        <w:rPr>
          <w:spacing w:val="-3"/>
        </w:rPr>
        <w:t> </w:t>
      </w:r>
      <w:r>
        <w:rPr/>
        <w:t>developed</w:t>
      </w:r>
      <w:r>
        <w:rPr>
          <w:spacing w:val="-3"/>
        </w:rPr>
        <w:t> </w:t>
      </w:r>
      <w:r>
        <w:rPr/>
        <w:t>oligomenorrhea</w:t>
      </w:r>
      <w:r>
        <w:rPr>
          <w:spacing w:val="-3"/>
        </w:rPr>
        <w:t> </w:t>
      </w:r>
      <w:r>
        <w:rPr/>
        <w:t>(menses</w:t>
      </w:r>
      <w:r>
        <w:rPr>
          <w:spacing w:val="-3"/>
        </w:rPr>
        <w:t> </w:t>
      </w:r>
      <w:r>
        <w:rPr/>
        <w:t>every</w:t>
      </w:r>
      <w:r>
        <w:rPr>
          <w:spacing w:val="-3"/>
        </w:rPr>
        <w:t> </w:t>
      </w:r>
      <w:r>
        <w:rPr/>
        <w:t>3</w:t>
      </w:r>
      <w:r>
        <w:rPr>
          <w:spacing w:val="-3"/>
        </w:rPr>
        <w:t> </w:t>
      </w:r>
      <w:r>
        <w:rPr/>
        <w:t>to</w:t>
      </w:r>
      <w:r>
        <w:rPr>
          <w:spacing w:val="-3"/>
        </w:rPr>
        <w:t> </w:t>
      </w:r>
      <w:r>
        <w:rPr/>
        <w:t>4</w:t>
      </w:r>
      <w:r>
        <w:rPr>
          <w:spacing w:val="-3"/>
        </w:rPr>
        <w:t> </w:t>
      </w:r>
      <w:r>
        <w:rPr/>
        <w:t>months).</w:t>
      </w:r>
      <w:r>
        <w:rPr>
          <w:spacing w:val="-3"/>
        </w:rPr>
        <w:t> </w:t>
      </w:r>
      <w:r>
        <w:rPr/>
        <w:t>She</w:t>
      </w:r>
      <w:r>
        <w:rPr>
          <w:spacing w:val="-3"/>
        </w:rPr>
        <w:t> </w:t>
      </w:r>
      <w:r>
        <w:rPr/>
        <w:t>was</w:t>
      </w:r>
      <w:r>
        <w:rPr>
          <w:spacing w:val="-3"/>
        </w:rPr>
        <w:t> </w:t>
      </w:r>
      <w:r>
        <w:rPr/>
        <w:t>diagnosed with sPOI after fertility workup showed menopausal range FSH. She had been attempting pregnancy for approximately 5 years without success. In addition to sPOI, she had one co-</w:t>
      </w:r>
    </w:p>
    <w:p>
      <w:pPr>
        <w:pStyle w:val="BodyText"/>
        <w:spacing w:after="0" w:line="249" w:lineRule="auto"/>
        <w:sectPr>
          <w:footerReference w:type="default" r:id="rId7"/>
          <w:pgSz w:w="12240" w:h="15840"/>
          <w:pgMar w:header="0" w:footer="1355" w:top="660" w:bottom="1540" w:left="1440" w:right="1440"/>
        </w:sectPr>
      </w:pPr>
    </w:p>
    <w:p>
      <w:pPr>
        <w:tabs>
          <w:tab w:pos="8568" w:val="left" w:leader="none"/>
        </w:tabs>
        <w:spacing w:before="76"/>
        <w:ind w:left="120" w:right="0" w:firstLine="0"/>
        <w:jc w:val="left"/>
        <w:rPr>
          <w:sz w:val="16"/>
        </w:rPr>
      </w:pPr>
      <w:r>
        <w:rPr>
          <w:sz w:val="16"/>
        </w:rPr>
        <mc:AlternateContent>
          <mc:Choice Requires="wps">
            <w:drawing>
              <wp:anchor distT="0" distB="0" distL="0" distR="0" allowOverlap="1" layoutInCell="1" locked="0" behindDoc="0" simplePos="0" relativeHeight="15733248">
                <wp:simplePos x="0" y="0"/>
                <wp:positionH relativeFrom="page">
                  <wp:posOffset>228600</wp:posOffset>
                </wp:positionH>
                <wp:positionV relativeFrom="page">
                  <wp:posOffset>457200</wp:posOffset>
                </wp:positionV>
                <wp:extent cx="228600" cy="86868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rect style="position:absolute;margin-left:18pt;margin-top:36pt;width:18pt;height:684pt;mso-position-horizontal-relative:page;mso-position-vertical-relative:page;z-index:15733248" id="docshape15" filled="true" fillcolor="#b4c6de" stroked="false">
                <v:fill type="solid"/>
                <w10:wrap type="none"/>
              </v:rect>
            </w:pict>
          </mc:Fallback>
        </mc:AlternateContent>
      </w:r>
      <w:r>
        <w:rPr>
          <w:sz w:val="16"/>
        </w:rPr>
        <mc:AlternateContent>
          <mc:Choice Requires="wps">
            <w:drawing>
              <wp:anchor distT="0" distB="0" distL="0" distR="0" allowOverlap="1" layoutInCell="1" locked="0" behindDoc="0" simplePos="0" relativeHeight="15733760">
                <wp:simplePos x="0" y="0"/>
                <wp:positionH relativeFrom="page">
                  <wp:posOffset>254000</wp:posOffset>
                </wp:positionH>
                <wp:positionV relativeFrom="page">
                  <wp:posOffset>1180194</wp:posOffset>
                </wp:positionV>
                <wp:extent cx="196215" cy="182181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92.928711pt;width:15.45pt;height:143.450pt;mso-position-horizontal-relative:page;mso-position-vertical-relative:page;z-index:15733760" type="#_x0000_t202" id="docshape16"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4272">
                <wp:simplePos x="0" y="0"/>
                <wp:positionH relativeFrom="page">
                  <wp:posOffset>254000</wp:posOffset>
                </wp:positionH>
                <wp:positionV relativeFrom="page">
                  <wp:posOffset>3890407</wp:posOffset>
                </wp:positionV>
                <wp:extent cx="196215" cy="182181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306.331268pt;width:15.45pt;height:143.450pt;mso-position-horizontal-relative:page;mso-position-vertical-relative:page;z-index:15734272" type="#_x0000_t202" id="docshape17"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4784">
                <wp:simplePos x="0" y="0"/>
                <wp:positionH relativeFrom="page">
                  <wp:posOffset>254000</wp:posOffset>
                </wp:positionH>
                <wp:positionV relativeFrom="page">
                  <wp:posOffset>6600619</wp:posOffset>
                </wp:positionV>
                <wp:extent cx="196215" cy="182181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519.733826pt;width:15.45pt;height:143.450pt;mso-position-horizontal-relative:page;mso-position-vertical-relative:page;z-index:15734784" type="#_x0000_t202" id="docshape18"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w:t>Tong et </w:t>
      </w:r>
      <w:r>
        <w:rPr>
          <w:spacing w:val="-5"/>
          <w:sz w:val="16"/>
        </w:rPr>
        <w:t>al.</w:t>
      </w:r>
      <w:r>
        <w:rPr>
          <w:sz w:val="16"/>
        </w:rPr>
        <w:tab/>
        <w:t>Page </w:t>
      </w:r>
      <w:r>
        <w:rPr>
          <w:spacing w:val="-10"/>
          <w:sz w:val="16"/>
        </w:rPr>
        <w:t>3</w:t>
      </w:r>
    </w:p>
    <w:p>
      <w:pPr>
        <w:pStyle w:val="BodyText"/>
        <w:spacing w:before="40"/>
      </w:pPr>
    </w:p>
    <w:p>
      <w:pPr>
        <w:pStyle w:val="BodyText"/>
        <w:spacing w:line="249" w:lineRule="auto"/>
        <w:ind w:left="1560" w:right="366"/>
      </w:pPr>
      <w:r>
        <w:rPr/>
        <w:t>morbid medical condition, Meniere’s syndrome, characterized by episodic vertigo, tinnitus, and</w:t>
      </w:r>
      <w:r>
        <w:rPr>
          <w:spacing w:val="-2"/>
        </w:rPr>
        <w:t> </w:t>
      </w:r>
      <w:r>
        <w:rPr/>
        <w:t>hearing</w:t>
      </w:r>
      <w:r>
        <w:rPr>
          <w:spacing w:val="-2"/>
        </w:rPr>
        <w:t> </w:t>
      </w:r>
      <w:r>
        <w:rPr/>
        <w:t>loss</w:t>
      </w:r>
      <w:r>
        <w:rPr>
          <w:spacing w:val="-2"/>
        </w:rPr>
        <w:t> </w:t>
      </w:r>
      <w:r>
        <w:rPr/>
        <w:t>due</w:t>
      </w:r>
      <w:r>
        <w:rPr>
          <w:spacing w:val="-2"/>
        </w:rPr>
        <w:t> </w:t>
      </w:r>
      <w:r>
        <w:rPr/>
        <w:t>to</w:t>
      </w:r>
      <w:r>
        <w:rPr>
          <w:spacing w:val="-2"/>
        </w:rPr>
        <w:t> </w:t>
      </w:r>
      <w:r>
        <w:rPr/>
        <w:t>damage</w:t>
      </w:r>
      <w:r>
        <w:rPr>
          <w:spacing w:val="-2"/>
        </w:rPr>
        <w:t> </w:t>
      </w:r>
      <w:r>
        <w:rPr/>
        <w:t>to</w:t>
      </w:r>
      <w:r>
        <w:rPr>
          <w:spacing w:val="-2"/>
        </w:rPr>
        <w:t> </w:t>
      </w:r>
      <w:r>
        <w:rPr/>
        <w:t>the</w:t>
      </w:r>
      <w:r>
        <w:rPr>
          <w:spacing w:val="-2"/>
        </w:rPr>
        <w:t> </w:t>
      </w:r>
      <w:r>
        <w:rPr/>
        <w:t>inner</w:t>
      </w:r>
      <w:r>
        <w:rPr>
          <w:spacing w:val="-2"/>
        </w:rPr>
        <w:t> </w:t>
      </w:r>
      <w:r>
        <w:rPr/>
        <w:t>ear.</w:t>
      </w:r>
      <w:r>
        <w:rPr>
          <w:spacing w:val="-2"/>
        </w:rPr>
        <w:t> </w:t>
      </w:r>
      <w:r>
        <w:rPr/>
        <w:t>She</w:t>
      </w:r>
      <w:r>
        <w:rPr>
          <w:spacing w:val="-2"/>
        </w:rPr>
        <w:t> </w:t>
      </w:r>
      <w:r>
        <w:rPr/>
        <w:t>had</w:t>
      </w:r>
      <w:r>
        <w:rPr>
          <w:spacing w:val="-2"/>
        </w:rPr>
        <w:t> </w:t>
      </w:r>
      <w:r>
        <w:rPr/>
        <w:t>no</w:t>
      </w:r>
      <w:r>
        <w:rPr>
          <w:spacing w:val="-2"/>
        </w:rPr>
        <w:t> </w:t>
      </w:r>
      <w:r>
        <w:rPr/>
        <w:t>current</w:t>
      </w:r>
      <w:r>
        <w:rPr>
          <w:spacing w:val="-2"/>
        </w:rPr>
        <w:t> </w:t>
      </w:r>
      <w:r>
        <w:rPr/>
        <w:t>or</w:t>
      </w:r>
      <w:r>
        <w:rPr>
          <w:spacing w:val="-2"/>
        </w:rPr>
        <w:t> </w:t>
      </w:r>
      <w:r>
        <w:rPr/>
        <w:t>past</w:t>
      </w:r>
      <w:r>
        <w:rPr>
          <w:spacing w:val="-2"/>
        </w:rPr>
        <w:t> </w:t>
      </w:r>
      <w:r>
        <w:rPr/>
        <w:t>history</w:t>
      </w:r>
      <w:r>
        <w:rPr>
          <w:spacing w:val="-2"/>
        </w:rPr>
        <w:t> </w:t>
      </w:r>
      <w:r>
        <w:rPr/>
        <w:t>of</w:t>
      </w:r>
      <w:r>
        <w:rPr>
          <w:spacing w:val="-2"/>
        </w:rPr>
        <w:t> </w:t>
      </w:r>
      <w:r>
        <w:rPr/>
        <w:t>anxiety or depression, and no autoimmune disorders. Family history was negative for infertility, sPOI</w:t>
      </w:r>
      <w:r>
        <w:rPr>
          <w:spacing w:val="-4"/>
        </w:rPr>
        <w:t> </w:t>
      </w:r>
      <w:r>
        <w:rPr/>
        <w:t>or</w:t>
      </w:r>
      <w:r>
        <w:rPr>
          <w:spacing w:val="-4"/>
        </w:rPr>
        <w:t> </w:t>
      </w:r>
      <w:r>
        <w:rPr/>
        <w:t>other</w:t>
      </w:r>
      <w:r>
        <w:rPr>
          <w:spacing w:val="-4"/>
        </w:rPr>
        <w:t> </w:t>
      </w:r>
      <w:r>
        <w:rPr/>
        <w:t>menstrual</w:t>
      </w:r>
      <w:r>
        <w:rPr>
          <w:spacing w:val="-4"/>
        </w:rPr>
        <w:t> </w:t>
      </w:r>
      <w:r>
        <w:rPr/>
        <w:t>irregularity;</w:t>
      </w:r>
      <w:r>
        <w:rPr>
          <w:spacing w:val="-4"/>
        </w:rPr>
        <w:t> </w:t>
      </w:r>
      <w:r>
        <w:rPr/>
        <w:t>neurologic</w:t>
      </w:r>
      <w:r>
        <w:rPr>
          <w:spacing w:val="-4"/>
        </w:rPr>
        <w:t> </w:t>
      </w:r>
      <w:r>
        <w:rPr/>
        <w:t>disorders,</w:t>
      </w:r>
      <w:r>
        <w:rPr>
          <w:spacing w:val="-4"/>
        </w:rPr>
        <w:t> </w:t>
      </w:r>
      <w:r>
        <w:rPr/>
        <w:t>including</w:t>
      </w:r>
      <w:r>
        <w:rPr>
          <w:spacing w:val="-4"/>
        </w:rPr>
        <w:t> </w:t>
      </w:r>
      <w:r>
        <w:rPr/>
        <w:t>PEO</w:t>
      </w:r>
      <w:r>
        <w:rPr>
          <w:spacing w:val="-4"/>
        </w:rPr>
        <w:t> </w:t>
      </w:r>
      <w:r>
        <w:rPr/>
        <w:t>or</w:t>
      </w:r>
      <w:r>
        <w:rPr>
          <w:spacing w:val="-4"/>
        </w:rPr>
        <w:t> </w:t>
      </w:r>
      <w:r>
        <w:rPr/>
        <w:t>PD;</w:t>
      </w:r>
      <w:r>
        <w:rPr>
          <w:spacing w:val="-4"/>
        </w:rPr>
        <w:t> </w:t>
      </w:r>
      <w:r>
        <w:rPr/>
        <w:t>and,</w:t>
      </w:r>
      <w:r>
        <w:rPr>
          <w:spacing w:val="-4"/>
        </w:rPr>
        <w:t> </w:t>
      </w:r>
      <w:r>
        <w:rPr/>
        <w:t>except for alopecia in a maternal grandmother, negative for autoimmune disease. At the NIH, this patient’s mean serum FSH was 72.7 U/L, LH 53.7 U/L, estradiol 58.2 pg/mL, and progesterone 0.5 ng/mL. Anti-adrenal and 21-hydroxylase antibodies were negative. </w:t>
      </w:r>
      <w:r>
        <w:rPr>
          <w:i/>
        </w:rPr>
        <w:t>FMR1 </w:t>
      </w:r>
      <w:r>
        <w:rPr/>
        <w:t>premutation testing was normal, ruling out Fragile X-associated POI. Transvaginal ultrasound showed an 8 mm endometrial stripe, a 2.4×2.5×0.9 cm left ovary without evident follicles and a 2.7×1.0×2.3 cm right ovary with one 9 mm follicle.</w:t>
      </w:r>
    </w:p>
    <w:p>
      <w:pPr>
        <w:pStyle w:val="BodyText"/>
        <w:spacing w:line="249" w:lineRule="auto" w:before="208"/>
        <w:ind w:left="1559" w:right="400"/>
      </w:pPr>
      <w:r>
        <w:rPr/>
        <w:t>The</w:t>
      </w:r>
      <w:r>
        <w:rPr>
          <w:spacing w:val="-3"/>
        </w:rPr>
        <w:t> </w:t>
      </w:r>
      <w:r>
        <w:rPr>
          <w:i/>
        </w:rPr>
        <w:t>POLG</w:t>
      </w:r>
      <w:r>
        <w:rPr>
          <w:i/>
          <w:spacing w:val="-3"/>
        </w:rPr>
        <w:t> </w:t>
      </w:r>
      <w:r>
        <w:rPr/>
        <w:t>R953C</w:t>
      </w:r>
      <w:r>
        <w:rPr>
          <w:spacing w:val="-3"/>
        </w:rPr>
        <w:t> </w:t>
      </w:r>
      <w:r>
        <w:rPr/>
        <w:t>mutation</w:t>
      </w:r>
      <w:r>
        <w:rPr>
          <w:spacing w:val="-3"/>
        </w:rPr>
        <w:t> </w:t>
      </w:r>
      <w:r>
        <w:rPr/>
        <w:t>has</w:t>
      </w:r>
      <w:r>
        <w:rPr>
          <w:spacing w:val="-3"/>
        </w:rPr>
        <w:t> </w:t>
      </w:r>
      <w:r>
        <w:rPr/>
        <w:t>not</w:t>
      </w:r>
      <w:r>
        <w:rPr>
          <w:spacing w:val="-3"/>
        </w:rPr>
        <w:t> </w:t>
      </w:r>
      <w:r>
        <w:rPr/>
        <w:t>been</w:t>
      </w:r>
      <w:r>
        <w:rPr>
          <w:spacing w:val="-3"/>
        </w:rPr>
        <w:t> </w:t>
      </w:r>
      <w:r>
        <w:rPr/>
        <w:t>definitively</w:t>
      </w:r>
      <w:r>
        <w:rPr>
          <w:spacing w:val="-3"/>
        </w:rPr>
        <w:t> </w:t>
      </w:r>
      <w:r>
        <w:rPr/>
        <w:t>associated</w:t>
      </w:r>
      <w:r>
        <w:rPr>
          <w:spacing w:val="-3"/>
        </w:rPr>
        <w:t> </w:t>
      </w:r>
      <w:r>
        <w:rPr/>
        <w:t>with</w:t>
      </w:r>
      <w:r>
        <w:rPr>
          <w:spacing w:val="-3"/>
        </w:rPr>
        <w:t> </w:t>
      </w:r>
      <w:r>
        <w:rPr/>
        <w:t>sPOI,</w:t>
      </w:r>
      <w:r>
        <w:rPr>
          <w:spacing w:val="-3"/>
        </w:rPr>
        <w:t> </w:t>
      </w:r>
      <w:r>
        <w:rPr/>
        <w:t>although</w:t>
      </w:r>
      <w:r>
        <w:rPr>
          <w:spacing w:val="-3"/>
        </w:rPr>
        <w:t> </w:t>
      </w:r>
      <w:r>
        <w:rPr/>
        <w:t>such</w:t>
      </w:r>
      <w:r>
        <w:rPr>
          <w:spacing w:val="-3"/>
        </w:rPr>
        <w:t> </w:t>
      </w:r>
      <w:r>
        <w:rPr/>
        <w:t>a relationship</w:t>
      </w:r>
      <w:r>
        <w:rPr>
          <w:spacing w:val="-3"/>
        </w:rPr>
        <w:t> </w:t>
      </w:r>
      <w:r>
        <w:rPr/>
        <w:t>has</w:t>
      </w:r>
      <w:r>
        <w:rPr>
          <w:spacing w:val="-3"/>
        </w:rPr>
        <w:t> </w:t>
      </w:r>
      <w:r>
        <w:rPr/>
        <w:t>been</w:t>
      </w:r>
      <w:r>
        <w:rPr>
          <w:spacing w:val="-3"/>
        </w:rPr>
        <w:t> </w:t>
      </w:r>
      <w:r>
        <w:rPr/>
        <w:t>suggested</w:t>
      </w:r>
      <w:r>
        <w:rPr>
          <w:spacing w:val="-3"/>
        </w:rPr>
        <w:t> </w:t>
      </w:r>
      <w:r>
        <w:rPr/>
        <w:t>by</w:t>
      </w:r>
      <w:r>
        <w:rPr>
          <w:spacing w:val="-3"/>
        </w:rPr>
        <w:t> </w:t>
      </w:r>
      <w:r>
        <w:rPr/>
        <w:t>its</w:t>
      </w:r>
      <w:r>
        <w:rPr>
          <w:spacing w:val="-3"/>
        </w:rPr>
        <w:t> </w:t>
      </w:r>
      <w:r>
        <w:rPr/>
        <w:t>association</w:t>
      </w:r>
      <w:r>
        <w:rPr>
          <w:spacing w:val="-3"/>
        </w:rPr>
        <w:t> </w:t>
      </w:r>
      <w:r>
        <w:rPr/>
        <w:t>with</w:t>
      </w:r>
      <w:r>
        <w:rPr>
          <w:spacing w:val="-3"/>
        </w:rPr>
        <w:t> </w:t>
      </w:r>
      <w:r>
        <w:rPr/>
        <w:t>a</w:t>
      </w:r>
      <w:r>
        <w:rPr>
          <w:spacing w:val="-3"/>
        </w:rPr>
        <w:t> </w:t>
      </w:r>
      <w:r>
        <w:rPr/>
        <w:t>Parkinson’s-like</w:t>
      </w:r>
      <w:r>
        <w:rPr>
          <w:spacing w:val="-3"/>
        </w:rPr>
        <w:t> </w:t>
      </w:r>
      <w:r>
        <w:rPr/>
        <w:t>syndrome</w:t>
      </w:r>
      <w:r>
        <w:rPr>
          <w:spacing w:val="-3"/>
        </w:rPr>
        <w:t> </w:t>
      </w:r>
      <w:r>
        <w:rPr/>
        <w:t>that</w:t>
      </w:r>
      <w:r>
        <w:rPr>
          <w:spacing w:val="-3"/>
        </w:rPr>
        <w:t> </w:t>
      </w:r>
      <w:r>
        <w:rPr/>
        <w:t>co- segregates with POI within families (1). Thus, the </w:t>
      </w:r>
      <w:r>
        <w:rPr>
          <w:i/>
        </w:rPr>
        <w:t>POLG </w:t>
      </w:r>
      <w:r>
        <w:rPr/>
        <w:t>R953C mutation may be a rare cause of sPOI due to mitochondrial dysfunction. A direct relationship between the R953C mutation and sPOI cannot be determined from this study. However, previous work has shown that neither the R953C nor any other </w:t>
      </w:r>
      <w:r>
        <w:rPr>
          <w:i/>
        </w:rPr>
        <w:t>POLG </w:t>
      </w:r>
      <w:r>
        <w:rPr/>
        <w:t>mutations were present among 1640 healthy controls (1), suggesting the possibility of a causal association with this fertility disorder. However, whether R953C is a rare DNA sequence variant or a true functional mutation cannot be determined from this study or previous studies, given that impaired function due to the mutation has not been demonstrated </w:t>
      </w:r>
      <w:r>
        <w:rPr>
          <w:i/>
        </w:rPr>
        <w:t>in vitro</w:t>
      </w:r>
      <w:r>
        <w:rPr/>
        <w:t>. Further investigation is needed to clarify this.</w:t>
      </w:r>
    </w:p>
    <w:p>
      <w:pPr>
        <w:pStyle w:val="BodyText"/>
        <w:spacing w:line="249" w:lineRule="auto" w:before="209"/>
        <w:ind w:left="1559" w:right="366"/>
      </w:pPr>
      <w:r>
        <w:rPr/>
        <w:t>Together, these data demonstrate that these five </w:t>
      </w:r>
      <w:r>
        <w:rPr>
          <w:i/>
        </w:rPr>
        <w:t>POLG </w:t>
      </w:r>
      <w:r>
        <w:rPr/>
        <w:t>mutations are not a prevalent</w:t>
      </w:r>
      <w:r>
        <w:rPr>
          <w:spacing w:val="40"/>
        </w:rPr>
        <w:t> </w:t>
      </w:r>
      <w:r>
        <w:rPr/>
        <w:t>etiology of sPOI. This is in agreement with similar studies in infertile males, in which patients were screened for </w:t>
      </w:r>
      <w:r>
        <w:rPr>
          <w:i/>
        </w:rPr>
        <w:t>POLG </w:t>
      </w:r>
      <w:r>
        <w:rPr/>
        <w:t>CAG repeat polymorphisms that had previously been associated with primary gonadal insufficiency (14,15). Only 3% of infertile males screened were</w:t>
      </w:r>
      <w:r>
        <w:rPr>
          <w:spacing w:val="-3"/>
        </w:rPr>
        <w:t> </w:t>
      </w:r>
      <w:r>
        <w:rPr/>
        <w:t>found</w:t>
      </w:r>
      <w:r>
        <w:rPr>
          <w:spacing w:val="-3"/>
        </w:rPr>
        <w:t> </w:t>
      </w:r>
      <w:r>
        <w:rPr/>
        <w:t>to</w:t>
      </w:r>
      <w:r>
        <w:rPr>
          <w:spacing w:val="-3"/>
        </w:rPr>
        <w:t> </w:t>
      </w:r>
      <w:r>
        <w:rPr/>
        <w:t>be</w:t>
      </w:r>
      <w:r>
        <w:rPr>
          <w:spacing w:val="-3"/>
        </w:rPr>
        <w:t> </w:t>
      </w:r>
      <w:r>
        <w:rPr/>
        <w:t>homozygous</w:t>
      </w:r>
      <w:r>
        <w:rPr>
          <w:spacing w:val="-3"/>
        </w:rPr>
        <w:t> </w:t>
      </w:r>
      <w:r>
        <w:rPr/>
        <w:t>carriers</w:t>
      </w:r>
      <w:r>
        <w:rPr>
          <w:spacing w:val="-3"/>
        </w:rPr>
        <w:t> </w:t>
      </w:r>
      <w:r>
        <w:rPr/>
        <w:t>of</w:t>
      </w:r>
      <w:r>
        <w:rPr>
          <w:spacing w:val="-3"/>
        </w:rPr>
        <w:t> </w:t>
      </w:r>
      <w:r>
        <w:rPr/>
        <w:t>the</w:t>
      </w:r>
      <w:r>
        <w:rPr>
          <w:spacing w:val="-3"/>
        </w:rPr>
        <w:t> </w:t>
      </w:r>
      <w:r>
        <w:rPr/>
        <w:t>mutations,</w:t>
      </w:r>
      <w:r>
        <w:rPr>
          <w:spacing w:val="-3"/>
        </w:rPr>
        <w:t> </w:t>
      </w:r>
      <w:r>
        <w:rPr/>
        <w:t>and</w:t>
      </w:r>
      <w:r>
        <w:rPr>
          <w:spacing w:val="-3"/>
        </w:rPr>
        <w:t> </w:t>
      </w:r>
      <w:r>
        <w:rPr/>
        <w:t>half</w:t>
      </w:r>
      <w:r>
        <w:rPr>
          <w:spacing w:val="-3"/>
        </w:rPr>
        <w:t> </w:t>
      </w:r>
      <w:r>
        <w:rPr/>
        <w:t>of</w:t>
      </w:r>
      <w:r>
        <w:rPr>
          <w:spacing w:val="-3"/>
        </w:rPr>
        <w:t> </w:t>
      </w:r>
      <w:r>
        <w:rPr/>
        <w:t>these</w:t>
      </w:r>
      <w:r>
        <w:rPr>
          <w:spacing w:val="-3"/>
        </w:rPr>
        <w:t> </w:t>
      </w:r>
      <w:r>
        <w:rPr/>
        <w:t>reported</w:t>
      </w:r>
      <w:r>
        <w:rPr>
          <w:spacing w:val="-3"/>
        </w:rPr>
        <w:t> </w:t>
      </w:r>
      <w:r>
        <w:rPr/>
        <w:t>successful pregnancies despite presence of the mutation. In addition, 1% of fertile males were found to be homozygous carriers, providing further evidence that </w:t>
      </w:r>
      <w:r>
        <w:rPr>
          <w:i/>
        </w:rPr>
        <w:t>POLG </w:t>
      </w:r>
      <w:r>
        <w:rPr/>
        <w:t>dysfunction may not be a factor in primary gonadal insufficiency in men (16).</w:t>
      </w:r>
    </w:p>
    <w:p>
      <w:pPr>
        <w:pStyle w:val="BodyText"/>
        <w:spacing w:line="249" w:lineRule="auto" w:before="207"/>
        <w:ind w:left="1559" w:right="383"/>
      </w:pPr>
      <w:r>
        <w:rPr/>
        <w:t>The </w:t>
      </w:r>
      <w:r>
        <w:rPr>
          <w:i/>
        </w:rPr>
        <w:t>POLG </w:t>
      </w:r>
      <w:r>
        <w:rPr/>
        <w:t>mutations most commonly associated with sPOI to date, Y955C and R943H (1,3,4),</w:t>
      </w:r>
      <w:r>
        <w:rPr>
          <w:spacing w:val="-3"/>
        </w:rPr>
        <w:t> </w:t>
      </w:r>
      <w:r>
        <w:rPr/>
        <w:t>were</w:t>
      </w:r>
      <w:r>
        <w:rPr>
          <w:spacing w:val="-3"/>
        </w:rPr>
        <w:t> </w:t>
      </w:r>
      <w:r>
        <w:rPr/>
        <w:t>not</w:t>
      </w:r>
      <w:r>
        <w:rPr>
          <w:spacing w:val="-3"/>
        </w:rPr>
        <w:t> </w:t>
      </w:r>
      <w:r>
        <w:rPr/>
        <w:t>seen</w:t>
      </w:r>
      <w:r>
        <w:rPr>
          <w:spacing w:val="-3"/>
        </w:rPr>
        <w:t> </w:t>
      </w:r>
      <w:r>
        <w:rPr/>
        <w:t>in</w:t>
      </w:r>
      <w:r>
        <w:rPr>
          <w:spacing w:val="-3"/>
        </w:rPr>
        <w:t> </w:t>
      </w:r>
      <w:r>
        <w:rPr/>
        <w:t>any</w:t>
      </w:r>
      <w:r>
        <w:rPr>
          <w:spacing w:val="-3"/>
        </w:rPr>
        <w:t> </w:t>
      </w:r>
      <w:r>
        <w:rPr/>
        <w:t>of</w:t>
      </w:r>
      <w:r>
        <w:rPr>
          <w:spacing w:val="-3"/>
        </w:rPr>
        <w:t> </w:t>
      </w:r>
      <w:r>
        <w:rPr/>
        <w:t>the</w:t>
      </w:r>
      <w:r>
        <w:rPr>
          <w:spacing w:val="-3"/>
        </w:rPr>
        <w:t> </w:t>
      </w:r>
      <w:r>
        <w:rPr/>
        <w:t>women</w:t>
      </w:r>
      <w:r>
        <w:rPr>
          <w:spacing w:val="-3"/>
        </w:rPr>
        <w:t> </w:t>
      </w:r>
      <w:r>
        <w:rPr/>
        <w:t>we</w:t>
      </w:r>
      <w:r>
        <w:rPr>
          <w:spacing w:val="-3"/>
        </w:rPr>
        <w:t> </w:t>
      </w:r>
      <w:r>
        <w:rPr/>
        <w:t>screened.</w:t>
      </w:r>
      <w:r>
        <w:rPr>
          <w:spacing w:val="-3"/>
        </w:rPr>
        <w:t> </w:t>
      </w:r>
      <w:r>
        <w:rPr/>
        <w:t>The</w:t>
      </w:r>
      <w:r>
        <w:rPr>
          <w:spacing w:val="-3"/>
        </w:rPr>
        <w:t> </w:t>
      </w:r>
      <w:r>
        <w:rPr/>
        <w:t>prevalence</w:t>
      </w:r>
      <w:r>
        <w:rPr>
          <w:spacing w:val="-3"/>
        </w:rPr>
        <w:t> </w:t>
      </w:r>
      <w:r>
        <w:rPr/>
        <w:t>of</w:t>
      </w:r>
      <w:r>
        <w:rPr>
          <w:spacing w:val="-3"/>
        </w:rPr>
        <w:t> </w:t>
      </w:r>
      <w:r>
        <w:rPr>
          <w:i/>
        </w:rPr>
        <w:t>POLG</w:t>
      </w:r>
      <w:r>
        <w:rPr>
          <w:i/>
          <w:spacing w:val="-3"/>
        </w:rPr>
        <w:t> </w:t>
      </w:r>
      <w:r>
        <w:rPr/>
        <w:t>mutations is estimated to be as high as 1% in certain populations, including the U.S. (17). We cannot exclude the possibility that screening a larger number of patients would have shown more cases of </w:t>
      </w:r>
      <w:r>
        <w:rPr>
          <w:i/>
        </w:rPr>
        <w:t>POLG </w:t>
      </w:r>
      <w:r>
        <w:rPr/>
        <w:t>mutations associated with sPOI. Further, we only tested for 5 of the &gt;20 described </w:t>
      </w:r>
      <w:r>
        <w:rPr>
          <w:i/>
        </w:rPr>
        <w:t>POLG </w:t>
      </w:r>
      <w:r>
        <w:rPr/>
        <w:t>mutations, thus we are unable to exclude the possibility that mutations other than those we tested associate with sPOI.</w:t>
      </w:r>
    </w:p>
    <w:p>
      <w:pPr>
        <w:pStyle w:val="BodyText"/>
        <w:spacing w:line="249" w:lineRule="auto" w:before="205"/>
        <w:ind w:left="1559" w:right="400"/>
      </w:pPr>
      <w:r>
        <w:rPr/>
        <w:t>Whether</w:t>
      </w:r>
      <w:r>
        <w:rPr>
          <w:spacing w:val="-3"/>
        </w:rPr>
        <w:t> </w:t>
      </w:r>
      <w:r>
        <w:rPr/>
        <w:t>ovarian</w:t>
      </w:r>
      <w:r>
        <w:rPr>
          <w:spacing w:val="-3"/>
        </w:rPr>
        <w:t> </w:t>
      </w:r>
      <w:r>
        <w:rPr/>
        <w:t>dysfunction</w:t>
      </w:r>
      <w:r>
        <w:rPr>
          <w:spacing w:val="-3"/>
        </w:rPr>
        <w:t> </w:t>
      </w:r>
      <w:r>
        <w:rPr/>
        <w:t>due</w:t>
      </w:r>
      <w:r>
        <w:rPr>
          <w:spacing w:val="-3"/>
        </w:rPr>
        <w:t> </w:t>
      </w:r>
      <w:r>
        <w:rPr/>
        <w:t>to</w:t>
      </w:r>
      <w:r>
        <w:rPr>
          <w:spacing w:val="-3"/>
        </w:rPr>
        <w:t> </w:t>
      </w:r>
      <w:r>
        <w:rPr>
          <w:i/>
        </w:rPr>
        <w:t>POLG</w:t>
      </w:r>
      <w:r>
        <w:rPr>
          <w:i/>
          <w:spacing w:val="-3"/>
        </w:rPr>
        <w:t> </w:t>
      </w:r>
      <w:r>
        <w:rPr/>
        <w:t>mutations</w:t>
      </w:r>
      <w:r>
        <w:rPr>
          <w:spacing w:val="-3"/>
        </w:rPr>
        <w:t> </w:t>
      </w:r>
      <w:r>
        <w:rPr/>
        <w:t>is</w:t>
      </w:r>
      <w:r>
        <w:rPr>
          <w:spacing w:val="-3"/>
        </w:rPr>
        <w:t> </w:t>
      </w:r>
      <w:r>
        <w:rPr/>
        <w:t>due</w:t>
      </w:r>
      <w:r>
        <w:rPr>
          <w:spacing w:val="-3"/>
        </w:rPr>
        <w:t> </w:t>
      </w:r>
      <w:r>
        <w:rPr/>
        <w:t>to</w:t>
      </w:r>
      <w:r>
        <w:rPr>
          <w:spacing w:val="-3"/>
        </w:rPr>
        <w:t> </w:t>
      </w:r>
      <w:r>
        <w:rPr/>
        <w:t>follicle</w:t>
      </w:r>
      <w:r>
        <w:rPr>
          <w:spacing w:val="-3"/>
        </w:rPr>
        <w:t> </w:t>
      </w:r>
      <w:r>
        <w:rPr/>
        <w:t>depletion</w:t>
      </w:r>
      <w:r>
        <w:rPr>
          <w:spacing w:val="-3"/>
        </w:rPr>
        <w:t> </w:t>
      </w:r>
      <w:r>
        <w:rPr/>
        <w:t>or</w:t>
      </w:r>
      <w:r>
        <w:rPr>
          <w:spacing w:val="-3"/>
        </w:rPr>
        <w:t> </w:t>
      </w:r>
      <w:r>
        <w:rPr/>
        <w:t>follicle dysfunction</w:t>
      </w:r>
      <w:r>
        <w:rPr>
          <w:spacing w:val="-2"/>
        </w:rPr>
        <w:t> </w:t>
      </w:r>
      <w:r>
        <w:rPr/>
        <w:t>is</w:t>
      </w:r>
      <w:r>
        <w:rPr>
          <w:spacing w:val="-2"/>
        </w:rPr>
        <w:t> </w:t>
      </w:r>
      <w:r>
        <w:rPr/>
        <w:t>not</w:t>
      </w:r>
      <w:r>
        <w:rPr>
          <w:spacing w:val="-2"/>
        </w:rPr>
        <w:t> </w:t>
      </w:r>
      <w:r>
        <w:rPr/>
        <w:t>known.</w:t>
      </w:r>
      <w:r>
        <w:rPr>
          <w:spacing w:val="-2"/>
        </w:rPr>
        <w:t> </w:t>
      </w:r>
      <w:r>
        <w:rPr/>
        <w:t>Oocytes</w:t>
      </w:r>
      <w:r>
        <w:rPr>
          <w:spacing w:val="-2"/>
        </w:rPr>
        <w:t> </w:t>
      </w:r>
      <w:r>
        <w:rPr/>
        <w:t>have</w:t>
      </w:r>
      <w:r>
        <w:rPr>
          <w:spacing w:val="-2"/>
        </w:rPr>
        <w:t> </w:t>
      </w:r>
      <w:r>
        <w:rPr/>
        <w:t>the</w:t>
      </w:r>
      <w:r>
        <w:rPr>
          <w:spacing w:val="-2"/>
        </w:rPr>
        <w:t> </w:t>
      </w:r>
      <w:r>
        <w:rPr/>
        <w:t>highest</w:t>
      </w:r>
      <w:r>
        <w:rPr>
          <w:spacing w:val="-2"/>
        </w:rPr>
        <w:t> </w:t>
      </w:r>
      <w:r>
        <w:rPr/>
        <w:t>mtDNA</w:t>
      </w:r>
      <w:r>
        <w:rPr>
          <w:spacing w:val="-2"/>
        </w:rPr>
        <w:t> </w:t>
      </w:r>
      <w:r>
        <w:rPr/>
        <w:t>copy</w:t>
      </w:r>
      <w:r>
        <w:rPr>
          <w:spacing w:val="-2"/>
        </w:rPr>
        <w:t> </w:t>
      </w:r>
      <w:r>
        <w:rPr/>
        <w:t>number</w:t>
      </w:r>
      <w:r>
        <w:rPr>
          <w:spacing w:val="-2"/>
        </w:rPr>
        <w:t> </w:t>
      </w:r>
      <w:r>
        <w:rPr/>
        <w:t>of</w:t>
      </w:r>
      <w:r>
        <w:rPr>
          <w:spacing w:val="-2"/>
        </w:rPr>
        <w:t> </w:t>
      </w:r>
      <w:r>
        <w:rPr/>
        <w:t>all</w:t>
      </w:r>
      <w:r>
        <w:rPr>
          <w:spacing w:val="-2"/>
        </w:rPr>
        <w:t> </w:t>
      </w:r>
      <w:r>
        <w:rPr/>
        <w:t>cells</w:t>
      </w:r>
      <w:r>
        <w:rPr>
          <w:spacing w:val="-2"/>
        </w:rPr>
        <w:t> </w:t>
      </w:r>
      <w:r>
        <w:rPr/>
        <w:t>(18), which increases their susceptibility to mtDNA depletion, and suggests a role for follicular depletion. On the other hand, oxidative phosphorylation, and thus mtDNA, is required for follicular development (19), suggesting follicle dysfunction may be responsible. Indeed, infertility in men believed to be due to </w:t>
      </w:r>
      <w:r>
        <w:rPr>
          <w:i/>
        </w:rPr>
        <w:t>POLG </w:t>
      </w:r>
      <w:r>
        <w:rPr/>
        <w:t>mutations is never due to azoospermia, but seems to be associated with defective spermatogenesis and/or steroidogenesis (14).</w:t>
      </w:r>
    </w:p>
    <w:p>
      <w:pPr>
        <w:pStyle w:val="BodyText"/>
        <w:spacing w:line="249" w:lineRule="auto" w:before="206"/>
        <w:ind w:left="1559" w:right="400"/>
      </w:pPr>
      <w:r>
        <w:rPr/>
        <w:t>We conclude that the 5 </w:t>
      </w:r>
      <w:r>
        <w:rPr>
          <w:i/>
        </w:rPr>
        <w:t>POLG </w:t>
      </w:r>
      <w:r>
        <w:rPr/>
        <w:t>mutations tested here are not a prevalent genetic etiology for sPOI.</w:t>
      </w:r>
      <w:r>
        <w:rPr>
          <w:spacing w:val="-4"/>
        </w:rPr>
        <w:t> </w:t>
      </w:r>
      <w:r>
        <w:rPr/>
        <w:t>Thus,</w:t>
      </w:r>
      <w:r>
        <w:rPr>
          <w:spacing w:val="-4"/>
        </w:rPr>
        <w:t> </w:t>
      </w:r>
      <w:r>
        <w:rPr/>
        <w:t>testing</w:t>
      </w:r>
      <w:r>
        <w:rPr>
          <w:spacing w:val="-4"/>
        </w:rPr>
        <w:t> </w:t>
      </w:r>
      <w:r>
        <w:rPr/>
        <w:t>all</w:t>
      </w:r>
      <w:r>
        <w:rPr>
          <w:spacing w:val="-4"/>
        </w:rPr>
        <w:t> </w:t>
      </w:r>
      <w:r>
        <w:rPr/>
        <w:t>patients</w:t>
      </w:r>
      <w:r>
        <w:rPr>
          <w:spacing w:val="-4"/>
        </w:rPr>
        <w:t> </w:t>
      </w:r>
      <w:r>
        <w:rPr/>
        <w:t>diagnosed</w:t>
      </w:r>
      <w:r>
        <w:rPr>
          <w:spacing w:val="-4"/>
        </w:rPr>
        <w:t> </w:t>
      </w:r>
      <w:r>
        <w:rPr/>
        <w:t>with</w:t>
      </w:r>
      <w:r>
        <w:rPr>
          <w:spacing w:val="-4"/>
        </w:rPr>
        <w:t> </w:t>
      </w:r>
      <w:r>
        <w:rPr/>
        <w:t>46,XX</w:t>
      </w:r>
      <w:r>
        <w:rPr>
          <w:spacing w:val="-4"/>
        </w:rPr>
        <w:t> </w:t>
      </w:r>
      <w:r>
        <w:rPr/>
        <w:t>sPOI</w:t>
      </w:r>
      <w:r>
        <w:rPr>
          <w:spacing w:val="-4"/>
        </w:rPr>
        <w:t> </w:t>
      </w:r>
      <w:r>
        <w:rPr/>
        <w:t>for</w:t>
      </w:r>
      <w:r>
        <w:rPr>
          <w:spacing w:val="-4"/>
        </w:rPr>
        <w:t> </w:t>
      </w:r>
      <w:r>
        <w:rPr>
          <w:i/>
        </w:rPr>
        <w:t>POLG</w:t>
      </w:r>
      <w:r>
        <w:rPr>
          <w:i/>
          <w:spacing w:val="-4"/>
        </w:rPr>
        <w:t> </w:t>
      </w:r>
      <w:r>
        <w:rPr/>
        <w:t>mutations,</w:t>
      </w:r>
      <w:r>
        <w:rPr>
          <w:spacing w:val="-4"/>
        </w:rPr>
        <w:t> </w:t>
      </w:r>
      <w:r>
        <w:rPr/>
        <w:t>especially in the absence of clinical suspicion of other mtDNA disorders, is unlikely to be of clinical usefulness or cost-effective. Further analysis of other </w:t>
      </w:r>
      <w:r>
        <w:rPr>
          <w:i/>
        </w:rPr>
        <w:t>POLG </w:t>
      </w:r>
      <w:r>
        <w:rPr/>
        <w:t>mutations for an association with sPOI is warranted.</w:t>
      </w:r>
    </w:p>
    <w:p>
      <w:pPr>
        <w:pStyle w:val="BodyText"/>
        <w:spacing w:after="0" w:line="249" w:lineRule="auto"/>
        <w:sectPr>
          <w:pgSz w:w="12240" w:h="15840"/>
          <w:pgMar w:header="0" w:footer="1355" w:top="660" w:bottom="1540" w:left="1440" w:right="1440"/>
        </w:sectPr>
      </w:pPr>
    </w:p>
    <w:p>
      <w:pPr>
        <w:tabs>
          <w:tab w:pos="8568" w:val="left" w:leader="none"/>
        </w:tabs>
        <w:spacing w:before="76"/>
        <w:ind w:left="120" w:right="0" w:firstLine="0"/>
        <w:jc w:val="left"/>
        <w:rPr>
          <w:sz w:val="16"/>
        </w:rPr>
      </w:pPr>
      <w:r>
        <w:rPr>
          <w:sz w:val="16"/>
        </w:rPr>
        <mc:AlternateContent>
          <mc:Choice Requires="wps">
            <w:drawing>
              <wp:anchor distT="0" distB="0" distL="0" distR="0" allowOverlap="1" layoutInCell="1" locked="0" behindDoc="0" simplePos="0" relativeHeight="15735808">
                <wp:simplePos x="0" y="0"/>
                <wp:positionH relativeFrom="page">
                  <wp:posOffset>228600</wp:posOffset>
                </wp:positionH>
                <wp:positionV relativeFrom="page">
                  <wp:posOffset>457200</wp:posOffset>
                </wp:positionV>
                <wp:extent cx="228600" cy="868680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rect style="position:absolute;margin-left:18pt;margin-top:36pt;width:18pt;height:684pt;mso-position-horizontal-relative:page;mso-position-vertical-relative:page;z-index:15735808" id="docshape19" filled="true" fillcolor="#b4c6de" stroked="false">
                <v:fill type="solid"/>
                <w10:wrap type="none"/>
              </v:rect>
            </w:pict>
          </mc:Fallback>
        </mc:AlternateContent>
      </w:r>
      <w:r>
        <w:rPr>
          <w:sz w:val="16"/>
        </w:rPr>
        <mc:AlternateContent>
          <mc:Choice Requires="wps">
            <w:drawing>
              <wp:anchor distT="0" distB="0" distL="0" distR="0" allowOverlap="1" layoutInCell="1" locked="0" behindDoc="0" simplePos="0" relativeHeight="15736320">
                <wp:simplePos x="0" y="0"/>
                <wp:positionH relativeFrom="page">
                  <wp:posOffset>254000</wp:posOffset>
                </wp:positionH>
                <wp:positionV relativeFrom="page">
                  <wp:posOffset>1180194</wp:posOffset>
                </wp:positionV>
                <wp:extent cx="196215" cy="182181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92.928711pt;width:15.45pt;height:143.450pt;mso-position-horizontal-relative:page;mso-position-vertical-relative:page;z-index:15736320" type="#_x0000_t202" id="docshape20"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6832">
                <wp:simplePos x="0" y="0"/>
                <wp:positionH relativeFrom="page">
                  <wp:posOffset>254000</wp:posOffset>
                </wp:positionH>
                <wp:positionV relativeFrom="page">
                  <wp:posOffset>3890407</wp:posOffset>
                </wp:positionV>
                <wp:extent cx="196215" cy="182181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306.331268pt;width:15.45pt;height:143.450pt;mso-position-horizontal-relative:page;mso-position-vertical-relative:page;z-index:15736832" type="#_x0000_t202" id="docshape21"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7344">
                <wp:simplePos x="0" y="0"/>
                <wp:positionH relativeFrom="page">
                  <wp:posOffset>254000</wp:posOffset>
                </wp:positionH>
                <wp:positionV relativeFrom="page">
                  <wp:posOffset>6600619</wp:posOffset>
                </wp:positionV>
                <wp:extent cx="196215" cy="182181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519.733826pt;width:15.45pt;height:143.450pt;mso-position-horizontal-relative:page;mso-position-vertical-relative:page;z-index:15737344" type="#_x0000_t202" id="docshape22"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w:t>Tong et </w:t>
      </w:r>
      <w:r>
        <w:rPr>
          <w:spacing w:val="-5"/>
          <w:sz w:val="16"/>
        </w:rPr>
        <w:t>al.</w:t>
      </w:r>
      <w:r>
        <w:rPr>
          <w:sz w:val="16"/>
        </w:rPr>
        <w:tab/>
        <w:t>Page </w:t>
      </w:r>
      <w:r>
        <w:rPr>
          <w:spacing w:val="-10"/>
          <w:sz w:val="16"/>
        </w:rPr>
        <w:t>4</w:t>
      </w:r>
    </w:p>
    <w:p>
      <w:pPr>
        <w:pStyle w:val="BodyText"/>
        <w:spacing w:before="26"/>
      </w:pPr>
      <w:r>
        <w:rPr/>
        <mc:AlternateContent>
          <mc:Choice Requires="wps">
            <w:drawing>
              <wp:anchor distT="0" distB="0" distL="0" distR="0" allowOverlap="1" layoutInCell="1" locked="0" behindDoc="1" simplePos="0" relativeHeight="487594496">
                <wp:simplePos x="0" y="0"/>
                <wp:positionH relativeFrom="page">
                  <wp:posOffset>1673225</wp:posOffset>
                </wp:positionH>
                <wp:positionV relativeFrom="paragraph">
                  <wp:posOffset>180984</wp:posOffset>
                </wp:positionV>
                <wp:extent cx="4953000" cy="92075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4953000" cy="920750"/>
                        </a:xfrm>
                        <a:prstGeom prst="rect">
                          <a:avLst/>
                        </a:prstGeom>
                        <a:solidFill>
                          <a:srgbClr val="B4C6DE"/>
                        </a:solidFill>
                        <a:ln w="6350">
                          <a:solidFill>
                            <a:srgbClr val="000000"/>
                          </a:solidFill>
                          <a:prstDash val="solid"/>
                        </a:ln>
                      </wps:spPr>
                      <wps:txbx>
                        <w:txbxContent>
                          <w:p>
                            <w:pPr>
                              <w:spacing w:before="110"/>
                              <w:ind w:left="119" w:right="0" w:firstLine="0"/>
                              <w:jc w:val="center"/>
                              <w:rPr>
                                <w:rFonts w:ascii="Arial"/>
                                <w:b/>
                                <w:color w:val="000000"/>
                                <w:sz w:val="20"/>
                              </w:rPr>
                            </w:pPr>
                            <w:r>
                              <w:rPr>
                                <w:rFonts w:ascii="Arial"/>
                                <w:b/>
                                <w:color w:val="000000"/>
                                <w:spacing w:val="-2"/>
                                <w:sz w:val="20"/>
                              </w:rPr>
                              <w:t>Capsule</w:t>
                            </w:r>
                          </w:p>
                          <w:p>
                            <w:pPr>
                              <w:pStyle w:val="BodyText"/>
                              <w:spacing w:line="249" w:lineRule="auto" w:before="130"/>
                              <w:ind w:left="359" w:right="236"/>
                              <w:rPr>
                                <w:color w:val="000000"/>
                              </w:rPr>
                            </w:pPr>
                            <w:r>
                              <w:rPr>
                                <w:color w:val="000000"/>
                              </w:rPr>
                              <w:t>Spontaneous</w:t>
                            </w:r>
                            <w:r>
                              <w:rPr>
                                <w:color w:val="000000"/>
                                <w:spacing w:val="-4"/>
                              </w:rPr>
                              <w:t> </w:t>
                            </w:r>
                            <w:r>
                              <w:rPr>
                                <w:color w:val="000000"/>
                              </w:rPr>
                              <w:t>46,XX</w:t>
                            </w:r>
                            <w:r>
                              <w:rPr>
                                <w:color w:val="000000"/>
                                <w:spacing w:val="-4"/>
                              </w:rPr>
                              <w:t> </w:t>
                            </w:r>
                            <w:r>
                              <w:rPr>
                                <w:color w:val="000000"/>
                              </w:rPr>
                              <w:t>primary</w:t>
                            </w:r>
                            <w:r>
                              <w:rPr>
                                <w:color w:val="000000"/>
                                <w:spacing w:val="-4"/>
                              </w:rPr>
                              <w:t> </w:t>
                            </w:r>
                            <w:r>
                              <w:rPr>
                                <w:color w:val="000000"/>
                              </w:rPr>
                              <w:t>ovarian</w:t>
                            </w:r>
                            <w:r>
                              <w:rPr>
                                <w:color w:val="000000"/>
                                <w:spacing w:val="-4"/>
                              </w:rPr>
                              <w:t> </w:t>
                            </w:r>
                            <w:r>
                              <w:rPr>
                                <w:color w:val="000000"/>
                              </w:rPr>
                              <w:t>insufficiency</w:t>
                            </w:r>
                            <w:r>
                              <w:rPr>
                                <w:color w:val="000000"/>
                                <w:spacing w:val="-4"/>
                              </w:rPr>
                              <w:t> </w:t>
                            </w:r>
                            <w:r>
                              <w:rPr>
                                <w:color w:val="000000"/>
                              </w:rPr>
                              <w:t>has</w:t>
                            </w:r>
                            <w:r>
                              <w:rPr>
                                <w:color w:val="000000"/>
                                <w:spacing w:val="-4"/>
                              </w:rPr>
                              <w:t> </w:t>
                            </w:r>
                            <w:r>
                              <w:rPr>
                                <w:color w:val="000000"/>
                              </w:rPr>
                              <w:t>been</w:t>
                            </w:r>
                            <w:r>
                              <w:rPr>
                                <w:color w:val="000000"/>
                                <w:spacing w:val="-4"/>
                              </w:rPr>
                              <w:t> </w:t>
                            </w:r>
                            <w:r>
                              <w:rPr>
                                <w:color w:val="000000"/>
                              </w:rPr>
                              <w:t>associated</w:t>
                            </w:r>
                            <w:r>
                              <w:rPr>
                                <w:color w:val="000000"/>
                                <w:spacing w:val="-4"/>
                              </w:rPr>
                              <w:t> </w:t>
                            </w:r>
                            <w:r>
                              <w:rPr>
                                <w:color w:val="000000"/>
                              </w:rPr>
                              <w:t>with</w:t>
                            </w:r>
                            <w:r>
                              <w:rPr>
                                <w:color w:val="000000"/>
                                <w:spacing w:val="-4"/>
                              </w:rPr>
                              <w:t> </w:t>
                            </w:r>
                            <w:r>
                              <w:rPr>
                                <w:color w:val="000000"/>
                              </w:rPr>
                              <w:t>mutations</w:t>
                            </w:r>
                            <w:r>
                              <w:rPr>
                                <w:color w:val="000000"/>
                                <w:spacing w:val="-4"/>
                              </w:rPr>
                              <w:t> </w:t>
                            </w:r>
                            <w:r>
                              <w:rPr>
                                <w:color w:val="000000"/>
                              </w:rPr>
                              <w:t>in mitochondrial DNA polymerase-γ (</w:t>
                            </w:r>
                            <w:r>
                              <w:rPr>
                                <w:i/>
                                <w:color w:val="000000"/>
                              </w:rPr>
                              <w:t>POLG</w:t>
                            </w:r>
                            <w:r>
                              <w:rPr>
                                <w:color w:val="000000"/>
                              </w:rPr>
                              <w:t>). Of 201 women with 46,XX sPOI screened, we found only one with a </w:t>
                            </w:r>
                            <w:r>
                              <w:rPr>
                                <w:i/>
                                <w:color w:val="000000"/>
                              </w:rPr>
                              <w:t>POLG </w:t>
                            </w:r>
                            <w:r>
                              <w:rPr>
                                <w:color w:val="000000"/>
                              </w:rPr>
                              <w:t>mutation.</w:t>
                            </w:r>
                          </w:p>
                        </w:txbxContent>
                      </wps:txbx>
                      <wps:bodyPr wrap="square" lIns="0" tIns="0" rIns="0" bIns="0" rtlCol="0">
                        <a:noAutofit/>
                      </wps:bodyPr>
                    </wps:wsp>
                  </a:graphicData>
                </a:graphic>
              </wp:anchor>
            </w:drawing>
          </mc:Choice>
          <mc:Fallback>
            <w:pict>
              <v:shape style="position:absolute;margin-left:131.75pt;margin-top:14.250781pt;width:390pt;height:72.5pt;mso-position-horizontal-relative:page;mso-position-vertical-relative:paragraph;z-index:-15721984;mso-wrap-distance-left:0;mso-wrap-distance-right:0" type="#_x0000_t202" id="docshape23" filled="true" fillcolor="#b4c6de" stroked="true" strokeweight=".5pt" strokecolor="#000000">
                <v:textbox inset="0,0,0,0">
                  <w:txbxContent>
                    <w:p>
                      <w:pPr>
                        <w:spacing w:before="110"/>
                        <w:ind w:left="119" w:right="0" w:firstLine="0"/>
                        <w:jc w:val="center"/>
                        <w:rPr>
                          <w:rFonts w:ascii="Arial"/>
                          <w:b/>
                          <w:color w:val="000000"/>
                          <w:sz w:val="20"/>
                        </w:rPr>
                      </w:pPr>
                      <w:r>
                        <w:rPr>
                          <w:rFonts w:ascii="Arial"/>
                          <w:b/>
                          <w:color w:val="000000"/>
                          <w:spacing w:val="-2"/>
                          <w:sz w:val="20"/>
                        </w:rPr>
                        <w:t>Capsule</w:t>
                      </w:r>
                    </w:p>
                    <w:p>
                      <w:pPr>
                        <w:pStyle w:val="BodyText"/>
                        <w:spacing w:line="249" w:lineRule="auto" w:before="130"/>
                        <w:ind w:left="359" w:right="236"/>
                        <w:rPr>
                          <w:color w:val="000000"/>
                        </w:rPr>
                      </w:pPr>
                      <w:r>
                        <w:rPr>
                          <w:color w:val="000000"/>
                        </w:rPr>
                        <w:t>Spontaneous</w:t>
                      </w:r>
                      <w:r>
                        <w:rPr>
                          <w:color w:val="000000"/>
                          <w:spacing w:val="-4"/>
                        </w:rPr>
                        <w:t> </w:t>
                      </w:r>
                      <w:r>
                        <w:rPr>
                          <w:color w:val="000000"/>
                        </w:rPr>
                        <w:t>46,XX</w:t>
                      </w:r>
                      <w:r>
                        <w:rPr>
                          <w:color w:val="000000"/>
                          <w:spacing w:val="-4"/>
                        </w:rPr>
                        <w:t> </w:t>
                      </w:r>
                      <w:r>
                        <w:rPr>
                          <w:color w:val="000000"/>
                        </w:rPr>
                        <w:t>primary</w:t>
                      </w:r>
                      <w:r>
                        <w:rPr>
                          <w:color w:val="000000"/>
                          <w:spacing w:val="-4"/>
                        </w:rPr>
                        <w:t> </w:t>
                      </w:r>
                      <w:r>
                        <w:rPr>
                          <w:color w:val="000000"/>
                        </w:rPr>
                        <w:t>ovarian</w:t>
                      </w:r>
                      <w:r>
                        <w:rPr>
                          <w:color w:val="000000"/>
                          <w:spacing w:val="-4"/>
                        </w:rPr>
                        <w:t> </w:t>
                      </w:r>
                      <w:r>
                        <w:rPr>
                          <w:color w:val="000000"/>
                        </w:rPr>
                        <w:t>insufficiency</w:t>
                      </w:r>
                      <w:r>
                        <w:rPr>
                          <w:color w:val="000000"/>
                          <w:spacing w:val="-4"/>
                        </w:rPr>
                        <w:t> </w:t>
                      </w:r>
                      <w:r>
                        <w:rPr>
                          <w:color w:val="000000"/>
                        </w:rPr>
                        <w:t>has</w:t>
                      </w:r>
                      <w:r>
                        <w:rPr>
                          <w:color w:val="000000"/>
                          <w:spacing w:val="-4"/>
                        </w:rPr>
                        <w:t> </w:t>
                      </w:r>
                      <w:r>
                        <w:rPr>
                          <w:color w:val="000000"/>
                        </w:rPr>
                        <w:t>been</w:t>
                      </w:r>
                      <w:r>
                        <w:rPr>
                          <w:color w:val="000000"/>
                          <w:spacing w:val="-4"/>
                        </w:rPr>
                        <w:t> </w:t>
                      </w:r>
                      <w:r>
                        <w:rPr>
                          <w:color w:val="000000"/>
                        </w:rPr>
                        <w:t>associated</w:t>
                      </w:r>
                      <w:r>
                        <w:rPr>
                          <w:color w:val="000000"/>
                          <w:spacing w:val="-4"/>
                        </w:rPr>
                        <w:t> </w:t>
                      </w:r>
                      <w:r>
                        <w:rPr>
                          <w:color w:val="000000"/>
                        </w:rPr>
                        <w:t>with</w:t>
                      </w:r>
                      <w:r>
                        <w:rPr>
                          <w:color w:val="000000"/>
                          <w:spacing w:val="-4"/>
                        </w:rPr>
                        <w:t> </w:t>
                      </w:r>
                      <w:r>
                        <w:rPr>
                          <w:color w:val="000000"/>
                        </w:rPr>
                        <w:t>mutations</w:t>
                      </w:r>
                      <w:r>
                        <w:rPr>
                          <w:color w:val="000000"/>
                          <w:spacing w:val="-4"/>
                        </w:rPr>
                        <w:t> </w:t>
                      </w:r>
                      <w:r>
                        <w:rPr>
                          <w:color w:val="000000"/>
                        </w:rPr>
                        <w:t>in mitochondrial DNA polymerase-γ (</w:t>
                      </w:r>
                      <w:r>
                        <w:rPr>
                          <w:i/>
                          <w:color w:val="000000"/>
                        </w:rPr>
                        <w:t>POLG</w:t>
                      </w:r>
                      <w:r>
                        <w:rPr>
                          <w:color w:val="000000"/>
                        </w:rPr>
                        <w:t>). Of 201 women with 46,XX sPOI screened, we found only one with a </w:t>
                      </w:r>
                      <w:r>
                        <w:rPr>
                          <w:i/>
                          <w:color w:val="000000"/>
                        </w:rPr>
                        <w:t>POLG </w:t>
                      </w:r>
                      <w:r>
                        <w:rPr>
                          <w:color w:val="000000"/>
                        </w:rPr>
                        <w:t>mutation.</w:t>
                      </w:r>
                    </w:p>
                  </w:txbxContent>
                </v:textbox>
                <v:fill type="solid"/>
                <v:stroke dashstyle="solid"/>
                <w10:wrap type="topAndBottom"/>
              </v:shape>
            </w:pict>
          </mc:Fallback>
        </mc:AlternateContent>
      </w:r>
    </w:p>
    <w:p>
      <w:pPr>
        <w:pStyle w:val="BodyText"/>
        <w:spacing w:before="13"/>
        <w:rPr>
          <w:sz w:val="24"/>
        </w:rPr>
      </w:pPr>
    </w:p>
    <w:p>
      <w:pPr>
        <w:pStyle w:val="Heading1"/>
      </w:pPr>
      <w:r>
        <w:rPr>
          <w:spacing w:val="-2"/>
        </w:rPr>
        <w:t>Acknowledgments</w:t>
      </w:r>
    </w:p>
    <w:p>
      <w:pPr>
        <w:spacing w:line="247" w:lineRule="auto" w:before="151"/>
        <w:ind w:left="1560" w:right="400" w:firstLine="0"/>
        <w:jc w:val="left"/>
        <w:rPr>
          <w:sz w:val="16"/>
        </w:rPr>
      </w:pPr>
      <w:r>
        <w:rPr>
          <w:b/>
          <w:sz w:val="16"/>
        </w:rPr>
        <w:t>Supported</w:t>
      </w:r>
      <w:r>
        <w:rPr>
          <w:b/>
          <w:spacing w:val="-3"/>
          <w:sz w:val="16"/>
        </w:rPr>
        <w:t> </w:t>
      </w:r>
      <w:r>
        <w:rPr>
          <w:b/>
          <w:sz w:val="16"/>
        </w:rPr>
        <w:t>by</w:t>
      </w:r>
      <w:r>
        <w:rPr>
          <w:b/>
          <w:spacing w:val="-3"/>
          <w:sz w:val="16"/>
        </w:rPr>
        <w:t> </w:t>
      </w:r>
      <w:r>
        <w:rPr>
          <w:sz w:val="16"/>
        </w:rPr>
        <w:t>the</w:t>
      </w:r>
      <w:r>
        <w:rPr>
          <w:spacing w:val="-3"/>
          <w:sz w:val="16"/>
        </w:rPr>
        <w:t> </w:t>
      </w:r>
      <w:r>
        <w:rPr>
          <w:sz w:val="16"/>
        </w:rPr>
        <w:t>Intramural</w:t>
      </w:r>
      <w:r>
        <w:rPr>
          <w:spacing w:val="-3"/>
          <w:sz w:val="16"/>
        </w:rPr>
        <w:t> </w:t>
      </w:r>
      <w:r>
        <w:rPr>
          <w:sz w:val="16"/>
        </w:rPr>
        <w:t>Research</w:t>
      </w:r>
      <w:r>
        <w:rPr>
          <w:spacing w:val="-3"/>
          <w:sz w:val="16"/>
        </w:rPr>
        <w:t> </w:t>
      </w:r>
      <w:r>
        <w:rPr>
          <w:sz w:val="16"/>
        </w:rPr>
        <w:t>Program</w:t>
      </w:r>
      <w:r>
        <w:rPr>
          <w:spacing w:val="-3"/>
          <w:sz w:val="16"/>
        </w:rPr>
        <w:t> </w:t>
      </w:r>
      <w:r>
        <w:rPr>
          <w:sz w:val="16"/>
        </w:rPr>
        <w:t>of</w:t>
      </w:r>
      <w:r>
        <w:rPr>
          <w:spacing w:val="-3"/>
          <w:sz w:val="16"/>
        </w:rPr>
        <w:t> </w:t>
      </w:r>
      <w:r>
        <w:rPr>
          <w:sz w:val="16"/>
        </w:rPr>
        <w:t>the</w:t>
      </w:r>
      <w:r>
        <w:rPr>
          <w:spacing w:val="-3"/>
          <w:sz w:val="16"/>
        </w:rPr>
        <w:t> </w:t>
      </w:r>
      <w:r>
        <w:rPr>
          <w:i/>
          <w:sz w:val="16"/>
        </w:rPr>
        <w:t>Eunice</w:t>
      </w:r>
      <w:r>
        <w:rPr>
          <w:i/>
          <w:spacing w:val="-3"/>
          <w:sz w:val="16"/>
        </w:rPr>
        <w:t> </w:t>
      </w:r>
      <w:r>
        <w:rPr>
          <w:i/>
          <w:sz w:val="16"/>
        </w:rPr>
        <w:t>Kennedy</w:t>
      </w:r>
      <w:r>
        <w:rPr>
          <w:i/>
          <w:spacing w:val="-3"/>
          <w:sz w:val="16"/>
        </w:rPr>
        <w:t> </w:t>
      </w:r>
      <w:r>
        <w:rPr>
          <w:i/>
          <w:sz w:val="16"/>
        </w:rPr>
        <w:t>Shriver</w:t>
      </w:r>
      <w:r>
        <w:rPr>
          <w:i/>
          <w:spacing w:val="-3"/>
          <w:sz w:val="16"/>
        </w:rPr>
        <w:t> </w:t>
      </w:r>
      <w:r>
        <w:rPr>
          <w:sz w:val="16"/>
        </w:rPr>
        <w:t>National</w:t>
      </w:r>
      <w:r>
        <w:rPr>
          <w:spacing w:val="-3"/>
          <w:sz w:val="16"/>
        </w:rPr>
        <w:t> </w:t>
      </w:r>
      <w:r>
        <w:rPr>
          <w:sz w:val="16"/>
        </w:rPr>
        <w:t>Institute</w:t>
      </w:r>
      <w:r>
        <w:rPr>
          <w:spacing w:val="-3"/>
          <w:sz w:val="16"/>
        </w:rPr>
        <w:t> </w:t>
      </w:r>
      <w:r>
        <w:rPr>
          <w:sz w:val="16"/>
        </w:rPr>
        <w:t>of</w:t>
      </w:r>
      <w:r>
        <w:rPr>
          <w:spacing w:val="-3"/>
          <w:sz w:val="16"/>
        </w:rPr>
        <w:t> </w:t>
      </w:r>
      <w:r>
        <w:rPr>
          <w:sz w:val="16"/>
        </w:rPr>
        <w:t>Child</w:t>
      </w:r>
      <w:r>
        <w:rPr>
          <w:spacing w:val="-3"/>
          <w:sz w:val="16"/>
        </w:rPr>
        <w:t> </w:t>
      </w:r>
      <w:r>
        <w:rPr>
          <w:sz w:val="16"/>
        </w:rPr>
        <w:t>Health</w:t>
      </w:r>
      <w:r>
        <w:rPr>
          <w:spacing w:val="40"/>
          <w:sz w:val="16"/>
        </w:rPr>
        <w:t> </w:t>
      </w:r>
      <w:r>
        <w:rPr>
          <w:sz w:val="16"/>
        </w:rPr>
        <w:t>and Human Development, National Institutes of Health. Vien H. Vanderhoof and Lawrence M. Nelson are</w:t>
      </w:r>
      <w:r>
        <w:rPr>
          <w:spacing w:val="40"/>
          <w:sz w:val="16"/>
        </w:rPr>
        <w:t> </w:t>
      </w:r>
      <w:r>
        <w:rPr>
          <w:sz w:val="16"/>
        </w:rPr>
        <w:t>Commissioned Officers in the United States Public Health Service.</w:t>
      </w:r>
    </w:p>
    <w:p>
      <w:pPr>
        <w:pStyle w:val="BodyText"/>
        <w:spacing w:before="90"/>
        <w:rPr>
          <w:sz w:val="16"/>
        </w:rPr>
      </w:pPr>
    </w:p>
    <w:p>
      <w:pPr>
        <w:pStyle w:val="Heading1"/>
      </w:pPr>
      <w:r>
        <w:rPr>
          <w:spacing w:val="-2"/>
        </w:rPr>
        <w:t>REFERENCES</w:t>
      </w:r>
    </w:p>
    <w:p>
      <w:pPr>
        <w:pStyle w:val="ListParagraph"/>
        <w:numPr>
          <w:ilvl w:val="0"/>
          <w:numId w:val="1"/>
        </w:numPr>
        <w:tabs>
          <w:tab w:pos="1740" w:val="left" w:leader="none"/>
          <w:tab w:pos="1760" w:val="left" w:leader="none"/>
        </w:tabs>
        <w:spacing w:line="254" w:lineRule="auto" w:before="139" w:after="0"/>
        <w:ind w:left="1760" w:right="488" w:hanging="200"/>
        <w:jc w:val="left"/>
        <w:rPr>
          <w:sz w:val="18"/>
        </w:rPr>
      </w:pPr>
      <w:r>
        <w:rPr>
          <w:sz w:val="18"/>
        </w:rPr>
        <w:t>Luoma</w:t>
      </w:r>
      <w:r>
        <w:rPr>
          <w:spacing w:val="-3"/>
          <w:sz w:val="18"/>
        </w:rPr>
        <w:t> </w:t>
      </w:r>
      <w:r>
        <w:rPr>
          <w:sz w:val="18"/>
        </w:rPr>
        <w:t>P,</w:t>
      </w:r>
      <w:r>
        <w:rPr>
          <w:spacing w:val="-3"/>
          <w:sz w:val="18"/>
        </w:rPr>
        <w:t> </w:t>
      </w:r>
      <w:r>
        <w:rPr>
          <w:sz w:val="18"/>
        </w:rPr>
        <w:t>Melberg</w:t>
      </w:r>
      <w:r>
        <w:rPr>
          <w:spacing w:val="-3"/>
          <w:sz w:val="18"/>
        </w:rPr>
        <w:t> </w:t>
      </w:r>
      <w:r>
        <w:rPr>
          <w:sz w:val="18"/>
        </w:rPr>
        <w:t>A,</w:t>
      </w:r>
      <w:r>
        <w:rPr>
          <w:spacing w:val="-3"/>
          <w:sz w:val="18"/>
        </w:rPr>
        <w:t> </w:t>
      </w:r>
      <w:r>
        <w:rPr>
          <w:sz w:val="18"/>
        </w:rPr>
        <w:t>Rinne</w:t>
      </w:r>
      <w:r>
        <w:rPr>
          <w:spacing w:val="-3"/>
          <w:sz w:val="18"/>
        </w:rPr>
        <w:t> </w:t>
      </w:r>
      <w:r>
        <w:rPr>
          <w:sz w:val="18"/>
        </w:rPr>
        <w:t>JO,</w:t>
      </w:r>
      <w:r>
        <w:rPr>
          <w:spacing w:val="-3"/>
          <w:sz w:val="18"/>
        </w:rPr>
        <w:t> </w:t>
      </w:r>
      <w:r>
        <w:rPr>
          <w:sz w:val="18"/>
        </w:rPr>
        <w:t>Kaukonen</w:t>
      </w:r>
      <w:r>
        <w:rPr>
          <w:spacing w:val="-3"/>
          <w:sz w:val="18"/>
        </w:rPr>
        <w:t> </w:t>
      </w:r>
      <w:r>
        <w:rPr>
          <w:sz w:val="18"/>
        </w:rPr>
        <w:t>JA,</w:t>
      </w:r>
      <w:r>
        <w:rPr>
          <w:spacing w:val="-3"/>
          <w:sz w:val="18"/>
        </w:rPr>
        <w:t> </w:t>
      </w:r>
      <w:r>
        <w:rPr>
          <w:sz w:val="18"/>
        </w:rPr>
        <w:t>Nupponen</w:t>
      </w:r>
      <w:r>
        <w:rPr>
          <w:spacing w:val="-3"/>
          <w:sz w:val="18"/>
        </w:rPr>
        <w:t> </w:t>
      </w:r>
      <w:r>
        <w:rPr>
          <w:sz w:val="18"/>
        </w:rPr>
        <w:t>NN,</w:t>
      </w:r>
      <w:r>
        <w:rPr>
          <w:spacing w:val="-3"/>
          <w:sz w:val="18"/>
        </w:rPr>
        <w:t> </w:t>
      </w:r>
      <w:r>
        <w:rPr>
          <w:sz w:val="18"/>
        </w:rPr>
        <w:t>Chalmers</w:t>
      </w:r>
      <w:r>
        <w:rPr>
          <w:spacing w:val="-3"/>
          <w:sz w:val="18"/>
        </w:rPr>
        <w:t> </w:t>
      </w:r>
      <w:r>
        <w:rPr>
          <w:sz w:val="18"/>
        </w:rPr>
        <w:t>RM,</w:t>
      </w:r>
      <w:r>
        <w:rPr>
          <w:spacing w:val="-3"/>
          <w:sz w:val="18"/>
        </w:rPr>
        <w:t> </w:t>
      </w:r>
      <w:r>
        <w:rPr>
          <w:sz w:val="18"/>
        </w:rPr>
        <w:t>et</w:t>
      </w:r>
      <w:r>
        <w:rPr>
          <w:spacing w:val="-3"/>
          <w:sz w:val="18"/>
        </w:rPr>
        <w:t> </w:t>
      </w:r>
      <w:r>
        <w:rPr>
          <w:sz w:val="18"/>
        </w:rPr>
        <w:t>al.</w:t>
      </w:r>
      <w:r>
        <w:rPr>
          <w:spacing w:val="-3"/>
          <w:sz w:val="18"/>
        </w:rPr>
        <w:t> </w:t>
      </w:r>
      <w:r>
        <w:rPr>
          <w:sz w:val="18"/>
        </w:rPr>
        <w:t>Parkinsonism, premature menopause, and mitochondrial DNA polymerase gamma mutations: clinical and molecular genetic study. Lancet 2004;364:875–82. [PubMed: 15351195]</w:t>
      </w:r>
    </w:p>
    <w:p>
      <w:pPr>
        <w:pStyle w:val="ListParagraph"/>
        <w:numPr>
          <w:ilvl w:val="0"/>
          <w:numId w:val="1"/>
        </w:numPr>
        <w:tabs>
          <w:tab w:pos="1740" w:val="left" w:leader="none"/>
          <w:tab w:pos="1760" w:val="left" w:leader="none"/>
        </w:tabs>
        <w:spacing w:line="254" w:lineRule="auto" w:before="42" w:after="0"/>
        <w:ind w:left="1760" w:right="834" w:hanging="200"/>
        <w:jc w:val="left"/>
        <w:rPr>
          <w:sz w:val="18"/>
        </w:rPr>
      </w:pPr>
      <w:r>
        <w:rPr>
          <w:sz w:val="18"/>
        </w:rPr>
        <w:t>Hudson</w:t>
      </w:r>
      <w:r>
        <w:rPr>
          <w:spacing w:val="-4"/>
          <w:sz w:val="18"/>
        </w:rPr>
        <w:t> </w:t>
      </w:r>
      <w:r>
        <w:rPr>
          <w:sz w:val="18"/>
        </w:rPr>
        <w:t>G,</w:t>
      </w:r>
      <w:r>
        <w:rPr>
          <w:spacing w:val="-4"/>
          <w:sz w:val="18"/>
        </w:rPr>
        <w:t> </w:t>
      </w:r>
      <w:r>
        <w:rPr>
          <w:sz w:val="18"/>
        </w:rPr>
        <w:t>Chinnery</w:t>
      </w:r>
      <w:r>
        <w:rPr>
          <w:spacing w:val="-4"/>
          <w:sz w:val="18"/>
        </w:rPr>
        <w:t> </w:t>
      </w:r>
      <w:r>
        <w:rPr>
          <w:sz w:val="18"/>
        </w:rPr>
        <w:t>PF.</w:t>
      </w:r>
      <w:r>
        <w:rPr>
          <w:spacing w:val="-4"/>
          <w:sz w:val="18"/>
        </w:rPr>
        <w:t> </w:t>
      </w:r>
      <w:r>
        <w:rPr>
          <w:sz w:val="18"/>
        </w:rPr>
        <w:t>Mitochondrial</w:t>
      </w:r>
      <w:r>
        <w:rPr>
          <w:spacing w:val="-4"/>
          <w:sz w:val="18"/>
        </w:rPr>
        <w:t> </w:t>
      </w:r>
      <w:r>
        <w:rPr>
          <w:sz w:val="18"/>
        </w:rPr>
        <w:t>DNA</w:t>
      </w:r>
      <w:r>
        <w:rPr>
          <w:spacing w:val="-4"/>
          <w:sz w:val="18"/>
        </w:rPr>
        <w:t> </w:t>
      </w:r>
      <w:r>
        <w:rPr>
          <w:sz w:val="18"/>
        </w:rPr>
        <w:t>polymerase-gamma</w:t>
      </w:r>
      <w:r>
        <w:rPr>
          <w:spacing w:val="-4"/>
          <w:sz w:val="18"/>
        </w:rPr>
        <w:t> </w:t>
      </w:r>
      <w:r>
        <w:rPr>
          <w:sz w:val="18"/>
        </w:rPr>
        <w:t>and</w:t>
      </w:r>
      <w:r>
        <w:rPr>
          <w:spacing w:val="-4"/>
          <w:sz w:val="18"/>
        </w:rPr>
        <w:t> </w:t>
      </w:r>
      <w:r>
        <w:rPr>
          <w:sz w:val="18"/>
        </w:rPr>
        <w:t>human</w:t>
      </w:r>
      <w:r>
        <w:rPr>
          <w:spacing w:val="-4"/>
          <w:sz w:val="18"/>
        </w:rPr>
        <w:t> </w:t>
      </w:r>
      <w:r>
        <w:rPr>
          <w:sz w:val="18"/>
        </w:rPr>
        <w:t>disease.</w:t>
      </w:r>
      <w:r>
        <w:rPr>
          <w:spacing w:val="-4"/>
          <w:sz w:val="18"/>
        </w:rPr>
        <w:t> </w:t>
      </w:r>
      <w:r>
        <w:rPr>
          <w:sz w:val="18"/>
        </w:rPr>
        <w:t>Human molecular genetics 2006;15(Spec No 2):R244–52. [PubMed: 16987890]</w:t>
      </w:r>
    </w:p>
    <w:p>
      <w:pPr>
        <w:pStyle w:val="ListParagraph"/>
        <w:numPr>
          <w:ilvl w:val="0"/>
          <w:numId w:val="1"/>
        </w:numPr>
        <w:tabs>
          <w:tab w:pos="1740" w:val="left" w:leader="none"/>
          <w:tab w:pos="1760" w:val="left" w:leader="none"/>
        </w:tabs>
        <w:spacing w:line="254" w:lineRule="auto" w:before="41" w:after="0"/>
        <w:ind w:left="1760" w:right="494" w:hanging="200"/>
        <w:jc w:val="left"/>
        <w:rPr>
          <w:sz w:val="18"/>
        </w:rPr>
      </w:pPr>
      <w:r>
        <w:rPr>
          <w:sz w:val="18"/>
        </w:rPr>
        <w:t>Blok MJ, van den Bosch BJ, Jongen E, Hendrickx A, de Die-Smulders CE, Hoogendijk JE, et al. The</w:t>
      </w:r>
      <w:r>
        <w:rPr>
          <w:spacing w:val="-4"/>
          <w:sz w:val="18"/>
        </w:rPr>
        <w:t> </w:t>
      </w:r>
      <w:r>
        <w:rPr>
          <w:sz w:val="18"/>
        </w:rPr>
        <w:t>unfolding</w:t>
      </w:r>
      <w:r>
        <w:rPr>
          <w:spacing w:val="-4"/>
          <w:sz w:val="18"/>
        </w:rPr>
        <w:t> </w:t>
      </w:r>
      <w:r>
        <w:rPr>
          <w:sz w:val="18"/>
        </w:rPr>
        <w:t>clinical</w:t>
      </w:r>
      <w:r>
        <w:rPr>
          <w:spacing w:val="-4"/>
          <w:sz w:val="18"/>
        </w:rPr>
        <w:t> </w:t>
      </w:r>
      <w:r>
        <w:rPr>
          <w:sz w:val="18"/>
        </w:rPr>
        <w:t>spectrum</w:t>
      </w:r>
      <w:r>
        <w:rPr>
          <w:spacing w:val="-4"/>
          <w:sz w:val="18"/>
        </w:rPr>
        <w:t> </w:t>
      </w:r>
      <w:r>
        <w:rPr>
          <w:sz w:val="18"/>
        </w:rPr>
        <w:t>of</w:t>
      </w:r>
      <w:r>
        <w:rPr>
          <w:spacing w:val="-4"/>
          <w:sz w:val="18"/>
        </w:rPr>
        <w:t> </w:t>
      </w:r>
      <w:r>
        <w:rPr>
          <w:sz w:val="18"/>
        </w:rPr>
        <w:t>POLG</w:t>
      </w:r>
      <w:r>
        <w:rPr>
          <w:spacing w:val="-4"/>
          <w:sz w:val="18"/>
        </w:rPr>
        <w:t> </w:t>
      </w:r>
      <w:r>
        <w:rPr>
          <w:sz w:val="18"/>
        </w:rPr>
        <w:t>mutations.</w:t>
      </w:r>
      <w:r>
        <w:rPr>
          <w:spacing w:val="-4"/>
          <w:sz w:val="18"/>
        </w:rPr>
        <w:t> </w:t>
      </w:r>
      <w:r>
        <w:rPr>
          <w:sz w:val="18"/>
        </w:rPr>
        <w:t>Journal</w:t>
      </w:r>
      <w:r>
        <w:rPr>
          <w:spacing w:val="-4"/>
          <w:sz w:val="18"/>
        </w:rPr>
        <w:t> </w:t>
      </w:r>
      <w:r>
        <w:rPr>
          <w:sz w:val="18"/>
        </w:rPr>
        <w:t>of</w:t>
      </w:r>
      <w:r>
        <w:rPr>
          <w:spacing w:val="-4"/>
          <w:sz w:val="18"/>
        </w:rPr>
        <w:t> </w:t>
      </w:r>
      <w:r>
        <w:rPr>
          <w:sz w:val="18"/>
        </w:rPr>
        <w:t>medical</w:t>
      </w:r>
      <w:r>
        <w:rPr>
          <w:spacing w:val="-4"/>
          <w:sz w:val="18"/>
        </w:rPr>
        <w:t> </w:t>
      </w:r>
      <w:r>
        <w:rPr>
          <w:sz w:val="18"/>
        </w:rPr>
        <w:t>genetics</w:t>
      </w:r>
      <w:r>
        <w:rPr>
          <w:spacing w:val="-4"/>
          <w:sz w:val="18"/>
        </w:rPr>
        <w:t> </w:t>
      </w:r>
      <w:r>
        <w:rPr>
          <w:sz w:val="18"/>
        </w:rPr>
        <w:t>2009;46:776–85. [PubMed: 19578034]</w:t>
      </w:r>
    </w:p>
    <w:p>
      <w:pPr>
        <w:pStyle w:val="ListParagraph"/>
        <w:numPr>
          <w:ilvl w:val="0"/>
          <w:numId w:val="1"/>
        </w:numPr>
        <w:tabs>
          <w:tab w:pos="1740" w:val="left" w:leader="none"/>
          <w:tab w:pos="1760" w:val="left" w:leader="none"/>
        </w:tabs>
        <w:spacing w:line="254" w:lineRule="auto" w:before="42" w:after="0"/>
        <w:ind w:left="1760" w:right="564" w:hanging="200"/>
        <w:jc w:val="left"/>
        <w:rPr>
          <w:sz w:val="18"/>
        </w:rPr>
      </w:pPr>
      <w:r>
        <w:rPr>
          <w:sz w:val="18"/>
        </w:rPr>
        <w:t>Pagnamenta</w:t>
      </w:r>
      <w:r>
        <w:rPr>
          <w:spacing w:val="-3"/>
          <w:sz w:val="18"/>
        </w:rPr>
        <w:t> </w:t>
      </w:r>
      <w:r>
        <w:rPr>
          <w:sz w:val="18"/>
        </w:rPr>
        <w:t>AT,</w:t>
      </w:r>
      <w:r>
        <w:rPr>
          <w:spacing w:val="-3"/>
          <w:sz w:val="18"/>
        </w:rPr>
        <w:t> </w:t>
      </w:r>
      <w:r>
        <w:rPr>
          <w:sz w:val="18"/>
        </w:rPr>
        <w:t>Taanman</w:t>
      </w:r>
      <w:r>
        <w:rPr>
          <w:spacing w:val="-3"/>
          <w:sz w:val="18"/>
        </w:rPr>
        <w:t> </w:t>
      </w:r>
      <w:r>
        <w:rPr>
          <w:sz w:val="18"/>
        </w:rPr>
        <w:t>JW,</w:t>
      </w:r>
      <w:r>
        <w:rPr>
          <w:spacing w:val="-3"/>
          <w:sz w:val="18"/>
        </w:rPr>
        <w:t> </w:t>
      </w:r>
      <w:r>
        <w:rPr>
          <w:sz w:val="18"/>
        </w:rPr>
        <w:t>Wilson</w:t>
      </w:r>
      <w:r>
        <w:rPr>
          <w:spacing w:val="-3"/>
          <w:sz w:val="18"/>
        </w:rPr>
        <w:t> </w:t>
      </w:r>
      <w:r>
        <w:rPr>
          <w:sz w:val="18"/>
        </w:rPr>
        <w:t>CJ,</w:t>
      </w:r>
      <w:r>
        <w:rPr>
          <w:spacing w:val="-3"/>
          <w:sz w:val="18"/>
        </w:rPr>
        <w:t> </w:t>
      </w:r>
      <w:r>
        <w:rPr>
          <w:sz w:val="18"/>
        </w:rPr>
        <w:t>Anderson</w:t>
      </w:r>
      <w:r>
        <w:rPr>
          <w:spacing w:val="-3"/>
          <w:sz w:val="18"/>
        </w:rPr>
        <w:t> </w:t>
      </w:r>
      <w:r>
        <w:rPr>
          <w:sz w:val="18"/>
        </w:rPr>
        <w:t>NE,</w:t>
      </w:r>
      <w:r>
        <w:rPr>
          <w:spacing w:val="-3"/>
          <w:sz w:val="18"/>
        </w:rPr>
        <w:t> </w:t>
      </w:r>
      <w:r>
        <w:rPr>
          <w:sz w:val="18"/>
        </w:rPr>
        <w:t>Marotta</w:t>
      </w:r>
      <w:r>
        <w:rPr>
          <w:spacing w:val="-3"/>
          <w:sz w:val="18"/>
        </w:rPr>
        <w:t> </w:t>
      </w:r>
      <w:r>
        <w:rPr>
          <w:sz w:val="18"/>
        </w:rPr>
        <w:t>R,</w:t>
      </w:r>
      <w:r>
        <w:rPr>
          <w:spacing w:val="-3"/>
          <w:sz w:val="18"/>
        </w:rPr>
        <w:t> </w:t>
      </w:r>
      <w:r>
        <w:rPr>
          <w:sz w:val="18"/>
        </w:rPr>
        <w:t>Duncan</w:t>
      </w:r>
      <w:r>
        <w:rPr>
          <w:spacing w:val="-3"/>
          <w:sz w:val="18"/>
        </w:rPr>
        <w:t> </w:t>
      </w:r>
      <w:r>
        <w:rPr>
          <w:sz w:val="18"/>
        </w:rPr>
        <w:t>AJ,</w:t>
      </w:r>
      <w:r>
        <w:rPr>
          <w:spacing w:val="-3"/>
          <w:sz w:val="18"/>
        </w:rPr>
        <w:t> </w:t>
      </w:r>
      <w:r>
        <w:rPr>
          <w:sz w:val="18"/>
        </w:rPr>
        <w:t>et</w:t>
      </w:r>
      <w:r>
        <w:rPr>
          <w:spacing w:val="-3"/>
          <w:sz w:val="18"/>
        </w:rPr>
        <w:t> </w:t>
      </w:r>
      <w:r>
        <w:rPr>
          <w:sz w:val="18"/>
        </w:rPr>
        <w:t>al.</w:t>
      </w:r>
      <w:r>
        <w:rPr>
          <w:spacing w:val="-3"/>
          <w:sz w:val="18"/>
        </w:rPr>
        <w:t> </w:t>
      </w:r>
      <w:r>
        <w:rPr>
          <w:sz w:val="18"/>
        </w:rPr>
        <w:t>Dominant inheritance of premature ovarian failure associated with mutant mitochondrial DNA polymerase gamma. Human reproduction (Oxford, England) 2006;21:2467–73.</w:t>
      </w:r>
    </w:p>
    <w:p>
      <w:pPr>
        <w:pStyle w:val="ListParagraph"/>
        <w:numPr>
          <w:ilvl w:val="0"/>
          <w:numId w:val="1"/>
        </w:numPr>
        <w:tabs>
          <w:tab w:pos="1740" w:val="left" w:leader="none"/>
          <w:tab w:pos="1760" w:val="left" w:leader="none"/>
        </w:tabs>
        <w:spacing w:line="254" w:lineRule="auto" w:before="42" w:after="0"/>
        <w:ind w:left="1760" w:right="529" w:hanging="200"/>
        <w:jc w:val="left"/>
        <w:rPr>
          <w:sz w:val="18"/>
        </w:rPr>
      </w:pPr>
      <w:r>
        <w:rPr>
          <w:sz w:val="18"/>
        </w:rPr>
        <w:t>Graziewicz</w:t>
      </w:r>
      <w:r>
        <w:rPr>
          <w:spacing w:val="-4"/>
          <w:sz w:val="18"/>
        </w:rPr>
        <w:t> </w:t>
      </w:r>
      <w:r>
        <w:rPr>
          <w:sz w:val="18"/>
        </w:rPr>
        <w:t>MA,</w:t>
      </w:r>
      <w:r>
        <w:rPr>
          <w:spacing w:val="-4"/>
          <w:sz w:val="18"/>
        </w:rPr>
        <w:t> </w:t>
      </w:r>
      <w:r>
        <w:rPr>
          <w:sz w:val="18"/>
        </w:rPr>
        <w:t>Longley</w:t>
      </w:r>
      <w:r>
        <w:rPr>
          <w:spacing w:val="-4"/>
          <w:sz w:val="18"/>
        </w:rPr>
        <w:t> </w:t>
      </w:r>
      <w:r>
        <w:rPr>
          <w:sz w:val="18"/>
        </w:rPr>
        <w:t>MJ,</w:t>
      </w:r>
      <w:r>
        <w:rPr>
          <w:spacing w:val="-4"/>
          <w:sz w:val="18"/>
        </w:rPr>
        <w:t> </w:t>
      </w:r>
      <w:r>
        <w:rPr>
          <w:sz w:val="18"/>
        </w:rPr>
        <w:t>Bienstock</w:t>
      </w:r>
      <w:r>
        <w:rPr>
          <w:spacing w:val="-4"/>
          <w:sz w:val="18"/>
        </w:rPr>
        <w:t> </w:t>
      </w:r>
      <w:r>
        <w:rPr>
          <w:sz w:val="18"/>
        </w:rPr>
        <w:t>RJ,</w:t>
      </w:r>
      <w:r>
        <w:rPr>
          <w:spacing w:val="-4"/>
          <w:sz w:val="18"/>
        </w:rPr>
        <w:t> </w:t>
      </w:r>
      <w:r>
        <w:rPr>
          <w:sz w:val="18"/>
        </w:rPr>
        <w:t>Zeviani</w:t>
      </w:r>
      <w:r>
        <w:rPr>
          <w:spacing w:val="-4"/>
          <w:sz w:val="18"/>
        </w:rPr>
        <w:t> </w:t>
      </w:r>
      <w:r>
        <w:rPr>
          <w:sz w:val="18"/>
        </w:rPr>
        <w:t>M,</w:t>
      </w:r>
      <w:r>
        <w:rPr>
          <w:spacing w:val="-4"/>
          <w:sz w:val="18"/>
        </w:rPr>
        <w:t> </w:t>
      </w:r>
      <w:r>
        <w:rPr>
          <w:sz w:val="18"/>
        </w:rPr>
        <w:t>Copeland</w:t>
      </w:r>
      <w:r>
        <w:rPr>
          <w:spacing w:val="-4"/>
          <w:sz w:val="18"/>
        </w:rPr>
        <w:t> </w:t>
      </w:r>
      <w:r>
        <w:rPr>
          <w:sz w:val="18"/>
        </w:rPr>
        <w:t>WC.</w:t>
      </w:r>
      <w:r>
        <w:rPr>
          <w:spacing w:val="-4"/>
          <w:sz w:val="18"/>
        </w:rPr>
        <w:t> </w:t>
      </w:r>
      <w:r>
        <w:rPr>
          <w:sz w:val="18"/>
        </w:rPr>
        <w:t>Structure-function</w:t>
      </w:r>
      <w:r>
        <w:rPr>
          <w:spacing w:val="-4"/>
          <w:sz w:val="18"/>
        </w:rPr>
        <w:t> </w:t>
      </w:r>
      <w:r>
        <w:rPr>
          <w:sz w:val="18"/>
        </w:rPr>
        <w:t>defects of human mitochondrial DNA polymerase in autosomal dominant progressive external ophthalmoplegia. Nature structural &amp; molecular biology 2004;11:770–6.</w:t>
      </w:r>
    </w:p>
    <w:p>
      <w:pPr>
        <w:pStyle w:val="ListParagraph"/>
        <w:numPr>
          <w:ilvl w:val="0"/>
          <w:numId w:val="1"/>
        </w:numPr>
        <w:tabs>
          <w:tab w:pos="1740" w:val="left" w:leader="none"/>
          <w:tab w:pos="1760" w:val="left" w:leader="none"/>
        </w:tabs>
        <w:spacing w:line="254" w:lineRule="auto" w:before="41" w:after="0"/>
        <w:ind w:left="1760" w:right="365" w:hanging="200"/>
        <w:jc w:val="left"/>
        <w:rPr>
          <w:sz w:val="18"/>
        </w:rPr>
      </w:pPr>
      <w:r>
        <w:rPr>
          <w:sz w:val="18"/>
        </w:rPr>
        <w:t>Van Goethem G, Dermaut B, Lofgren A, Martin JJ, Van Broeckhoven C. Mutation of POLG is associated</w:t>
      </w:r>
      <w:r>
        <w:rPr>
          <w:spacing w:val="-4"/>
          <w:sz w:val="18"/>
        </w:rPr>
        <w:t> </w:t>
      </w:r>
      <w:r>
        <w:rPr>
          <w:sz w:val="18"/>
        </w:rPr>
        <w:t>with</w:t>
      </w:r>
      <w:r>
        <w:rPr>
          <w:spacing w:val="-4"/>
          <w:sz w:val="18"/>
        </w:rPr>
        <w:t> </w:t>
      </w:r>
      <w:r>
        <w:rPr>
          <w:sz w:val="18"/>
        </w:rPr>
        <w:t>progressive</w:t>
      </w:r>
      <w:r>
        <w:rPr>
          <w:spacing w:val="-4"/>
          <w:sz w:val="18"/>
        </w:rPr>
        <w:t> </w:t>
      </w:r>
      <w:r>
        <w:rPr>
          <w:sz w:val="18"/>
        </w:rPr>
        <w:t>external</w:t>
      </w:r>
      <w:r>
        <w:rPr>
          <w:spacing w:val="-4"/>
          <w:sz w:val="18"/>
        </w:rPr>
        <w:t> </w:t>
      </w:r>
      <w:r>
        <w:rPr>
          <w:sz w:val="18"/>
        </w:rPr>
        <w:t>ophthalmoplegia</w:t>
      </w:r>
      <w:r>
        <w:rPr>
          <w:spacing w:val="-4"/>
          <w:sz w:val="18"/>
        </w:rPr>
        <w:t> </w:t>
      </w:r>
      <w:r>
        <w:rPr>
          <w:sz w:val="18"/>
        </w:rPr>
        <w:t>characterized</w:t>
      </w:r>
      <w:r>
        <w:rPr>
          <w:spacing w:val="-4"/>
          <w:sz w:val="18"/>
        </w:rPr>
        <w:t> </w:t>
      </w:r>
      <w:r>
        <w:rPr>
          <w:sz w:val="18"/>
        </w:rPr>
        <w:t>by</w:t>
      </w:r>
      <w:r>
        <w:rPr>
          <w:spacing w:val="-4"/>
          <w:sz w:val="18"/>
        </w:rPr>
        <w:t> </w:t>
      </w:r>
      <w:r>
        <w:rPr>
          <w:sz w:val="18"/>
        </w:rPr>
        <w:t>mtDNA</w:t>
      </w:r>
      <w:r>
        <w:rPr>
          <w:spacing w:val="-4"/>
          <w:sz w:val="18"/>
        </w:rPr>
        <w:t> </w:t>
      </w:r>
      <w:r>
        <w:rPr>
          <w:sz w:val="18"/>
        </w:rPr>
        <w:t>deletions.</w:t>
      </w:r>
      <w:r>
        <w:rPr>
          <w:spacing w:val="-4"/>
          <w:sz w:val="18"/>
        </w:rPr>
        <w:t> </w:t>
      </w:r>
      <w:r>
        <w:rPr>
          <w:sz w:val="18"/>
        </w:rPr>
        <w:t>Nat</w:t>
      </w:r>
      <w:r>
        <w:rPr>
          <w:spacing w:val="-4"/>
          <w:sz w:val="18"/>
        </w:rPr>
        <w:t> </w:t>
      </w:r>
      <w:r>
        <w:rPr>
          <w:sz w:val="18"/>
        </w:rPr>
        <w:t>Genet 2001;28:211–2. [PubMed: 11431686]</w:t>
      </w:r>
    </w:p>
    <w:p>
      <w:pPr>
        <w:pStyle w:val="ListParagraph"/>
        <w:numPr>
          <w:ilvl w:val="0"/>
          <w:numId w:val="1"/>
        </w:numPr>
        <w:tabs>
          <w:tab w:pos="1740" w:val="left" w:leader="none"/>
          <w:tab w:pos="1760" w:val="left" w:leader="none"/>
        </w:tabs>
        <w:spacing w:line="254" w:lineRule="auto" w:before="42" w:after="0"/>
        <w:ind w:left="1760" w:right="490" w:hanging="200"/>
        <w:jc w:val="left"/>
        <w:rPr>
          <w:sz w:val="18"/>
        </w:rPr>
      </w:pPr>
      <w:r>
        <w:rPr>
          <w:sz w:val="18"/>
        </w:rPr>
        <w:t>Lamantea E, Tiranti V, Bordoni A, Toscano A, Bono F, Servidei S, et al. Mutations of mitochondrial</w:t>
      </w:r>
      <w:r>
        <w:rPr>
          <w:spacing w:val="-4"/>
          <w:sz w:val="18"/>
        </w:rPr>
        <w:t> </w:t>
      </w:r>
      <w:r>
        <w:rPr>
          <w:sz w:val="18"/>
        </w:rPr>
        <w:t>DNA</w:t>
      </w:r>
      <w:r>
        <w:rPr>
          <w:spacing w:val="-4"/>
          <w:sz w:val="18"/>
        </w:rPr>
        <w:t> </w:t>
      </w:r>
      <w:r>
        <w:rPr>
          <w:sz w:val="18"/>
        </w:rPr>
        <w:t>polymerase</w:t>
      </w:r>
      <w:r>
        <w:rPr>
          <w:spacing w:val="-4"/>
          <w:sz w:val="18"/>
        </w:rPr>
        <w:t> </w:t>
      </w:r>
      <w:r>
        <w:rPr>
          <w:sz w:val="18"/>
        </w:rPr>
        <w:t>gammaA</w:t>
      </w:r>
      <w:r>
        <w:rPr>
          <w:spacing w:val="-4"/>
          <w:sz w:val="18"/>
        </w:rPr>
        <w:t> </w:t>
      </w:r>
      <w:r>
        <w:rPr>
          <w:sz w:val="18"/>
        </w:rPr>
        <w:t>are</w:t>
      </w:r>
      <w:r>
        <w:rPr>
          <w:spacing w:val="-4"/>
          <w:sz w:val="18"/>
        </w:rPr>
        <w:t> </w:t>
      </w:r>
      <w:r>
        <w:rPr>
          <w:sz w:val="18"/>
        </w:rPr>
        <w:t>a</w:t>
      </w:r>
      <w:r>
        <w:rPr>
          <w:spacing w:val="-4"/>
          <w:sz w:val="18"/>
        </w:rPr>
        <w:t> </w:t>
      </w:r>
      <w:r>
        <w:rPr>
          <w:sz w:val="18"/>
        </w:rPr>
        <w:t>frequent</w:t>
      </w:r>
      <w:r>
        <w:rPr>
          <w:spacing w:val="-4"/>
          <w:sz w:val="18"/>
        </w:rPr>
        <w:t> </w:t>
      </w:r>
      <w:r>
        <w:rPr>
          <w:sz w:val="18"/>
        </w:rPr>
        <w:t>cause</w:t>
      </w:r>
      <w:r>
        <w:rPr>
          <w:spacing w:val="-4"/>
          <w:sz w:val="18"/>
        </w:rPr>
        <w:t> </w:t>
      </w:r>
      <w:r>
        <w:rPr>
          <w:sz w:val="18"/>
        </w:rPr>
        <w:t>of</w:t>
      </w:r>
      <w:r>
        <w:rPr>
          <w:spacing w:val="-4"/>
          <w:sz w:val="18"/>
        </w:rPr>
        <w:t> </w:t>
      </w:r>
      <w:r>
        <w:rPr>
          <w:sz w:val="18"/>
        </w:rPr>
        <w:t>autosomal</w:t>
      </w:r>
      <w:r>
        <w:rPr>
          <w:spacing w:val="-4"/>
          <w:sz w:val="18"/>
        </w:rPr>
        <w:t> </w:t>
      </w:r>
      <w:r>
        <w:rPr>
          <w:sz w:val="18"/>
        </w:rPr>
        <w:t>dominant</w:t>
      </w:r>
      <w:r>
        <w:rPr>
          <w:spacing w:val="-4"/>
          <w:sz w:val="18"/>
        </w:rPr>
        <w:t> </w:t>
      </w:r>
      <w:r>
        <w:rPr>
          <w:sz w:val="18"/>
        </w:rPr>
        <w:t>or</w:t>
      </w:r>
      <w:r>
        <w:rPr>
          <w:spacing w:val="-4"/>
          <w:sz w:val="18"/>
        </w:rPr>
        <w:t> </w:t>
      </w:r>
      <w:r>
        <w:rPr>
          <w:sz w:val="18"/>
        </w:rPr>
        <w:t>recessive progressive external ophthalmoplegia. Annals of neurology 2002;52:211–9. [PubMed: 12210792]</w:t>
      </w:r>
    </w:p>
    <w:p>
      <w:pPr>
        <w:pStyle w:val="ListParagraph"/>
        <w:numPr>
          <w:ilvl w:val="0"/>
          <w:numId w:val="1"/>
        </w:numPr>
        <w:tabs>
          <w:tab w:pos="1740" w:val="left" w:leader="none"/>
          <w:tab w:pos="1760" w:val="left" w:leader="none"/>
        </w:tabs>
        <w:spacing w:line="254" w:lineRule="auto" w:before="42" w:after="0"/>
        <w:ind w:left="1760" w:right="449" w:hanging="200"/>
        <w:jc w:val="left"/>
        <w:rPr>
          <w:sz w:val="18"/>
        </w:rPr>
      </w:pPr>
      <w:r>
        <w:rPr>
          <w:sz w:val="18"/>
        </w:rPr>
        <w:t>Horvath R, Hudson G, Ferrari G, Futterer N, Ahola S, Lamantea E, et al. Phenotypic spectrum associated</w:t>
      </w:r>
      <w:r>
        <w:rPr>
          <w:spacing w:val="-4"/>
          <w:sz w:val="18"/>
        </w:rPr>
        <w:t> </w:t>
      </w:r>
      <w:r>
        <w:rPr>
          <w:sz w:val="18"/>
        </w:rPr>
        <w:t>with</w:t>
      </w:r>
      <w:r>
        <w:rPr>
          <w:spacing w:val="-4"/>
          <w:sz w:val="18"/>
        </w:rPr>
        <w:t> </w:t>
      </w:r>
      <w:r>
        <w:rPr>
          <w:sz w:val="18"/>
        </w:rPr>
        <w:t>mutations</w:t>
      </w:r>
      <w:r>
        <w:rPr>
          <w:spacing w:val="-4"/>
          <w:sz w:val="18"/>
        </w:rPr>
        <w:t> </w:t>
      </w:r>
      <w:r>
        <w:rPr>
          <w:sz w:val="18"/>
        </w:rPr>
        <w:t>of</w:t>
      </w:r>
      <w:r>
        <w:rPr>
          <w:spacing w:val="-4"/>
          <w:sz w:val="18"/>
        </w:rPr>
        <w:t> </w:t>
      </w:r>
      <w:r>
        <w:rPr>
          <w:sz w:val="18"/>
        </w:rPr>
        <w:t>the</w:t>
      </w:r>
      <w:r>
        <w:rPr>
          <w:spacing w:val="-4"/>
          <w:sz w:val="18"/>
        </w:rPr>
        <w:t> </w:t>
      </w:r>
      <w:r>
        <w:rPr>
          <w:sz w:val="18"/>
        </w:rPr>
        <w:t>mitochondrial</w:t>
      </w:r>
      <w:r>
        <w:rPr>
          <w:spacing w:val="-4"/>
          <w:sz w:val="18"/>
        </w:rPr>
        <w:t> </w:t>
      </w:r>
      <w:r>
        <w:rPr>
          <w:sz w:val="18"/>
        </w:rPr>
        <w:t>polymerase</w:t>
      </w:r>
      <w:r>
        <w:rPr>
          <w:spacing w:val="-4"/>
          <w:sz w:val="18"/>
        </w:rPr>
        <w:t> </w:t>
      </w:r>
      <w:r>
        <w:rPr>
          <w:sz w:val="18"/>
        </w:rPr>
        <w:t>gamma</w:t>
      </w:r>
      <w:r>
        <w:rPr>
          <w:spacing w:val="-4"/>
          <w:sz w:val="18"/>
        </w:rPr>
        <w:t> </w:t>
      </w:r>
      <w:r>
        <w:rPr>
          <w:sz w:val="18"/>
        </w:rPr>
        <w:t>gene.</w:t>
      </w:r>
      <w:r>
        <w:rPr>
          <w:spacing w:val="-4"/>
          <w:sz w:val="18"/>
        </w:rPr>
        <w:t> </w:t>
      </w:r>
      <w:r>
        <w:rPr>
          <w:sz w:val="18"/>
        </w:rPr>
        <w:t>Brain</w:t>
      </w:r>
      <w:r>
        <w:rPr>
          <w:spacing w:val="-4"/>
          <w:sz w:val="18"/>
        </w:rPr>
        <w:t> </w:t>
      </w:r>
      <w:r>
        <w:rPr>
          <w:sz w:val="18"/>
        </w:rPr>
        <w:t>2006;129:1674–84. [PubMed: 16621917]</w:t>
      </w:r>
    </w:p>
    <w:p>
      <w:pPr>
        <w:pStyle w:val="ListParagraph"/>
        <w:numPr>
          <w:ilvl w:val="0"/>
          <w:numId w:val="1"/>
        </w:numPr>
        <w:tabs>
          <w:tab w:pos="1740" w:val="left" w:leader="none"/>
          <w:tab w:pos="1760" w:val="left" w:leader="none"/>
        </w:tabs>
        <w:spacing w:line="254" w:lineRule="auto" w:before="42" w:after="0"/>
        <w:ind w:left="1760" w:right="434" w:hanging="200"/>
        <w:jc w:val="left"/>
        <w:rPr>
          <w:sz w:val="18"/>
        </w:rPr>
      </w:pPr>
      <w:r>
        <w:rPr>
          <w:sz w:val="18"/>
        </w:rPr>
        <w:t>Van</w:t>
      </w:r>
      <w:r>
        <w:rPr>
          <w:spacing w:val="-2"/>
          <w:sz w:val="18"/>
        </w:rPr>
        <w:t> </w:t>
      </w:r>
      <w:r>
        <w:rPr>
          <w:sz w:val="18"/>
        </w:rPr>
        <w:t>Goethem</w:t>
      </w:r>
      <w:r>
        <w:rPr>
          <w:spacing w:val="-2"/>
          <w:sz w:val="18"/>
        </w:rPr>
        <w:t> </w:t>
      </w:r>
      <w:r>
        <w:rPr>
          <w:sz w:val="18"/>
        </w:rPr>
        <w:t>G,</w:t>
      </w:r>
      <w:r>
        <w:rPr>
          <w:spacing w:val="-2"/>
          <w:sz w:val="18"/>
        </w:rPr>
        <w:t> </w:t>
      </w:r>
      <w:r>
        <w:rPr>
          <w:sz w:val="18"/>
        </w:rPr>
        <w:t>Martin</w:t>
      </w:r>
      <w:r>
        <w:rPr>
          <w:spacing w:val="-2"/>
          <w:sz w:val="18"/>
        </w:rPr>
        <w:t> </w:t>
      </w:r>
      <w:r>
        <w:rPr>
          <w:sz w:val="18"/>
        </w:rPr>
        <w:t>JJ,</w:t>
      </w:r>
      <w:r>
        <w:rPr>
          <w:spacing w:val="-2"/>
          <w:sz w:val="18"/>
        </w:rPr>
        <w:t> </w:t>
      </w:r>
      <w:r>
        <w:rPr>
          <w:sz w:val="18"/>
        </w:rPr>
        <w:t>Dermaut</w:t>
      </w:r>
      <w:r>
        <w:rPr>
          <w:spacing w:val="-2"/>
          <w:sz w:val="18"/>
        </w:rPr>
        <w:t> </w:t>
      </w:r>
      <w:r>
        <w:rPr>
          <w:sz w:val="18"/>
        </w:rPr>
        <w:t>B,</w:t>
      </w:r>
      <w:r>
        <w:rPr>
          <w:spacing w:val="-2"/>
          <w:sz w:val="18"/>
        </w:rPr>
        <w:t> </w:t>
      </w:r>
      <w:r>
        <w:rPr>
          <w:sz w:val="18"/>
        </w:rPr>
        <w:t>Lofgren</w:t>
      </w:r>
      <w:r>
        <w:rPr>
          <w:spacing w:val="-2"/>
          <w:sz w:val="18"/>
        </w:rPr>
        <w:t> </w:t>
      </w:r>
      <w:r>
        <w:rPr>
          <w:sz w:val="18"/>
        </w:rPr>
        <w:t>A,</w:t>
      </w:r>
      <w:r>
        <w:rPr>
          <w:spacing w:val="-2"/>
          <w:sz w:val="18"/>
        </w:rPr>
        <w:t> </w:t>
      </w:r>
      <w:r>
        <w:rPr>
          <w:sz w:val="18"/>
        </w:rPr>
        <w:t>Wibail</w:t>
      </w:r>
      <w:r>
        <w:rPr>
          <w:spacing w:val="-2"/>
          <w:sz w:val="18"/>
        </w:rPr>
        <w:t> </w:t>
      </w:r>
      <w:r>
        <w:rPr>
          <w:sz w:val="18"/>
        </w:rPr>
        <w:t>A,</w:t>
      </w:r>
      <w:r>
        <w:rPr>
          <w:spacing w:val="-2"/>
          <w:sz w:val="18"/>
        </w:rPr>
        <w:t> </w:t>
      </w:r>
      <w:r>
        <w:rPr>
          <w:sz w:val="18"/>
        </w:rPr>
        <w:t>Ververken</w:t>
      </w:r>
      <w:r>
        <w:rPr>
          <w:spacing w:val="-2"/>
          <w:sz w:val="18"/>
        </w:rPr>
        <w:t> </w:t>
      </w:r>
      <w:r>
        <w:rPr>
          <w:sz w:val="18"/>
        </w:rPr>
        <w:t>D,</w:t>
      </w:r>
      <w:r>
        <w:rPr>
          <w:spacing w:val="-2"/>
          <w:sz w:val="18"/>
        </w:rPr>
        <w:t> </w:t>
      </w:r>
      <w:r>
        <w:rPr>
          <w:sz w:val="18"/>
        </w:rPr>
        <w:t>et</w:t>
      </w:r>
      <w:r>
        <w:rPr>
          <w:spacing w:val="-2"/>
          <w:sz w:val="18"/>
        </w:rPr>
        <w:t> </w:t>
      </w:r>
      <w:r>
        <w:rPr>
          <w:sz w:val="18"/>
        </w:rPr>
        <w:t>al.</w:t>
      </w:r>
      <w:r>
        <w:rPr>
          <w:spacing w:val="-2"/>
          <w:sz w:val="18"/>
        </w:rPr>
        <w:t> </w:t>
      </w:r>
      <w:r>
        <w:rPr>
          <w:sz w:val="18"/>
        </w:rPr>
        <w:t>Recessive</w:t>
      </w:r>
      <w:r>
        <w:rPr>
          <w:spacing w:val="-2"/>
          <w:sz w:val="18"/>
        </w:rPr>
        <w:t> </w:t>
      </w:r>
      <w:r>
        <w:rPr>
          <w:sz w:val="18"/>
        </w:rPr>
        <w:t>POLG mutations presenting with sensory and ataxic neuropathy in compound heterozygote patients with progressive</w:t>
      </w:r>
      <w:r>
        <w:rPr>
          <w:spacing w:val="-6"/>
          <w:sz w:val="18"/>
        </w:rPr>
        <w:t> </w:t>
      </w:r>
      <w:r>
        <w:rPr>
          <w:sz w:val="18"/>
        </w:rPr>
        <w:t>external</w:t>
      </w:r>
      <w:r>
        <w:rPr>
          <w:spacing w:val="-6"/>
          <w:sz w:val="18"/>
        </w:rPr>
        <w:t> </w:t>
      </w:r>
      <w:r>
        <w:rPr>
          <w:sz w:val="18"/>
        </w:rPr>
        <w:t>ophthalmoplegia.</w:t>
      </w:r>
      <w:r>
        <w:rPr>
          <w:spacing w:val="-6"/>
          <w:sz w:val="18"/>
        </w:rPr>
        <w:t> </w:t>
      </w:r>
      <w:r>
        <w:rPr>
          <w:sz w:val="18"/>
        </w:rPr>
        <w:t>Neuromuscul</w:t>
      </w:r>
      <w:r>
        <w:rPr>
          <w:spacing w:val="-6"/>
          <w:sz w:val="18"/>
        </w:rPr>
        <w:t> </w:t>
      </w:r>
      <w:r>
        <w:rPr>
          <w:sz w:val="18"/>
        </w:rPr>
        <w:t>Disord</w:t>
      </w:r>
      <w:r>
        <w:rPr>
          <w:spacing w:val="-6"/>
          <w:sz w:val="18"/>
        </w:rPr>
        <w:t> </w:t>
      </w:r>
      <w:r>
        <w:rPr>
          <w:sz w:val="18"/>
        </w:rPr>
        <w:t>2003;13:133–42.</w:t>
      </w:r>
      <w:r>
        <w:rPr>
          <w:spacing w:val="-6"/>
          <w:sz w:val="18"/>
        </w:rPr>
        <w:t> </w:t>
      </w:r>
      <w:r>
        <w:rPr>
          <w:sz w:val="18"/>
        </w:rPr>
        <w:t>[PubMed:</w:t>
      </w:r>
      <w:r>
        <w:rPr>
          <w:spacing w:val="-6"/>
          <w:sz w:val="18"/>
        </w:rPr>
        <w:t> </w:t>
      </w:r>
      <w:r>
        <w:rPr>
          <w:sz w:val="18"/>
        </w:rPr>
        <w:t>12565911]</w:t>
      </w:r>
    </w:p>
    <w:p>
      <w:pPr>
        <w:pStyle w:val="ListParagraph"/>
        <w:numPr>
          <w:ilvl w:val="0"/>
          <w:numId w:val="1"/>
        </w:numPr>
        <w:tabs>
          <w:tab w:pos="1830" w:val="left" w:leader="none"/>
          <w:tab w:pos="1860" w:val="left" w:leader="none"/>
        </w:tabs>
        <w:spacing w:line="254" w:lineRule="auto" w:before="42" w:after="0"/>
        <w:ind w:left="1860" w:right="459" w:hanging="300"/>
        <w:jc w:val="left"/>
        <w:rPr>
          <w:sz w:val="18"/>
        </w:rPr>
      </w:pPr>
      <w:r>
        <w:rPr>
          <w:sz w:val="18"/>
        </w:rPr>
        <w:t>Longley</w:t>
      </w:r>
      <w:r>
        <w:rPr>
          <w:spacing w:val="-4"/>
          <w:sz w:val="18"/>
        </w:rPr>
        <w:t> </w:t>
      </w:r>
      <w:r>
        <w:rPr>
          <w:sz w:val="18"/>
        </w:rPr>
        <w:t>MJ,</w:t>
      </w:r>
      <w:r>
        <w:rPr>
          <w:spacing w:val="-4"/>
          <w:sz w:val="18"/>
        </w:rPr>
        <w:t> </w:t>
      </w:r>
      <w:r>
        <w:rPr>
          <w:sz w:val="18"/>
        </w:rPr>
        <w:t>Graziewicz</w:t>
      </w:r>
      <w:r>
        <w:rPr>
          <w:spacing w:val="-4"/>
          <w:sz w:val="18"/>
        </w:rPr>
        <w:t> </w:t>
      </w:r>
      <w:r>
        <w:rPr>
          <w:sz w:val="18"/>
        </w:rPr>
        <w:t>MA,</w:t>
      </w:r>
      <w:r>
        <w:rPr>
          <w:spacing w:val="-4"/>
          <w:sz w:val="18"/>
        </w:rPr>
        <w:t> </w:t>
      </w:r>
      <w:r>
        <w:rPr>
          <w:sz w:val="18"/>
        </w:rPr>
        <w:t>Bienstock</w:t>
      </w:r>
      <w:r>
        <w:rPr>
          <w:spacing w:val="-4"/>
          <w:sz w:val="18"/>
        </w:rPr>
        <w:t> </w:t>
      </w:r>
      <w:r>
        <w:rPr>
          <w:sz w:val="18"/>
        </w:rPr>
        <w:t>RJ,</w:t>
      </w:r>
      <w:r>
        <w:rPr>
          <w:spacing w:val="-4"/>
          <w:sz w:val="18"/>
        </w:rPr>
        <w:t> </w:t>
      </w:r>
      <w:r>
        <w:rPr>
          <w:sz w:val="18"/>
        </w:rPr>
        <w:t>Copeland</w:t>
      </w:r>
      <w:r>
        <w:rPr>
          <w:spacing w:val="-4"/>
          <w:sz w:val="18"/>
        </w:rPr>
        <w:t> </w:t>
      </w:r>
      <w:r>
        <w:rPr>
          <w:sz w:val="18"/>
        </w:rPr>
        <w:t>WC.</w:t>
      </w:r>
      <w:r>
        <w:rPr>
          <w:spacing w:val="-4"/>
          <w:sz w:val="18"/>
        </w:rPr>
        <w:t> </w:t>
      </w:r>
      <w:r>
        <w:rPr>
          <w:sz w:val="18"/>
        </w:rPr>
        <w:t>Consequences</w:t>
      </w:r>
      <w:r>
        <w:rPr>
          <w:spacing w:val="-4"/>
          <w:sz w:val="18"/>
        </w:rPr>
        <w:t> </w:t>
      </w:r>
      <w:r>
        <w:rPr>
          <w:sz w:val="18"/>
        </w:rPr>
        <w:t>of</w:t>
      </w:r>
      <w:r>
        <w:rPr>
          <w:spacing w:val="-4"/>
          <w:sz w:val="18"/>
        </w:rPr>
        <w:t> </w:t>
      </w:r>
      <w:r>
        <w:rPr>
          <w:sz w:val="18"/>
        </w:rPr>
        <w:t>mutations</w:t>
      </w:r>
      <w:r>
        <w:rPr>
          <w:spacing w:val="-4"/>
          <w:sz w:val="18"/>
        </w:rPr>
        <w:t> </w:t>
      </w:r>
      <w:r>
        <w:rPr>
          <w:sz w:val="18"/>
        </w:rPr>
        <w:t>in</w:t>
      </w:r>
      <w:r>
        <w:rPr>
          <w:spacing w:val="-4"/>
          <w:sz w:val="18"/>
        </w:rPr>
        <w:t> </w:t>
      </w:r>
      <w:r>
        <w:rPr>
          <w:sz w:val="18"/>
        </w:rPr>
        <w:t>human DNA polymerase gamma. Gene 2005;354:125–31. [PubMed: 15913923]</w:t>
      </w:r>
    </w:p>
    <w:p>
      <w:pPr>
        <w:pStyle w:val="ListParagraph"/>
        <w:numPr>
          <w:ilvl w:val="0"/>
          <w:numId w:val="1"/>
        </w:numPr>
        <w:tabs>
          <w:tab w:pos="1830" w:val="left" w:leader="none"/>
          <w:tab w:pos="1860" w:val="left" w:leader="none"/>
        </w:tabs>
        <w:spacing w:line="254" w:lineRule="auto" w:before="41" w:after="0"/>
        <w:ind w:left="1860" w:right="1013" w:hanging="300"/>
        <w:jc w:val="left"/>
        <w:rPr>
          <w:sz w:val="18"/>
        </w:rPr>
      </w:pPr>
      <w:r>
        <w:rPr>
          <w:sz w:val="18"/>
        </w:rPr>
        <w:t>Kim</w:t>
      </w:r>
      <w:r>
        <w:rPr>
          <w:spacing w:val="-3"/>
          <w:sz w:val="18"/>
        </w:rPr>
        <w:t> </w:t>
      </w:r>
      <w:r>
        <w:rPr>
          <w:sz w:val="18"/>
        </w:rPr>
        <w:t>TJ,</w:t>
      </w:r>
      <w:r>
        <w:rPr>
          <w:spacing w:val="-3"/>
          <w:sz w:val="18"/>
        </w:rPr>
        <w:t> </w:t>
      </w:r>
      <w:r>
        <w:rPr>
          <w:sz w:val="18"/>
        </w:rPr>
        <w:t>Anasti</w:t>
      </w:r>
      <w:r>
        <w:rPr>
          <w:spacing w:val="-3"/>
          <w:sz w:val="18"/>
        </w:rPr>
        <w:t> </w:t>
      </w:r>
      <w:r>
        <w:rPr>
          <w:sz w:val="18"/>
        </w:rPr>
        <w:t>JN,</w:t>
      </w:r>
      <w:r>
        <w:rPr>
          <w:spacing w:val="-3"/>
          <w:sz w:val="18"/>
        </w:rPr>
        <w:t> </w:t>
      </w:r>
      <w:r>
        <w:rPr>
          <w:sz w:val="18"/>
        </w:rPr>
        <w:t>Flack</w:t>
      </w:r>
      <w:r>
        <w:rPr>
          <w:spacing w:val="-3"/>
          <w:sz w:val="18"/>
        </w:rPr>
        <w:t> </w:t>
      </w:r>
      <w:r>
        <w:rPr>
          <w:sz w:val="18"/>
        </w:rPr>
        <w:t>MR,</w:t>
      </w:r>
      <w:r>
        <w:rPr>
          <w:spacing w:val="-3"/>
          <w:sz w:val="18"/>
        </w:rPr>
        <w:t> </w:t>
      </w:r>
      <w:r>
        <w:rPr>
          <w:sz w:val="18"/>
        </w:rPr>
        <w:t>Kimzey</w:t>
      </w:r>
      <w:r>
        <w:rPr>
          <w:spacing w:val="-3"/>
          <w:sz w:val="18"/>
        </w:rPr>
        <w:t> </w:t>
      </w:r>
      <w:r>
        <w:rPr>
          <w:sz w:val="18"/>
        </w:rPr>
        <w:t>LM,</w:t>
      </w:r>
      <w:r>
        <w:rPr>
          <w:spacing w:val="-3"/>
          <w:sz w:val="18"/>
        </w:rPr>
        <w:t> </w:t>
      </w:r>
      <w:r>
        <w:rPr>
          <w:sz w:val="18"/>
        </w:rPr>
        <w:t>Defensor</w:t>
      </w:r>
      <w:r>
        <w:rPr>
          <w:spacing w:val="-3"/>
          <w:sz w:val="18"/>
        </w:rPr>
        <w:t> </w:t>
      </w:r>
      <w:r>
        <w:rPr>
          <w:sz w:val="18"/>
        </w:rPr>
        <w:t>RA,</w:t>
      </w:r>
      <w:r>
        <w:rPr>
          <w:spacing w:val="-3"/>
          <w:sz w:val="18"/>
        </w:rPr>
        <w:t> </w:t>
      </w:r>
      <w:r>
        <w:rPr>
          <w:sz w:val="18"/>
        </w:rPr>
        <w:t>Nelson</w:t>
      </w:r>
      <w:r>
        <w:rPr>
          <w:spacing w:val="-3"/>
          <w:sz w:val="18"/>
        </w:rPr>
        <w:t> </w:t>
      </w:r>
      <w:r>
        <w:rPr>
          <w:sz w:val="18"/>
        </w:rPr>
        <w:t>LM.</w:t>
      </w:r>
      <w:r>
        <w:rPr>
          <w:spacing w:val="-3"/>
          <w:sz w:val="18"/>
        </w:rPr>
        <w:t> </w:t>
      </w:r>
      <w:r>
        <w:rPr>
          <w:sz w:val="18"/>
        </w:rPr>
        <w:t>Routine</w:t>
      </w:r>
      <w:r>
        <w:rPr>
          <w:spacing w:val="-3"/>
          <w:sz w:val="18"/>
        </w:rPr>
        <w:t> </w:t>
      </w:r>
      <w:r>
        <w:rPr>
          <w:sz w:val="18"/>
        </w:rPr>
        <w:t>endocrine screening for patients with karyotypically normal spontaneous premature ovarian failure. Obstetrics and gynecology 1997;89:777–9. [PubMed: 9166320]</w:t>
      </w:r>
    </w:p>
    <w:p>
      <w:pPr>
        <w:pStyle w:val="ListParagraph"/>
        <w:numPr>
          <w:ilvl w:val="0"/>
          <w:numId w:val="1"/>
        </w:numPr>
        <w:tabs>
          <w:tab w:pos="1830" w:val="left" w:leader="none"/>
          <w:tab w:pos="1860" w:val="left" w:leader="none"/>
        </w:tabs>
        <w:spacing w:line="254" w:lineRule="auto" w:before="42" w:after="0"/>
        <w:ind w:left="1860" w:right="389" w:hanging="300"/>
        <w:jc w:val="left"/>
        <w:rPr>
          <w:sz w:val="18"/>
        </w:rPr>
      </w:pPr>
      <w:r>
        <w:rPr>
          <w:sz w:val="18"/>
        </w:rPr>
        <w:t>Popat VB, Calis KA, Vanderhoof VH, Cizza G, Reynolds JC, Sebring N, et al. Bone mineral density</w:t>
      </w:r>
      <w:r>
        <w:rPr>
          <w:spacing w:val="-4"/>
          <w:sz w:val="18"/>
        </w:rPr>
        <w:t> </w:t>
      </w:r>
      <w:r>
        <w:rPr>
          <w:sz w:val="18"/>
        </w:rPr>
        <w:t>in</w:t>
      </w:r>
      <w:r>
        <w:rPr>
          <w:spacing w:val="-4"/>
          <w:sz w:val="18"/>
        </w:rPr>
        <w:t> </w:t>
      </w:r>
      <w:r>
        <w:rPr>
          <w:sz w:val="18"/>
        </w:rPr>
        <w:t>estrogen-deficient</w:t>
      </w:r>
      <w:r>
        <w:rPr>
          <w:spacing w:val="-4"/>
          <w:sz w:val="18"/>
        </w:rPr>
        <w:t> </w:t>
      </w:r>
      <w:r>
        <w:rPr>
          <w:sz w:val="18"/>
        </w:rPr>
        <w:t>young</w:t>
      </w:r>
      <w:r>
        <w:rPr>
          <w:spacing w:val="-4"/>
          <w:sz w:val="18"/>
        </w:rPr>
        <w:t> </w:t>
      </w:r>
      <w:r>
        <w:rPr>
          <w:sz w:val="18"/>
        </w:rPr>
        <w:t>women.</w:t>
      </w:r>
      <w:r>
        <w:rPr>
          <w:spacing w:val="-4"/>
          <w:sz w:val="18"/>
        </w:rPr>
        <w:t> </w:t>
      </w:r>
      <w:r>
        <w:rPr>
          <w:sz w:val="18"/>
        </w:rPr>
        <w:t>The</w:t>
      </w:r>
      <w:r>
        <w:rPr>
          <w:spacing w:val="-4"/>
          <w:sz w:val="18"/>
        </w:rPr>
        <w:t> </w:t>
      </w:r>
      <w:r>
        <w:rPr>
          <w:sz w:val="18"/>
        </w:rPr>
        <w:t>Journal</w:t>
      </w:r>
      <w:r>
        <w:rPr>
          <w:spacing w:val="-4"/>
          <w:sz w:val="18"/>
        </w:rPr>
        <w:t> </w:t>
      </w:r>
      <w:r>
        <w:rPr>
          <w:sz w:val="18"/>
        </w:rPr>
        <w:t>of</w:t>
      </w:r>
      <w:r>
        <w:rPr>
          <w:spacing w:val="-4"/>
          <w:sz w:val="18"/>
        </w:rPr>
        <w:t> </w:t>
      </w:r>
      <w:r>
        <w:rPr>
          <w:sz w:val="18"/>
        </w:rPr>
        <w:t>clinical</w:t>
      </w:r>
      <w:r>
        <w:rPr>
          <w:spacing w:val="-4"/>
          <w:sz w:val="18"/>
        </w:rPr>
        <w:t> </w:t>
      </w:r>
      <w:r>
        <w:rPr>
          <w:sz w:val="18"/>
        </w:rPr>
        <w:t>endocrinology</w:t>
      </w:r>
      <w:r>
        <w:rPr>
          <w:spacing w:val="-4"/>
          <w:sz w:val="18"/>
        </w:rPr>
        <w:t> </w:t>
      </w:r>
      <w:r>
        <w:rPr>
          <w:sz w:val="18"/>
        </w:rPr>
        <w:t>and</w:t>
      </w:r>
      <w:r>
        <w:rPr>
          <w:spacing w:val="-4"/>
          <w:sz w:val="18"/>
        </w:rPr>
        <w:t> </w:t>
      </w:r>
      <w:r>
        <w:rPr>
          <w:sz w:val="18"/>
        </w:rPr>
        <w:t>metabolism 2009;94:2277–83. [PubMed: 19401379]</w:t>
      </w:r>
    </w:p>
    <w:p>
      <w:pPr>
        <w:pStyle w:val="ListParagraph"/>
        <w:numPr>
          <w:ilvl w:val="0"/>
          <w:numId w:val="1"/>
        </w:numPr>
        <w:tabs>
          <w:tab w:pos="1830" w:val="left" w:leader="none"/>
        </w:tabs>
        <w:spacing w:line="240" w:lineRule="auto" w:before="41" w:after="0"/>
        <w:ind w:left="1830" w:right="0" w:hanging="270"/>
        <w:jc w:val="left"/>
        <w:rPr>
          <w:sz w:val="18"/>
        </w:rPr>
      </w:pPr>
      <w:r>
        <w:rPr>
          <w:sz w:val="18"/>
        </w:rPr>
        <w:t>Sherman SL. Premature ovarian failure in the fragile X syndrome. Am J Med Genet </w:t>
      </w:r>
      <w:r>
        <w:rPr>
          <w:spacing w:val="-2"/>
          <w:sz w:val="18"/>
        </w:rPr>
        <w:t>2000;97:189–</w:t>
      </w:r>
    </w:p>
    <w:p>
      <w:pPr>
        <w:spacing w:before="13"/>
        <w:ind w:left="1860" w:right="0" w:firstLine="0"/>
        <w:jc w:val="left"/>
        <w:rPr>
          <w:sz w:val="18"/>
        </w:rPr>
      </w:pPr>
      <w:r>
        <w:rPr>
          <w:sz w:val="18"/>
        </w:rPr>
        <w:t>94. [PubMed: </w:t>
      </w:r>
      <w:r>
        <w:rPr>
          <w:spacing w:val="-2"/>
          <w:sz w:val="18"/>
        </w:rPr>
        <w:t>11449487]</w:t>
      </w:r>
    </w:p>
    <w:p>
      <w:pPr>
        <w:pStyle w:val="ListParagraph"/>
        <w:numPr>
          <w:ilvl w:val="0"/>
          <w:numId w:val="1"/>
        </w:numPr>
        <w:tabs>
          <w:tab w:pos="1830" w:val="left" w:leader="none"/>
          <w:tab w:pos="1860" w:val="left" w:leader="none"/>
        </w:tabs>
        <w:spacing w:line="254" w:lineRule="auto" w:before="53" w:after="0"/>
        <w:ind w:left="1860" w:right="489" w:hanging="300"/>
        <w:jc w:val="left"/>
        <w:rPr>
          <w:sz w:val="18"/>
        </w:rPr>
      </w:pPr>
      <w:r>
        <w:rPr>
          <w:sz w:val="18"/>
        </w:rPr>
        <w:t>Rovia,</w:t>
      </w:r>
      <w:r>
        <w:rPr>
          <w:spacing w:val="-4"/>
          <w:sz w:val="18"/>
        </w:rPr>
        <w:t> </w:t>
      </w:r>
      <w:r>
        <w:rPr>
          <w:sz w:val="18"/>
        </w:rPr>
        <w:t>Aea.</w:t>
      </w:r>
      <w:r>
        <w:rPr>
          <w:spacing w:val="-4"/>
          <w:sz w:val="18"/>
        </w:rPr>
        <w:t> </w:t>
      </w:r>
      <w:r>
        <w:rPr>
          <w:sz w:val="18"/>
        </w:rPr>
        <w:t>Mutations</w:t>
      </w:r>
      <w:r>
        <w:rPr>
          <w:spacing w:val="-4"/>
          <w:sz w:val="18"/>
        </w:rPr>
        <w:t> </w:t>
      </w:r>
      <w:r>
        <w:rPr>
          <w:sz w:val="18"/>
        </w:rPr>
        <w:t>at</w:t>
      </w:r>
      <w:r>
        <w:rPr>
          <w:spacing w:val="-4"/>
          <w:sz w:val="18"/>
        </w:rPr>
        <w:t> </w:t>
      </w:r>
      <w:r>
        <w:rPr>
          <w:sz w:val="18"/>
        </w:rPr>
        <w:t>the</w:t>
      </w:r>
      <w:r>
        <w:rPr>
          <w:spacing w:val="-4"/>
          <w:sz w:val="18"/>
        </w:rPr>
        <w:t> </w:t>
      </w:r>
      <w:r>
        <w:rPr>
          <w:sz w:val="18"/>
        </w:rPr>
        <w:t>mitochondrial</w:t>
      </w:r>
      <w:r>
        <w:rPr>
          <w:spacing w:val="-4"/>
          <w:sz w:val="18"/>
        </w:rPr>
        <w:t> </w:t>
      </w:r>
      <w:r>
        <w:rPr>
          <w:sz w:val="18"/>
        </w:rPr>
        <w:t>DNA</w:t>
      </w:r>
      <w:r>
        <w:rPr>
          <w:spacing w:val="-4"/>
          <w:sz w:val="18"/>
        </w:rPr>
        <w:t> </w:t>
      </w:r>
      <w:r>
        <w:rPr>
          <w:sz w:val="18"/>
        </w:rPr>
        <w:t>polymerase</w:t>
      </w:r>
      <w:r>
        <w:rPr>
          <w:spacing w:val="-4"/>
          <w:sz w:val="18"/>
        </w:rPr>
        <w:t> </w:t>
      </w:r>
      <w:r>
        <w:rPr>
          <w:sz w:val="18"/>
        </w:rPr>
        <w:t>(POLG)</w:t>
      </w:r>
      <w:r>
        <w:rPr>
          <w:spacing w:val="-4"/>
          <w:sz w:val="18"/>
        </w:rPr>
        <w:t> </w:t>
      </w:r>
      <w:r>
        <w:rPr>
          <w:sz w:val="18"/>
        </w:rPr>
        <w:t>locus</w:t>
      </w:r>
      <w:r>
        <w:rPr>
          <w:spacing w:val="-4"/>
          <w:sz w:val="18"/>
        </w:rPr>
        <w:t> </w:t>
      </w:r>
      <w:r>
        <w:rPr>
          <w:sz w:val="18"/>
        </w:rPr>
        <w:t>associated</w:t>
      </w:r>
      <w:r>
        <w:rPr>
          <w:spacing w:val="-4"/>
          <w:sz w:val="18"/>
        </w:rPr>
        <w:t> </w:t>
      </w:r>
      <w:r>
        <w:rPr>
          <w:sz w:val="18"/>
        </w:rPr>
        <w:t>with</w:t>
      </w:r>
      <w:r>
        <w:rPr>
          <w:spacing w:val="-4"/>
          <w:sz w:val="18"/>
        </w:rPr>
        <w:t> </w:t>
      </w:r>
      <w:r>
        <w:rPr>
          <w:sz w:val="18"/>
        </w:rPr>
        <w:t>male infertility. Nature Genetics Oct;2001 22:261–2. 2001.</w:t>
      </w:r>
    </w:p>
    <w:p>
      <w:pPr>
        <w:pStyle w:val="ListParagraph"/>
        <w:spacing w:after="0" w:line="254" w:lineRule="auto"/>
        <w:jc w:val="left"/>
        <w:rPr>
          <w:sz w:val="18"/>
        </w:rPr>
        <w:sectPr>
          <w:pgSz w:w="12240" w:h="15840"/>
          <w:pgMar w:header="0" w:footer="1355" w:top="660" w:bottom="1540" w:left="1440" w:right="1440"/>
        </w:sectPr>
      </w:pPr>
    </w:p>
    <w:p>
      <w:pPr>
        <w:tabs>
          <w:tab w:pos="8568" w:val="left" w:leader="none"/>
        </w:tabs>
        <w:spacing w:before="76"/>
        <w:ind w:left="120" w:right="0" w:firstLine="0"/>
        <w:jc w:val="left"/>
        <w:rPr>
          <w:sz w:val="16"/>
        </w:rPr>
      </w:pPr>
      <w:r>
        <w:rPr>
          <w:sz w:val="16"/>
        </w:rPr>
        <mc:AlternateContent>
          <mc:Choice Requires="wps">
            <w:drawing>
              <wp:anchor distT="0" distB="0" distL="0" distR="0" allowOverlap="1" layoutInCell="1" locked="0" behindDoc="0" simplePos="0" relativeHeight="15737856">
                <wp:simplePos x="0" y="0"/>
                <wp:positionH relativeFrom="page">
                  <wp:posOffset>228600</wp:posOffset>
                </wp:positionH>
                <wp:positionV relativeFrom="page">
                  <wp:posOffset>457200</wp:posOffset>
                </wp:positionV>
                <wp:extent cx="228600" cy="86868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28600" cy="8686800"/>
                        </a:xfrm>
                        <a:custGeom>
                          <a:avLst/>
                          <a:gdLst/>
                          <a:ahLst/>
                          <a:cxnLst/>
                          <a:rect l="l" t="t" r="r" b="b"/>
                          <a:pathLst>
                            <a:path w="228600" h="8686800">
                              <a:moveTo>
                                <a:pt x="228600" y="8686800"/>
                              </a:moveTo>
                              <a:lnTo>
                                <a:pt x="0" y="8686800"/>
                              </a:lnTo>
                              <a:lnTo>
                                <a:pt x="0" y="0"/>
                              </a:lnTo>
                              <a:lnTo>
                                <a:pt x="228600" y="0"/>
                              </a:lnTo>
                              <a:lnTo>
                                <a:pt x="228600" y="86868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rect style="position:absolute;margin-left:18pt;margin-top:36pt;width:18pt;height:684pt;mso-position-horizontal-relative:page;mso-position-vertical-relative:page;z-index:15737856" id="docshape24" filled="true" fillcolor="#b4c6de" stroked="false">
                <v:fill type="solid"/>
                <w10:wrap type="none"/>
              </v:rect>
            </w:pict>
          </mc:Fallback>
        </mc:AlternateContent>
      </w:r>
      <w:r>
        <w:rPr>
          <w:sz w:val="16"/>
        </w:rPr>
        <mc:AlternateContent>
          <mc:Choice Requires="wps">
            <w:drawing>
              <wp:anchor distT="0" distB="0" distL="0" distR="0" allowOverlap="1" layoutInCell="1" locked="0" behindDoc="0" simplePos="0" relativeHeight="15738368">
                <wp:simplePos x="0" y="0"/>
                <wp:positionH relativeFrom="page">
                  <wp:posOffset>254000</wp:posOffset>
                </wp:positionH>
                <wp:positionV relativeFrom="page">
                  <wp:posOffset>1180194</wp:posOffset>
                </wp:positionV>
                <wp:extent cx="196215" cy="1821814"/>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92.928711pt;width:15.45pt;height:143.450pt;mso-position-horizontal-relative:page;mso-position-vertical-relative:page;z-index:15738368" type="#_x0000_t202" id="docshape25"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8880">
                <wp:simplePos x="0" y="0"/>
                <wp:positionH relativeFrom="page">
                  <wp:posOffset>254000</wp:posOffset>
                </wp:positionH>
                <wp:positionV relativeFrom="page">
                  <wp:posOffset>3890407</wp:posOffset>
                </wp:positionV>
                <wp:extent cx="196215" cy="18218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306.331268pt;width:15.45pt;height:143.450pt;mso-position-horizontal-relative:page;mso-position-vertical-relative:page;z-index:15738880" type="#_x0000_t202" id="docshape26"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mc:AlternateContent>
          <mc:Choice Requires="wps">
            <w:drawing>
              <wp:anchor distT="0" distB="0" distL="0" distR="0" allowOverlap="1" layoutInCell="1" locked="0" behindDoc="0" simplePos="0" relativeHeight="15739392">
                <wp:simplePos x="0" y="0"/>
                <wp:positionH relativeFrom="page">
                  <wp:posOffset>254000</wp:posOffset>
                </wp:positionH>
                <wp:positionV relativeFrom="page">
                  <wp:posOffset>6600619</wp:posOffset>
                </wp:positionV>
                <wp:extent cx="196215" cy="182181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96215" cy="1821814"/>
                        </a:xfrm>
                        <a:prstGeom prst="rect">
                          <a:avLst/>
                        </a:prstGeom>
                      </wps:spPr>
                      <wps:txbx>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vert="vert">
                        <a:noAutofit/>
                      </wps:bodyPr>
                    </wps:wsp>
                  </a:graphicData>
                </a:graphic>
              </wp:anchor>
            </w:drawing>
          </mc:Choice>
          <mc:Fallback>
            <w:pict>
              <v:shape style="position:absolute;margin-left:20.000002pt;margin-top:519.733826pt;width:15.45pt;height:143.450pt;mso-position-horizontal-relative:page;mso-position-vertical-relative:page;z-index:15739392" type="#_x0000_t202" id="docshape27" filled="false" stroked="false">
                <v:textbox inset="0,0,0,0" style="layout-flow:vertical">
                  <w:txbxContent>
                    <w:p>
                      <w:pPr>
                        <w:spacing w:before="12"/>
                        <w:ind w:left="2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v:textbox>
                <w10:wrap type="none"/>
              </v:shape>
            </w:pict>
          </mc:Fallback>
        </mc:AlternateContent>
      </w:r>
      <w:r>
        <w:rPr>
          <w:sz w:val="16"/>
        </w:rPr>
        <w:t>Tong et </w:t>
      </w:r>
      <w:r>
        <w:rPr>
          <w:spacing w:val="-5"/>
          <w:sz w:val="16"/>
        </w:rPr>
        <w:t>al.</w:t>
      </w:r>
      <w:r>
        <w:rPr>
          <w:sz w:val="16"/>
        </w:rPr>
        <w:tab/>
        <w:t>Page </w:t>
      </w:r>
      <w:r>
        <w:rPr>
          <w:spacing w:val="-10"/>
          <w:sz w:val="16"/>
        </w:rPr>
        <w:t>5</w:t>
      </w:r>
    </w:p>
    <w:p>
      <w:pPr>
        <w:pStyle w:val="BodyText"/>
        <w:spacing w:before="71"/>
        <w:rPr>
          <w:sz w:val="18"/>
        </w:rPr>
      </w:pPr>
    </w:p>
    <w:p>
      <w:pPr>
        <w:pStyle w:val="ListParagraph"/>
        <w:numPr>
          <w:ilvl w:val="0"/>
          <w:numId w:val="1"/>
        </w:numPr>
        <w:tabs>
          <w:tab w:pos="1830" w:val="left" w:leader="none"/>
          <w:tab w:pos="1860" w:val="left" w:leader="none"/>
        </w:tabs>
        <w:spacing w:line="254" w:lineRule="auto" w:before="0" w:after="0"/>
        <w:ind w:left="1860" w:right="729" w:hanging="300"/>
        <w:jc w:val="left"/>
        <w:rPr>
          <w:sz w:val="18"/>
        </w:rPr>
      </w:pPr>
      <w:r>
        <w:rPr>
          <w:sz w:val="18"/>
        </w:rPr>
        <w:t>Jensen</w:t>
      </w:r>
      <w:r>
        <w:rPr>
          <w:spacing w:val="-3"/>
          <w:sz w:val="18"/>
        </w:rPr>
        <w:t> </w:t>
      </w:r>
      <w:r>
        <w:rPr>
          <w:sz w:val="18"/>
        </w:rPr>
        <w:t>M,</w:t>
      </w:r>
      <w:r>
        <w:rPr>
          <w:spacing w:val="-3"/>
          <w:sz w:val="18"/>
        </w:rPr>
        <w:t> </w:t>
      </w:r>
      <w:r>
        <w:rPr>
          <w:sz w:val="18"/>
        </w:rPr>
        <w:t>Leffers</w:t>
      </w:r>
      <w:r>
        <w:rPr>
          <w:spacing w:val="-3"/>
          <w:sz w:val="18"/>
        </w:rPr>
        <w:t> </w:t>
      </w:r>
      <w:r>
        <w:rPr>
          <w:sz w:val="18"/>
        </w:rPr>
        <w:t>H,</w:t>
      </w:r>
      <w:r>
        <w:rPr>
          <w:spacing w:val="-3"/>
          <w:sz w:val="18"/>
        </w:rPr>
        <w:t> </w:t>
      </w:r>
      <w:r>
        <w:rPr>
          <w:sz w:val="18"/>
        </w:rPr>
        <w:t>Petersen</w:t>
      </w:r>
      <w:r>
        <w:rPr>
          <w:spacing w:val="-3"/>
          <w:sz w:val="18"/>
        </w:rPr>
        <w:t> </w:t>
      </w:r>
      <w:r>
        <w:rPr>
          <w:sz w:val="18"/>
        </w:rPr>
        <w:t>JH,</w:t>
      </w:r>
      <w:r>
        <w:rPr>
          <w:spacing w:val="-3"/>
          <w:sz w:val="18"/>
        </w:rPr>
        <w:t> </w:t>
      </w:r>
      <w:r>
        <w:rPr>
          <w:sz w:val="18"/>
        </w:rPr>
        <w:t>Nyboe</w:t>
      </w:r>
      <w:r>
        <w:rPr>
          <w:spacing w:val="-3"/>
          <w:sz w:val="18"/>
        </w:rPr>
        <w:t> </w:t>
      </w:r>
      <w:r>
        <w:rPr>
          <w:sz w:val="18"/>
        </w:rPr>
        <w:t>Andersen</w:t>
      </w:r>
      <w:r>
        <w:rPr>
          <w:spacing w:val="-3"/>
          <w:sz w:val="18"/>
        </w:rPr>
        <w:t> </w:t>
      </w:r>
      <w:r>
        <w:rPr>
          <w:sz w:val="18"/>
        </w:rPr>
        <w:t>A,</w:t>
      </w:r>
      <w:r>
        <w:rPr>
          <w:spacing w:val="-3"/>
          <w:sz w:val="18"/>
        </w:rPr>
        <w:t> </w:t>
      </w:r>
      <w:r>
        <w:rPr>
          <w:sz w:val="18"/>
        </w:rPr>
        <w:t>Jorgensen</w:t>
      </w:r>
      <w:r>
        <w:rPr>
          <w:spacing w:val="-3"/>
          <w:sz w:val="18"/>
        </w:rPr>
        <w:t> </w:t>
      </w:r>
      <w:r>
        <w:rPr>
          <w:sz w:val="18"/>
        </w:rPr>
        <w:t>N,</w:t>
      </w:r>
      <w:r>
        <w:rPr>
          <w:spacing w:val="-3"/>
          <w:sz w:val="18"/>
        </w:rPr>
        <w:t> </w:t>
      </w:r>
      <w:r>
        <w:rPr>
          <w:sz w:val="18"/>
        </w:rPr>
        <w:t>Carlsen</w:t>
      </w:r>
      <w:r>
        <w:rPr>
          <w:spacing w:val="-3"/>
          <w:sz w:val="18"/>
        </w:rPr>
        <w:t> </w:t>
      </w:r>
      <w:r>
        <w:rPr>
          <w:sz w:val="18"/>
        </w:rPr>
        <w:t>E,</w:t>
      </w:r>
      <w:r>
        <w:rPr>
          <w:spacing w:val="-3"/>
          <w:sz w:val="18"/>
        </w:rPr>
        <w:t> </w:t>
      </w:r>
      <w:r>
        <w:rPr>
          <w:sz w:val="18"/>
        </w:rPr>
        <w:t>et</w:t>
      </w:r>
      <w:r>
        <w:rPr>
          <w:spacing w:val="-3"/>
          <w:sz w:val="18"/>
        </w:rPr>
        <w:t> </w:t>
      </w:r>
      <w:r>
        <w:rPr>
          <w:sz w:val="18"/>
        </w:rPr>
        <w:t>al.</w:t>
      </w:r>
      <w:r>
        <w:rPr>
          <w:spacing w:val="-3"/>
          <w:sz w:val="18"/>
        </w:rPr>
        <w:t> </w:t>
      </w:r>
      <w:r>
        <w:rPr>
          <w:sz w:val="18"/>
        </w:rPr>
        <w:t>Frequent polymorphism of the mitochondrial DNA polymerase gamma gene (POLG) in patients with normal spermiograms and unexplained subfertility. Human reproduction (Oxford, England) </w:t>
      </w:r>
      <w:r>
        <w:rPr>
          <w:spacing w:val="-2"/>
          <w:sz w:val="18"/>
        </w:rPr>
        <w:t>2004;19:65–70.</w:t>
      </w:r>
    </w:p>
    <w:p>
      <w:pPr>
        <w:pStyle w:val="ListParagraph"/>
        <w:numPr>
          <w:ilvl w:val="0"/>
          <w:numId w:val="1"/>
        </w:numPr>
        <w:tabs>
          <w:tab w:pos="1830" w:val="left" w:leader="none"/>
          <w:tab w:pos="1860" w:val="left" w:leader="none"/>
        </w:tabs>
        <w:spacing w:line="254" w:lineRule="auto" w:before="43" w:after="0"/>
        <w:ind w:left="1860" w:right="694" w:hanging="300"/>
        <w:jc w:val="left"/>
        <w:rPr>
          <w:sz w:val="18"/>
        </w:rPr>
      </w:pPr>
      <w:r>
        <w:rPr>
          <w:sz w:val="18"/>
        </w:rPr>
        <w:t>Aknin-Seifer</w:t>
      </w:r>
      <w:r>
        <w:rPr>
          <w:spacing w:val="-3"/>
          <w:sz w:val="18"/>
        </w:rPr>
        <w:t> </w:t>
      </w:r>
      <w:r>
        <w:rPr>
          <w:sz w:val="18"/>
        </w:rPr>
        <w:t>IE,</w:t>
      </w:r>
      <w:r>
        <w:rPr>
          <w:spacing w:val="-3"/>
          <w:sz w:val="18"/>
        </w:rPr>
        <w:t> </w:t>
      </w:r>
      <w:r>
        <w:rPr>
          <w:sz w:val="18"/>
        </w:rPr>
        <w:t>Touraine</w:t>
      </w:r>
      <w:r>
        <w:rPr>
          <w:spacing w:val="-3"/>
          <w:sz w:val="18"/>
        </w:rPr>
        <w:t> </w:t>
      </w:r>
      <w:r>
        <w:rPr>
          <w:sz w:val="18"/>
        </w:rPr>
        <w:t>RL,</w:t>
      </w:r>
      <w:r>
        <w:rPr>
          <w:spacing w:val="-3"/>
          <w:sz w:val="18"/>
        </w:rPr>
        <w:t> </w:t>
      </w:r>
      <w:r>
        <w:rPr>
          <w:sz w:val="18"/>
        </w:rPr>
        <w:t>Lejeune</w:t>
      </w:r>
      <w:r>
        <w:rPr>
          <w:spacing w:val="-3"/>
          <w:sz w:val="18"/>
        </w:rPr>
        <w:t> </w:t>
      </w:r>
      <w:r>
        <w:rPr>
          <w:sz w:val="18"/>
        </w:rPr>
        <w:t>H,</w:t>
      </w:r>
      <w:r>
        <w:rPr>
          <w:spacing w:val="-3"/>
          <w:sz w:val="18"/>
        </w:rPr>
        <w:t> </w:t>
      </w:r>
      <w:r>
        <w:rPr>
          <w:sz w:val="18"/>
        </w:rPr>
        <w:t>Jimenez</w:t>
      </w:r>
      <w:r>
        <w:rPr>
          <w:spacing w:val="-3"/>
          <w:sz w:val="18"/>
        </w:rPr>
        <w:t> </w:t>
      </w:r>
      <w:r>
        <w:rPr>
          <w:sz w:val="18"/>
        </w:rPr>
        <w:t>C,</w:t>
      </w:r>
      <w:r>
        <w:rPr>
          <w:spacing w:val="-3"/>
          <w:sz w:val="18"/>
        </w:rPr>
        <w:t> </w:t>
      </w:r>
      <w:r>
        <w:rPr>
          <w:sz w:val="18"/>
        </w:rPr>
        <w:t>Chouteau</w:t>
      </w:r>
      <w:r>
        <w:rPr>
          <w:spacing w:val="-3"/>
          <w:sz w:val="18"/>
        </w:rPr>
        <w:t> </w:t>
      </w:r>
      <w:r>
        <w:rPr>
          <w:sz w:val="18"/>
        </w:rPr>
        <w:t>J,</w:t>
      </w:r>
      <w:r>
        <w:rPr>
          <w:spacing w:val="-3"/>
          <w:sz w:val="18"/>
        </w:rPr>
        <w:t> </w:t>
      </w:r>
      <w:r>
        <w:rPr>
          <w:sz w:val="18"/>
        </w:rPr>
        <w:t>Siffroi</w:t>
      </w:r>
      <w:r>
        <w:rPr>
          <w:spacing w:val="-3"/>
          <w:sz w:val="18"/>
        </w:rPr>
        <w:t> </w:t>
      </w:r>
      <w:r>
        <w:rPr>
          <w:sz w:val="18"/>
        </w:rPr>
        <w:t>JP,</w:t>
      </w:r>
      <w:r>
        <w:rPr>
          <w:spacing w:val="-3"/>
          <w:sz w:val="18"/>
        </w:rPr>
        <w:t> </w:t>
      </w:r>
      <w:r>
        <w:rPr>
          <w:sz w:val="18"/>
        </w:rPr>
        <w:t>et</w:t>
      </w:r>
      <w:r>
        <w:rPr>
          <w:spacing w:val="-3"/>
          <w:sz w:val="18"/>
        </w:rPr>
        <w:t> </w:t>
      </w:r>
      <w:r>
        <w:rPr>
          <w:sz w:val="18"/>
        </w:rPr>
        <w:t>al.</w:t>
      </w:r>
      <w:r>
        <w:rPr>
          <w:spacing w:val="-3"/>
          <w:sz w:val="18"/>
        </w:rPr>
        <w:t> </w:t>
      </w:r>
      <w:r>
        <w:rPr>
          <w:sz w:val="18"/>
        </w:rPr>
        <w:t>Is</w:t>
      </w:r>
      <w:r>
        <w:rPr>
          <w:spacing w:val="-3"/>
          <w:sz w:val="18"/>
        </w:rPr>
        <w:t> </w:t>
      </w:r>
      <w:r>
        <w:rPr>
          <w:sz w:val="18"/>
        </w:rPr>
        <w:t>the</w:t>
      </w:r>
      <w:r>
        <w:rPr>
          <w:spacing w:val="-3"/>
          <w:sz w:val="18"/>
        </w:rPr>
        <w:t> </w:t>
      </w:r>
      <w:r>
        <w:rPr>
          <w:sz w:val="18"/>
        </w:rPr>
        <w:t>CAG repeat of mitochondrial DNA polymerase gamma (POLG) associated with male infertility? A multi-centre French study. Human reproduction (Oxford, England) 2005;20:736–40.</w:t>
      </w:r>
    </w:p>
    <w:p>
      <w:pPr>
        <w:pStyle w:val="ListParagraph"/>
        <w:numPr>
          <w:ilvl w:val="0"/>
          <w:numId w:val="1"/>
        </w:numPr>
        <w:tabs>
          <w:tab w:pos="1830" w:val="left" w:leader="none"/>
          <w:tab w:pos="1860" w:val="left" w:leader="none"/>
        </w:tabs>
        <w:spacing w:line="254" w:lineRule="auto" w:before="42" w:after="0"/>
        <w:ind w:left="1860" w:right="469" w:hanging="300"/>
        <w:jc w:val="left"/>
        <w:rPr>
          <w:sz w:val="18"/>
        </w:rPr>
      </w:pPr>
      <w:r>
        <w:rPr>
          <w:sz w:val="18"/>
        </w:rPr>
        <w:t>Hakonen</w:t>
      </w:r>
      <w:r>
        <w:rPr>
          <w:spacing w:val="-3"/>
          <w:sz w:val="18"/>
        </w:rPr>
        <w:t> </w:t>
      </w:r>
      <w:r>
        <w:rPr>
          <w:sz w:val="18"/>
        </w:rPr>
        <w:t>AH,</w:t>
      </w:r>
      <w:r>
        <w:rPr>
          <w:spacing w:val="-3"/>
          <w:sz w:val="18"/>
        </w:rPr>
        <w:t> </w:t>
      </w:r>
      <w:r>
        <w:rPr>
          <w:sz w:val="18"/>
        </w:rPr>
        <w:t>Davidzon</w:t>
      </w:r>
      <w:r>
        <w:rPr>
          <w:spacing w:val="-3"/>
          <w:sz w:val="18"/>
        </w:rPr>
        <w:t> </w:t>
      </w:r>
      <w:r>
        <w:rPr>
          <w:sz w:val="18"/>
        </w:rPr>
        <w:t>G,</w:t>
      </w:r>
      <w:r>
        <w:rPr>
          <w:spacing w:val="-3"/>
          <w:sz w:val="18"/>
        </w:rPr>
        <w:t> </w:t>
      </w:r>
      <w:r>
        <w:rPr>
          <w:sz w:val="18"/>
        </w:rPr>
        <w:t>Salemi</w:t>
      </w:r>
      <w:r>
        <w:rPr>
          <w:spacing w:val="-3"/>
          <w:sz w:val="18"/>
        </w:rPr>
        <w:t> </w:t>
      </w:r>
      <w:r>
        <w:rPr>
          <w:sz w:val="18"/>
        </w:rPr>
        <w:t>R,</w:t>
      </w:r>
      <w:r>
        <w:rPr>
          <w:spacing w:val="-3"/>
          <w:sz w:val="18"/>
        </w:rPr>
        <w:t> </w:t>
      </w:r>
      <w:r>
        <w:rPr>
          <w:sz w:val="18"/>
        </w:rPr>
        <w:t>Bindoff</w:t>
      </w:r>
      <w:r>
        <w:rPr>
          <w:spacing w:val="-3"/>
          <w:sz w:val="18"/>
        </w:rPr>
        <w:t> </w:t>
      </w:r>
      <w:r>
        <w:rPr>
          <w:sz w:val="18"/>
        </w:rPr>
        <w:t>LA,</w:t>
      </w:r>
      <w:r>
        <w:rPr>
          <w:spacing w:val="-3"/>
          <w:sz w:val="18"/>
        </w:rPr>
        <w:t> </w:t>
      </w:r>
      <w:r>
        <w:rPr>
          <w:sz w:val="18"/>
        </w:rPr>
        <w:t>Van</w:t>
      </w:r>
      <w:r>
        <w:rPr>
          <w:spacing w:val="-3"/>
          <w:sz w:val="18"/>
        </w:rPr>
        <w:t> </w:t>
      </w:r>
      <w:r>
        <w:rPr>
          <w:sz w:val="18"/>
        </w:rPr>
        <w:t>Goethem</w:t>
      </w:r>
      <w:r>
        <w:rPr>
          <w:spacing w:val="-3"/>
          <w:sz w:val="18"/>
        </w:rPr>
        <w:t> </w:t>
      </w:r>
      <w:r>
        <w:rPr>
          <w:sz w:val="18"/>
        </w:rPr>
        <w:t>G,</w:t>
      </w:r>
      <w:r>
        <w:rPr>
          <w:spacing w:val="-3"/>
          <w:sz w:val="18"/>
        </w:rPr>
        <w:t> </w:t>
      </w:r>
      <w:r>
        <w:rPr>
          <w:sz w:val="18"/>
        </w:rPr>
        <w:t>Dimauro</w:t>
      </w:r>
      <w:r>
        <w:rPr>
          <w:spacing w:val="-3"/>
          <w:sz w:val="18"/>
        </w:rPr>
        <w:t> </w:t>
      </w:r>
      <w:r>
        <w:rPr>
          <w:sz w:val="18"/>
        </w:rPr>
        <w:t>S,</w:t>
      </w:r>
      <w:r>
        <w:rPr>
          <w:spacing w:val="-3"/>
          <w:sz w:val="18"/>
        </w:rPr>
        <w:t> </w:t>
      </w:r>
      <w:r>
        <w:rPr>
          <w:sz w:val="18"/>
        </w:rPr>
        <w:t>et</w:t>
      </w:r>
      <w:r>
        <w:rPr>
          <w:spacing w:val="-3"/>
          <w:sz w:val="18"/>
        </w:rPr>
        <w:t> </w:t>
      </w:r>
      <w:r>
        <w:rPr>
          <w:sz w:val="18"/>
        </w:rPr>
        <w:t>al.</w:t>
      </w:r>
      <w:r>
        <w:rPr>
          <w:spacing w:val="-3"/>
          <w:sz w:val="18"/>
        </w:rPr>
        <w:t> </w:t>
      </w:r>
      <w:r>
        <w:rPr>
          <w:sz w:val="18"/>
        </w:rPr>
        <w:t>Abundance of the POLG disease mutations in Europe, Australia, New Zealand, and the United States explained by single ancient European founders. Eur J Hum Genet 2007;15:779–83. [PubMed: </w:t>
      </w:r>
      <w:r>
        <w:rPr>
          <w:spacing w:val="-2"/>
          <w:sz w:val="18"/>
        </w:rPr>
        <w:t>17426723]</w:t>
      </w:r>
    </w:p>
    <w:p>
      <w:pPr>
        <w:pStyle w:val="ListParagraph"/>
        <w:numPr>
          <w:ilvl w:val="0"/>
          <w:numId w:val="1"/>
        </w:numPr>
        <w:tabs>
          <w:tab w:pos="1830" w:val="left" w:leader="none"/>
          <w:tab w:pos="1860" w:val="left" w:leader="none"/>
        </w:tabs>
        <w:spacing w:line="254" w:lineRule="auto" w:before="42" w:after="0"/>
        <w:ind w:left="1860" w:right="874" w:hanging="300"/>
        <w:jc w:val="left"/>
        <w:rPr>
          <w:sz w:val="18"/>
        </w:rPr>
      </w:pPr>
      <w:r>
        <w:rPr>
          <w:sz w:val="18"/>
        </w:rPr>
        <w:t>Steuerwald N, Barritt JA, Adler R, Malter H, Schimmel T, Cohen J, et al. Quantification of mtDNA</w:t>
      </w:r>
      <w:r>
        <w:rPr>
          <w:spacing w:val="-4"/>
          <w:sz w:val="18"/>
        </w:rPr>
        <w:t> </w:t>
      </w:r>
      <w:r>
        <w:rPr>
          <w:sz w:val="18"/>
        </w:rPr>
        <w:t>in</w:t>
      </w:r>
      <w:r>
        <w:rPr>
          <w:spacing w:val="-4"/>
          <w:sz w:val="18"/>
        </w:rPr>
        <w:t> </w:t>
      </w:r>
      <w:r>
        <w:rPr>
          <w:sz w:val="18"/>
        </w:rPr>
        <w:t>single</w:t>
      </w:r>
      <w:r>
        <w:rPr>
          <w:spacing w:val="-4"/>
          <w:sz w:val="18"/>
        </w:rPr>
        <w:t> </w:t>
      </w:r>
      <w:r>
        <w:rPr>
          <w:sz w:val="18"/>
        </w:rPr>
        <w:t>oocytes,</w:t>
      </w:r>
      <w:r>
        <w:rPr>
          <w:spacing w:val="-4"/>
          <w:sz w:val="18"/>
        </w:rPr>
        <w:t> </w:t>
      </w:r>
      <w:r>
        <w:rPr>
          <w:sz w:val="18"/>
        </w:rPr>
        <w:t>polar</w:t>
      </w:r>
      <w:r>
        <w:rPr>
          <w:spacing w:val="-4"/>
          <w:sz w:val="18"/>
        </w:rPr>
        <w:t> </w:t>
      </w:r>
      <w:r>
        <w:rPr>
          <w:sz w:val="18"/>
        </w:rPr>
        <w:t>bodies</w:t>
      </w:r>
      <w:r>
        <w:rPr>
          <w:spacing w:val="-4"/>
          <w:sz w:val="18"/>
        </w:rPr>
        <w:t> </w:t>
      </w:r>
      <w:r>
        <w:rPr>
          <w:sz w:val="18"/>
        </w:rPr>
        <w:t>and</w:t>
      </w:r>
      <w:r>
        <w:rPr>
          <w:spacing w:val="-4"/>
          <w:sz w:val="18"/>
        </w:rPr>
        <w:t> </w:t>
      </w:r>
      <w:r>
        <w:rPr>
          <w:sz w:val="18"/>
        </w:rPr>
        <w:t>subcellular</w:t>
      </w:r>
      <w:r>
        <w:rPr>
          <w:spacing w:val="-4"/>
          <w:sz w:val="18"/>
        </w:rPr>
        <w:t> </w:t>
      </w:r>
      <w:r>
        <w:rPr>
          <w:sz w:val="18"/>
        </w:rPr>
        <w:t>components</w:t>
      </w:r>
      <w:r>
        <w:rPr>
          <w:spacing w:val="-4"/>
          <w:sz w:val="18"/>
        </w:rPr>
        <w:t> </w:t>
      </w:r>
      <w:r>
        <w:rPr>
          <w:sz w:val="18"/>
        </w:rPr>
        <w:t>by</w:t>
      </w:r>
      <w:r>
        <w:rPr>
          <w:spacing w:val="-4"/>
          <w:sz w:val="18"/>
        </w:rPr>
        <w:t> </w:t>
      </w:r>
      <w:r>
        <w:rPr>
          <w:sz w:val="18"/>
        </w:rPr>
        <w:t>real-time</w:t>
      </w:r>
      <w:r>
        <w:rPr>
          <w:spacing w:val="-4"/>
          <w:sz w:val="18"/>
        </w:rPr>
        <w:t> </w:t>
      </w:r>
      <w:r>
        <w:rPr>
          <w:sz w:val="18"/>
        </w:rPr>
        <w:t>rapid</w:t>
      </w:r>
      <w:r>
        <w:rPr>
          <w:spacing w:val="-4"/>
          <w:sz w:val="18"/>
        </w:rPr>
        <w:t> </w:t>
      </w:r>
      <w:r>
        <w:rPr>
          <w:sz w:val="18"/>
        </w:rPr>
        <w:t>cycle fluorescence monitored PCR. Zygote (Cambridge, England) 2000;8:209–15.</w:t>
      </w:r>
    </w:p>
    <w:p>
      <w:pPr>
        <w:pStyle w:val="ListParagraph"/>
        <w:numPr>
          <w:ilvl w:val="0"/>
          <w:numId w:val="1"/>
        </w:numPr>
        <w:tabs>
          <w:tab w:pos="1830" w:val="left" w:leader="none"/>
          <w:tab w:pos="1860" w:val="left" w:leader="none"/>
        </w:tabs>
        <w:spacing w:line="254" w:lineRule="auto" w:before="42" w:after="0"/>
        <w:ind w:left="1860" w:right="615" w:hanging="300"/>
        <w:jc w:val="both"/>
        <w:rPr>
          <w:sz w:val="18"/>
        </w:rPr>
      </w:pPr>
      <w:r>
        <w:rPr>
          <w:sz w:val="18"/>
        </w:rPr>
        <w:t>Wycherley</w:t>
      </w:r>
      <w:r>
        <w:rPr>
          <w:spacing w:val="-4"/>
          <w:sz w:val="18"/>
        </w:rPr>
        <w:t> </w:t>
      </w:r>
      <w:r>
        <w:rPr>
          <w:sz w:val="18"/>
        </w:rPr>
        <w:t>G,</w:t>
      </w:r>
      <w:r>
        <w:rPr>
          <w:spacing w:val="-4"/>
          <w:sz w:val="18"/>
        </w:rPr>
        <w:t> </w:t>
      </w:r>
      <w:r>
        <w:rPr>
          <w:sz w:val="18"/>
        </w:rPr>
        <w:t>Kane</w:t>
      </w:r>
      <w:r>
        <w:rPr>
          <w:spacing w:val="-4"/>
          <w:sz w:val="18"/>
        </w:rPr>
        <w:t> </w:t>
      </w:r>
      <w:r>
        <w:rPr>
          <w:sz w:val="18"/>
        </w:rPr>
        <w:t>MT,</w:t>
      </w:r>
      <w:r>
        <w:rPr>
          <w:spacing w:val="-4"/>
          <w:sz w:val="18"/>
        </w:rPr>
        <w:t> </w:t>
      </w:r>
      <w:r>
        <w:rPr>
          <w:sz w:val="18"/>
        </w:rPr>
        <w:t>Hynes</w:t>
      </w:r>
      <w:r>
        <w:rPr>
          <w:spacing w:val="-4"/>
          <w:sz w:val="18"/>
        </w:rPr>
        <w:t> </w:t>
      </w:r>
      <w:r>
        <w:rPr>
          <w:sz w:val="18"/>
        </w:rPr>
        <w:t>AC.</w:t>
      </w:r>
      <w:r>
        <w:rPr>
          <w:spacing w:val="-4"/>
          <w:sz w:val="18"/>
        </w:rPr>
        <w:t> </w:t>
      </w:r>
      <w:r>
        <w:rPr>
          <w:sz w:val="18"/>
        </w:rPr>
        <w:t>Oxidative</w:t>
      </w:r>
      <w:r>
        <w:rPr>
          <w:spacing w:val="-4"/>
          <w:sz w:val="18"/>
        </w:rPr>
        <w:t> </w:t>
      </w:r>
      <w:r>
        <w:rPr>
          <w:sz w:val="18"/>
        </w:rPr>
        <w:t>phosphorylation</w:t>
      </w:r>
      <w:r>
        <w:rPr>
          <w:spacing w:val="-4"/>
          <w:sz w:val="18"/>
        </w:rPr>
        <w:t> </w:t>
      </w:r>
      <w:r>
        <w:rPr>
          <w:sz w:val="18"/>
        </w:rPr>
        <w:t>and</w:t>
      </w:r>
      <w:r>
        <w:rPr>
          <w:spacing w:val="-4"/>
          <w:sz w:val="18"/>
        </w:rPr>
        <w:t> </w:t>
      </w:r>
      <w:r>
        <w:rPr>
          <w:sz w:val="18"/>
        </w:rPr>
        <w:t>the</w:t>
      </w:r>
      <w:r>
        <w:rPr>
          <w:spacing w:val="-4"/>
          <w:sz w:val="18"/>
        </w:rPr>
        <w:t> </w:t>
      </w:r>
      <w:r>
        <w:rPr>
          <w:sz w:val="18"/>
        </w:rPr>
        <w:t>tricarboxylic</w:t>
      </w:r>
      <w:r>
        <w:rPr>
          <w:spacing w:val="-4"/>
          <w:sz w:val="18"/>
        </w:rPr>
        <w:t> </w:t>
      </w:r>
      <w:r>
        <w:rPr>
          <w:sz w:val="18"/>
        </w:rPr>
        <w:t>acid</w:t>
      </w:r>
      <w:r>
        <w:rPr>
          <w:spacing w:val="-4"/>
          <w:sz w:val="18"/>
        </w:rPr>
        <w:t> </w:t>
      </w:r>
      <w:r>
        <w:rPr>
          <w:sz w:val="18"/>
        </w:rPr>
        <w:t>cycle are essential for normal development of mouse ovarian follicles. Human reproduction (Oxford, England) 2005;20:2757–63.</w:t>
      </w:r>
    </w:p>
    <w:p>
      <w:pPr>
        <w:pStyle w:val="ListParagraph"/>
        <w:spacing w:after="0" w:line="254" w:lineRule="auto"/>
        <w:jc w:val="both"/>
        <w:rPr>
          <w:sz w:val="18"/>
        </w:rPr>
        <w:sectPr>
          <w:pgSz w:w="12240" w:h="15840"/>
          <w:pgMar w:header="0" w:footer="1355" w:top="660" w:bottom="1540" w:left="1440" w:right="1440"/>
        </w:sectPr>
      </w:pPr>
    </w:p>
    <w:p>
      <w:pPr>
        <w:pStyle w:val="BodyText"/>
        <w:rPr>
          <w:sz w:val="18"/>
        </w:rPr>
      </w:pPr>
      <w:r>
        <w:rPr>
          <w:sz w:val="18"/>
        </w:rPr>
        <mc:AlternateContent>
          <mc:Choice Requires="wps">
            <w:drawing>
              <wp:anchor distT="0" distB="0" distL="0" distR="0" allowOverlap="1" layoutInCell="1" locked="0" behindDoc="0" simplePos="0" relativeHeight="15740416">
                <wp:simplePos x="0" y="0"/>
                <wp:positionH relativeFrom="page">
                  <wp:posOffset>914400</wp:posOffset>
                </wp:positionH>
                <wp:positionV relativeFrom="page">
                  <wp:posOffset>228600</wp:posOffset>
                </wp:positionV>
                <wp:extent cx="8686800" cy="22860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686800" cy="228600"/>
                        </a:xfrm>
                        <a:custGeom>
                          <a:avLst/>
                          <a:gdLst/>
                          <a:ahLst/>
                          <a:cxnLst/>
                          <a:rect l="l" t="t" r="r" b="b"/>
                          <a:pathLst>
                            <a:path w="8686800" h="228600">
                              <a:moveTo>
                                <a:pt x="0" y="228600"/>
                              </a:moveTo>
                              <a:lnTo>
                                <a:pt x="0" y="0"/>
                              </a:lnTo>
                              <a:lnTo>
                                <a:pt x="8686800" y="0"/>
                              </a:lnTo>
                              <a:lnTo>
                                <a:pt x="8686800" y="228600"/>
                              </a:lnTo>
                              <a:lnTo>
                                <a:pt x="0" y="228600"/>
                              </a:lnTo>
                              <a:close/>
                            </a:path>
                          </a:pathLst>
                        </a:custGeom>
                        <a:solidFill>
                          <a:srgbClr val="B4C6DE"/>
                        </a:solidFill>
                      </wps:spPr>
                      <wps:bodyPr wrap="square" lIns="0" tIns="0" rIns="0" bIns="0" rtlCol="0">
                        <a:prstTxWarp prst="textNoShape">
                          <a:avLst/>
                        </a:prstTxWarp>
                        <a:noAutofit/>
                      </wps:bodyPr>
                    </wps:wsp>
                  </a:graphicData>
                </a:graphic>
              </wp:anchor>
            </w:drawing>
          </mc:Choice>
          <mc:Fallback>
            <w:pict>
              <v:rect style="position:absolute;margin-left:72pt;margin-top:18pt;width:684pt;height:18.0pt;mso-position-horizontal-relative:page;mso-position-vertical-relative:page;z-index:15740416" id="docshape28" filled="true" fillcolor="#b4c6de" stroked="false">
                <v:fill type="solid"/>
                <w10:wrap type="none"/>
              </v:rect>
            </w:pict>
          </mc:Fallback>
        </mc:AlternateContent>
      </w:r>
      <w:r>
        <w:rPr>
          <w:sz w:val="18"/>
        </w:rPr>
        <mc:AlternateContent>
          <mc:Choice Requires="wps">
            <w:drawing>
              <wp:anchor distT="0" distB="0" distL="0" distR="0" allowOverlap="1" layoutInCell="1" locked="0" behindDoc="0" simplePos="0" relativeHeight="15740928">
                <wp:simplePos x="0" y="0"/>
                <wp:positionH relativeFrom="page">
                  <wp:posOffset>9461500</wp:posOffset>
                </wp:positionH>
                <wp:positionV relativeFrom="page">
                  <wp:posOffset>977900</wp:posOffset>
                </wp:positionV>
                <wp:extent cx="138430" cy="4629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8430" cy="462915"/>
                        </a:xfrm>
                        <a:prstGeom prst="rect">
                          <a:avLst/>
                        </a:prstGeom>
                      </wps:spPr>
                      <wps:txbx>
                        <w:txbxContent>
                          <w:p>
                            <w:pPr>
                              <w:spacing w:before="13"/>
                              <w:ind w:left="20" w:right="0" w:firstLine="0"/>
                              <w:jc w:val="left"/>
                              <w:rPr>
                                <w:sz w:val="16"/>
                              </w:rPr>
                            </w:pPr>
                            <w:r>
                              <w:rPr>
                                <w:sz w:val="16"/>
                              </w:rPr>
                              <w:t>Tong et </w:t>
                            </w:r>
                            <w:r>
                              <w:rPr>
                                <w:spacing w:val="-5"/>
                                <w:sz w:val="16"/>
                              </w:rPr>
                              <w:t>al.</w:t>
                            </w:r>
                          </w:p>
                        </w:txbxContent>
                      </wps:txbx>
                      <wps:bodyPr wrap="square" lIns="0" tIns="0" rIns="0" bIns="0" rtlCol="0" vert="vert">
                        <a:noAutofit/>
                      </wps:bodyPr>
                    </wps:wsp>
                  </a:graphicData>
                </a:graphic>
              </wp:anchor>
            </w:drawing>
          </mc:Choice>
          <mc:Fallback>
            <w:pict>
              <v:shape style="position:absolute;margin-left:745pt;margin-top:77pt;width:10.9pt;height:36.450pt;mso-position-horizontal-relative:page;mso-position-vertical-relative:page;z-index:15740928" type="#_x0000_t202" id="docshape29" filled="false" stroked="false">
                <v:textbox inset="0,0,0,0" style="layout-flow:vertical">
                  <w:txbxContent>
                    <w:p>
                      <w:pPr>
                        <w:spacing w:before="13"/>
                        <w:ind w:left="20" w:right="0" w:firstLine="0"/>
                        <w:jc w:val="left"/>
                        <w:rPr>
                          <w:sz w:val="16"/>
                        </w:rPr>
                      </w:pPr>
                      <w:r>
                        <w:rPr>
                          <w:sz w:val="16"/>
                        </w:rPr>
                        <w:t>Tong et </w:t>
                      </w:r>
                      <w:r>
                        <w:rPr>
                          <w:spacing w:val="-5"/>
                          <w:sz w:val="16"/>
                        </w:rPr>
                        <w:t>al.</w:t>
                      </w:r>
                    </w:p>
                  </w:txbxContent>
                </v:textbox>
                <w10:wrap type="none"/>
              </v:shape>
            </w:pict>
          </mc:Fallback>
        </mc:AlternateContent>
      </w:r>
      <w:r>
        <w:rPr>
          <w:sz w:val="18"/>
        </w:rPr>
        <mc:AlternateContent>
          <mc:Choice Requires="wps">
            <w:drawing>
              <wp:anchor distT="0" distB="0" distL="0" distR="0" allowOverlap="1" layoutInCell="1" locked="0" behindDoc="0" simplePos="0" relativeHeight="15741440">
                <wp:simplePos x="0" y="0"/>
                <wp:positionH relativeFrom="page">
                  <wp:posOffset>9461500</wp:posOffset>
                </wp:positionH>
                <wp:positionV relativeFrom="page">
                  <wp:posOffset>6343005</wp:posOffset>
                </wp:positionV>
                <wp:extent cx="138430" cy="2997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8430" cy="299720"/>
                        </a:xfrm>
                        <a:prstGeom prst="rect">
                          <a:avLst/>
                        </a:prstGeom>
                      </wps:spPr>
                      <wps:txbx>
                        <w:txbxContent>
                          <w:p>
                            <w:pPr>
                              <w:spacing w:before="13"/>
                              <w:ind w:left="20" w:right="0" w:firstLine="0"/>
                              <w:jc w:val="left"/>
                              <w:rPr>
                                <w:sz w:val="16"/>
                              </w:rPr>
                            </w:pPr>
                            <w:r>
                              <w:rPr>
                                <w:sz w:val="16"/>
                              </w:rPr>
                              <w:t>Page </w:t>
                            </w:r>
                            <w:r>
                              <w:rPr>
                                <w:spacing w:val="-10"/>
                                <w:sz w:val="16"/>
                              </w:rPr>
                              <w:t>6</w:t>
                            </w:r>
                          </w:p>
                        </w:txbxContent>
                      </wps:txbx>
                      <wps:bodyPr wrap="square" lIns="0" tIns="0" rIns="0" bIns="0" rtlCol="0" vert="vert">
                        <a:noAutofit/>
                      </wps:bodyPr>
                    </wps:wsp>
                  </a:graphicData>
                </a:graphic>
              </wp:anchor>
            </w:drawing>
          </mc:Choice>
          <mc:Fallback>
            <w:pict>
              <v:shape style="position:absolute;margin-left:745pt;margin-top:499.449219pt;width:10.9pt;height:23.6pt;mso-position-horizontal-relative:page;mso-position-vertical-relative:page;z-index:15741440" type="#_x0000_t202" id="docshape30" filled="false" stroked="false">
                <v:textbox inset="0,0,0,0" style="layout-flow:vertical">
                  <w:txbxContent>
                    <w:p>
                      <w:pPr>
                        <w:spacing w:before="13"/>
                        <w:ind w:left="20" w:right="0" w:firstLine="0"/>
                        <w:jc w:val="left"/>
                        <w:rPr>
                          <w:sz w:val="16"/>
                        </w:rPr>
                      </w:pPr>
                      <w:r>
                        <w:rPr>
                          <w:sz w:val="16"/>
                        </w:rPr>
                        <w:t>Page </w:t>
                      </w:r>
                      <w:r>
                        <w:rPr>
                          <w:spacing w:val="-10"/>
                          <w:sz w:val="16"/>
                        </w:rPr>
                        <w:t>6</w:t>
                      </w:r>
                    </w:p>
                  </w:txbxContent>
                </v:textbox>
                <w10:wrap type="none"/>
              </v:shape>
            </w:pict>
          </mc:Fallback>
        </mc:AlternateContent>
      </w:r>
      <w:r>
        <w:rPr>
          <w:sz w:val="18"/>
        </w:rPr>
        <mc:AlternateContent>
          <mc:Choice Requires="wps">
            <w:drawing>
              <wp:anchor distT="0" distB="0" distL="0" distR="0" allowOverlap="1" layoutInCell="1" locked="0" behindDoc="0" simplePos="0" relativeHeight="15741952">
                <wp:simplePos x="0" y="0"/>
                <wp:positionH relativeFrom="page">
                  <wp:posOffset>861943</wp:posOffset>
                </wp:positionH>
                <wp:positionV relativeFrom="page">
                  <wp:posOffset>2115542</wp:posOffset>
                </wp:positionV>
                <wp:extent cx="138430" cy="28555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8430" cy="2855595"/>
                        </a:xfrm>
                        <a:prstGeom prst="rect">
                          <a:avLst/>
                        </a:prstGeom>
                      </wps:spPr>
                      <wps:txbx>
                        <w:txbxContent>
                          <w:p>
                            <w:pPr>
                              <w:spacing w:before="13"/>
                              <w:ind w:left="20" w:right="0" w:firstLine="0"/>
                              <w:jc w:val="left"/>
                              <w:rPr>
                                <w:sz w:val="16"/>
                              </w:rPr>
                            </w:pPr>
                            <w:r>
                              <w:rPr>
                                <w:i/>
                                <w:sz w:val="16"/>
                              </w:rPr>
                              <w:t>Fertil Steril</w:t>
                            </w:r>
                            <w:r>
                              <w:rPr>
                                <w:sz w:val="16"/>
                              </w:rPr>
                              <w:t>. Author manuscript; available in PMC 2011 December </w:t>
                            </w:r>
                            <w:r>
                              <w:rPr>
                                <w:spacing w:val="-5"/>
                                <w:sz w:val="16"/>
                              </w:rPr>
                              <w:t>1.</w:t>
                            </w:r>
                          </w:p>
                        </w:txbxContent>
                      </wps:txbx>
                      <wps:bodyPr wrap="square" lIns="0" tIns="0" rIns="0" bIns="0" rtlCol="0" vert="vert">
                        <a:noAutofit/>
                      </wps:bodyPr>
                    </wps:wsp>
                  </a:graphicData>
                </a:graphic>
              </wp:anchor>
            </w:drawing>
          </mc:Choice>
          <mc:Fallback>
            <w:pict>
              <v:shape style="position:absolute;margin-left:67.86953pt;margin-top:166.578125pt;width:10.9pt;height:224.85pt;mso-position-horizontal-relative:page;mso-position-vertical-relative:page;z-index:15741952" type="#_x0000_t202" id="docshape31" filled="false" stroked="false">
                <v:textbox inset="0,0,0,0" style="layout-flow:vertical">
                  <w:txbxContent>
                    <w:p>
                      <w:pPr>
                        <w:spacing w:before="13"/>
                        <w:ind w:left="20" w:right="0" w:firstLine="0"/>
                        <w:jc w:val="left"/>
                        <w:rPr>
                          <w:sz w:val="16"/>
                        </w:rPr>
                      </w:pPr>
                      <w:r>
                        <w:rPr>
                          <w:i/>
                          <w:sz w:val="16"/>
                        </w:rPr>
                        <w:t>Fertil Steril</w:t>
                      </w:r>
                      <w:r>
                        <w:rPr>
                          <w:sz w:val="16"/>
                        </w:rPr>
                        <w:t>. Author manuscript; available in PMC 2011 December </w:t>
                      </w:r>
                      <w:r>
                        <w:rPr>
                          <w:spacing w:val="-5"/>
                          <w:sz w:val="16"/>
                        </w:rPr>
                        <w:t>1.</w:t>
                      </w:r>
                    </w:p>
                  </w:txbxContent>
                </v:textbox>
                <w10:wrap type="none"/>
              </v:shape>
            </w:pict>
          </mc:Fallback>
        </mc:AlternateContent>
      </w:r>
    </w:p>
    <w:p>
      <w:pPr>
        <w:pStyle w:val="BodyText"/>
        <w:rPr>
          <w:sz w:val="18"/>
        </w:rPr>
      </w:pPr>
    </w:p>
    <w:p>
      <w:pPr>
        <w:pStyle w:val="BodyText"/>
        <w:spacing w:before="122"/>
        <w:rPr>
          <w:sz w:val="18"/>
        </w:rPr>
      </w:pPr>
    </w:p>
    <w:p>
      <w:pPr>
        <w:spacing w:before="0"/>
        <w:ind w:left="1079" w:right="0" w:firstLine="0"/>
        <w:jc w:val="center"/>
        <w:rPr>
          <w:rFonts w:ascii="Arial"/>
          <w:b/>
          <w:sz w:val="18"/>
        </w:rPr>
      </w:pPr>
      <w:r>
        <w:rPr>
          <w:rFonts w:ascii="Arial"/>
          <w:b/>
          <w:sz w:val="18"/>
        </w:rPr>
        <mc:AlternateContent>
          <mc:Choice Requires="wps">
            <w:drawing>
              <wp:anchor distT="0" distB="0" distL="0" distR="0" allowOverlap="1" layoutInCell="1" locked="0" behindDoc="0" simplePos="0" relativeHeight="15742464">
                <wp:simplePos x="0" y="0"/>
                <wp:positionH relativeFrom="page">
                  <wp:posOffset>6890987</wp:posOffset>
                </wp:positionH>
                <wp:positionV relativeFrom="paragraph">
                  <wp:posOffset>-429206</wp:posOffset>
                </wp:positionV>
                <wp:extent cx="1796414" cy="152400"/>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0800000">
                          <a:off x="0" y="0"/>
                          <a:ext cx="1796414" cy="152400"/>
                        </a:xfrm>
                        <a:prstGeom prst="rect">
                          <a:avLst/>
                        </a:prstGeom>
                      </wps:spPr>
                      <wps:txbx>
                        <w:txbxContent>
                          <w:p>
                            <w:pPr>
                              <w:spacing w:line="240" w:lineRule="exact" w:before="0"/>
                              <w:ind w:left="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a:noAutofit/>
                      </wps:bodyPr>
                    </wps:wsp>
                  </a:graphicData>
                </a:graphic>
              </wp:anchor>
            </w:drawing>
          </mc:Choice>
          <mc:Fallback>
            <w:pict>
              <v:shape style="position:absolute;margin-left:542.597412pt;margin-top:-33.795799pt;width:141.450pt;height:12pt;mso-position-horizontal-relative:page;mso-position-vertical-relative:paragraph;z-index:15742464;rotation:180" type="#_x0000_t136" fillcolor="#000066" stroked="f">
                <o:extrusion v:ext="view" autorotationcenter="t"/>
                <v:textpath style="font-family:&quot;Arial&quot;;font-size:12pt;v-text-kern:t;mso-text-shadow:auto" string="NIH-PA Author Manuscript"/>
                <w10:wrap type="none"/>
              </v:shape>
            </w:pict>
          </mc:Fallback>
        </mc:AlternateContent>
      </w:r>
      <w:r>
        <w:rPr>
          <w:rFonts w:ascii="Arial"/>
          <w:b/>
          <w:sz w:val="18"/>
        </w:rPr>
        <mc:AlternateContent>
          <mc:Choice Requires="wps">
            <w:drawing>
              <wp:anchor distT="0" distB="0" distL="0" distR="0" allowOverlap="1" layoutInCell="1" locked="0" behindDoc="0" simplePos="0" relativeHeight="15742976">
                <wp:simplePos x="0" y="0"/>
                <wp:positionH relativeFrom="page">
                  <wp:posOffset>4180774</wp:posOffset>
                </wp:positionH>
                <wp:positionV relativeFrom="paragraph">
                  <wp:posOffset>-429206</wp:posOffset>
                </wp:positionV>
                <wp:extent cx="1796414"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0800000">
                          <a:off x="0" y="0"/>
                          <a:ext cx="1796414" cy="152400"/>
                        </a:xfrm>
                        <a:prstGeom prst="rect">
                          <a:avLst/>
                        </a:prstGeom>
                      </wps:spPr>
                      <wps:txbx>
                        <w:txbxContent>
                          <w:p>
                            <w:pPr>
                              <w:spacing w:line="240" w:lineRule="exact" w:before="0"/>
                              <w:ind w:left="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a:noAutofit/>
                      </wps:bodyPr>
                    </wps:wsp>
                  </a:graphicData>
                </a:graphic>
              </wp:anchor>
            </w:drawing>
          </mc:Choice>
          <mc:Fallback>
            <w:pict>
              <v:shape style="position:absolute;margin-left:329.194855pt;margin-top:-33.795799pt;width:141.450pt;height:12pt;mso-position-horizontal-relative:page;mso-position-vertical-relative:paragraph;z-index:15742976;rotation:180" type="#_x0000_t136" fillcolor="#000066" stroked="f">
                <o:extrusion v:ext="view" autorotationcenter="t"/>
                <v:textpath style="font-family:&quot;Arial&quot;;font-size:12pt;v-text-kern:t;mso-text-shadow:auto" string="NIH-PA Author Manuscript"/>
                <w10:wrap type="none"/>
              </v:shape>
            </w:pict>
          </mc:Fallback>
        </mc:AlternateContent>
      </w:r>
      <w:r>
        <w:rPr>
          <w:rFonts w:ascii="Arial"/>
          <w:b/>
          <w:sz w:val="18"/>
        </w:rPr>
        <mc:AlternateContent>
          <mc:Choice Requires="wps">
            <w:drawing>
              <wp:anchor distT="0" distB="0" distL="0" distR="0" allowOverlap="1" layoutInCell="1" locked="0" behindDoc="0" simplePos="0" relativeHeight="15743488">
                <wp:simplePos x="0" y="0"/>
                <wp:positionH relativeFrom="page">
                  <wp:posOffset>1470562</wp:posOffset>
                </wp:positionH>
                <wp:positionV relativeFrom="paragraph">
                  <wp:posOffset>-429206</wp:posOffset>
                </wp:positionV>
                <wp:extent cx="1796414"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0800000">
                          <a:off x="0" y="0"/>
                          <a:ext cx="1796414" cy="152400"/>
                        </a:xfrm>
                        <a:prstGeom prst="rect">
                          <a:avLst/>
                        </a:prstGeom>
                      </wps:spPr>
                      <wps:txbx>
                        <w:txbxContent>
                          <w:p>
                            <w:pPr>
                              <w:spacing w:line="240" w:lineRule="exact" w:before="0"/>
                              <w:ind w:left="0" w:right="0" w:firstLine="0"/>
                              <w:jc w:val="left"/>
                              <w:rPr>
                                <w:rFonts w:ascii="Arial"/>
                                <w:sz w:val="24"/>
                              </w:rPr>
                            </w:pPr>
                            <w:r>
                              <w:rPr>
                                <w:rFonts w:ascii="Arial"/>
                                <w:color w:val="000066"/>
                                <w:sz w:val="24"/>
                              </w:rPr>
                              <w:t>NIH-PA</w:t>
                            </w:r>
                            <w:r>
                              <w:rPr>
                                <w:rFonts w:ascii="Arial"/>
                                <w:color w:val="000066"/>
                                <w:spacing w:val="-9"/>
                                <w:sz w:val="24"/>
                              </w:rPr>
                              <w:t> </w:t>
                            </w:r>
                            <w:r>
                              <w:rPr>
                                <w:rFonts w:ascii="Arial"/>
                                <w:color w:val="000066"/>
                                <w:sz w:val="24"/>
                              </w:rPr>
                              <w:t>Author</w:t>
                            </w:r>
                            <w:r>
                              <w:rPr>
                                <w:rFonts w:ascii="Arial"/>
                                <w:color w:val="000066"/>
                                <w:spacing w:val="-8"/>
                                <w:sz w:val="24"/>
                              </w:rPr>
                              <w:t> </w:t>
                            </w:r>
                            <w:r>
                              <w:rPr>
                                <w:rFonts w:ascii="Arial"/>
                                <w:color w:val="000066"/>
                                <w:spacing w:val="-2"/>
                                <w:sz w:val="24"/>
                              </w:rPr>
                              <w:t>Manuscript</w:t>
                            </w:r>
                          </w:p>
                        </w:txbxContent>
                      </wps:txbx>
                      <wps:bodyPr wrap="square" lIns="0" tIns="0" rIns="0" bIns="0" rtlCol="0">
                        <a:noAutofit/>
                      </wps:bodyPr>
                    </wps:wsp>
                  </a:graphicData>
                </a:graphic>
              </wp:anchor>
            </w:drawing>
          </mc:Choice>
          <mc:Fallback>
            <w:pict>
              <v:shape style="position:absolute;margin-left:115.79229pt;margin-top:-33.795799pt;width:141.450pt;height:12pt;mso-position-horizontal-relative:page;mso-position-vertical-relative:paragraph;z-index:15743488;rotation:180" type="#_x0000_t136" fillcolor="#000066" stroked="f">
                <o:extrusion v:ext="view" autorotationcenter="t"/>
                <v:textpath style="font-family:&quot;Arial&quot;;font-size:12pt;v-text-kern:t;mso-text-shadow:auto" string="NIH-PA Author Manuscript"/>
                <w10:wrap type="none"/>
              </v:shape>
            </w:pict>
          </mc:Fallback>
        </mc:AlternateContent>
      </w:r>
      <w:r>
        <w:rPr>
          <w:rFonts w:ascii="Arial"/>
          <w:b/>
          <w:sz w:val="18"/>
        </w:rPr>
        <w:t>Table</w:t>
      </w:r>
      <w:r>
        <w:rPr>
          <w:rFonts w:ascii="Arial"/>
          <w:b/>
          <w:spacing w:val="-4"/>
          <w:sz w:val="18"/>
        </w:rPr>
        <w:t> </w:t>
      </w:r>
      <w:r>
        <w:rPr>
          <w:rFonts w:ascii="Arial"/>
          <w:b/>
          <w:spacing w:val="-10"/>
          <w:sz w:val="18"/>
        </w:rPr>
        <w:t>1</w:t>
      </w:r>
    </w:p>
    <w:p>
      <w:pPr>
        <w:pStyle w:val="Heading2"/>
        <w:ind w:left="480"/>
        <w:rPr>
          <w:rFonts w:ascii="Times New Roman"/>
        </w:rPr>
      </w:pPr>
      <w:r>
        <w:rPr>
          <w:rFonts w:ascii="Times New Roman"/>
        </w:rPr>
        <w:t>RFLP Analysis of </w:t>
      </w:r>
      <w:r>
        <w:rPr>
          <w:rFonts w:ascii="Times New Roman"/>
          <w:i/>
        </w:rPr>
        <w:t>POLG </w:t>
      </w:r>
      <w:r>
        <w:rPr>
          <w:rFonts w:ascii="Times New Roman"/>
          <w:spacing w:val="-2"/>
        </w:rPr>
        <w:t>Mutations</w:t>
      </w:r>
    </w:p>
    <w:p>
      <w:pPr>
        <w:pStyle w:val="BodyText"/>
        <w:spacing w:before="76"/>
        <w:rPr>
          <w:b/>
        </w:rPr>
      </w:pPr>
      <w:r>
        <w:rPr>
          <w:b/>
        </w:rPr>
        <mc:AlternateContent>
          <mc:Choice Requires="wps">
            <w:drawing>
              <wp:anchor distT="0" distB="0" distL="0" distR="0" allowOverlap="1" layoutInCell="1" locked="0" behindDoc="1" simplePos="0" relativeHeight="487599104">
                <wp:simplePos x="0" y="0"/>
                <wp:positionH relativeFrom="page">
                  <wp:posOffset>1447800</wp:posOffset>
                </wp:positionH>
                <wp:positionV relativeFrom="paragraph">
                  <wp:posOffset>209607</wp:posOffset>
                </wp:positionV>
                <wp:extent cx="5201285" cy="1270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5201285" cy="12700"/>
                          <a:chExt cx="5201285" cy="12700"/>
                        </a:xfrm>
                      </wpg:grpSpPr>
                      <wps:wsp>
                        <wps:cNvPr id="37" name="Graphic 37"/>
                        <wps:cNvSpPr/>
                        <wps:spPr>
                          <a:xfrm>
                            <a:off x="0" y="6350"/>
                            <a:ext cx="552450" cy="1270"/>
                          </a:xfrm>
                          <a:custGeom>
                            <a:avLst/>
                            <a:gdLst/>
                            <a:ahLst/>
                            <a:cxnLst/>
                            <a:rect l="l" t="t" r="r" b="b"/>
                            <a:pathLst>
                              <a:path w="552450" h="0">
                                <a:moveTo>
                                  <a:pt x="0" y="0"/>
                                </a:moveTo>
                                <a:lnTo>
                                  <a:pt x="552337" y="0"/>
                                </a:lnTo>
                              </a:path>
                            </a:pathLst>
                          </a:custGeom>
                          <a:ln w="12700">
                            <a:solidFill>
                              <a:srgbClr val="000000"/>
                            </a:solidFill>
                            <a:prstDash val="solid"/>
                          </a:ln>
                        </wps:spPr>
                        <wps:bodyPr wrap="square" lIns="0" tIns="0" rIns="0" bIns="0" rtlCol="0">
                          <a:prstTxWarp prst="textNoShape">
                            <a:avLst/>
                          </a:prstTxWarp>
                          <a:noAutofit/>
                        </wps:bodyPr>
                      </wps:wsp>
                      <wps:wsp>
                        <wps:cNvPr id="38" name="Graphic 38"/>
                        <wps:cNvSpPr/>
                        <wps:spPr>
                          <a:xfrm>
                            <a:off x="549797" y="6350"/>
                            <a:ext cx="457834" cy="1270"/>
                          </a:xfrm>
                          <a:custGeom>
                            <a:avLst/>
                            <a:gdLst/>
                            <a:ahLst/>
                            <a:cxnLst/>
                            <a:rect l="l" t="t" r="r" b="b"/>
                            <a:pathLst>
                              <a:path w="457834" h="0">
                                <a:moveTo>
                                  <a:pt x="0" y="0"/>
                                </a:moveTo>
                                <a:lnTo>
                                  <a:pt x="457566" y="0"/>
                                </a:lnTo>
                              </a:path>
                            </a:pathLst>
                          </a:custGeom>
                          <a:ln w="12700">
                            <a:solidFill>
                              <a:srgbClr val="000000"/>
                            </a:solidFill>
                            <a:prstDash val="solid"/>
                          </a:ln>
                        </wps:spPr>
                        <wps:bodyPr wrap="square" lIns="0" tIns="0" rIns="0" bIns="0" rtlCol="0">
                          <a:prstTxWarp prst="textNoShape">
                            <a:avLst/>
                          </a:prstTxWarp>
                          <a:noAutofit/>
                        </wps:bodyPr>
                      </wps:wsp>
                      <wps:wsp>
                        <wps:cNvPr id="39" name="Graphic 39"/>
                        <wps:cNvSpPr/>
                        <wps:spPr>
                          <a:xfrm>
                            <a:off x="1004823" y="6350"/>
                            <a:ext cx="1381125" cy="1270"/>
                          </a:xfrm>
                          <a:custGeom>
                            <a:avLst/>
                            <a:gdLst/>
                            <a:ahLst/>
                            <a:cxnLst/>
                            <a:rect l="l" t="t" r="r" b="b"/>
                            <a:pathLst>
                              <a:path w="1381125" h="0">
                                <a:moveTo>
                                  <a:pt x="0" y="0"/>
                                </a:moveTo>
                                <a:lnTo>
                                  <a:pt x="1380983" y="0"/>
                                </a:lnTo>
                              </a:path>
                            </a:pathLst>
                          </a:custGeom>
                          <a:ln w="12700">
                            <a:solidFill>
                              <a:srgbClr val="000000"/>
                            </a:solidFill>
                            <a:prstDash val="solid"/>
                          </a:ln>
                        </wps:spPr>
                        <wps:bodyPr wrap="square" lIns="0" tIns="0" rIns="0" bIns="0" rtlCol="0">
                          <a:prstTxWarp prst="textNoShape">
                            <a:avLst/>
                          </a:prstTxWarp>
                          <a:noAutofit/>
                        </wps:bodyPr>
                      </wps:wsp>
                      <wps:wsp>
                        <wps:cNvPr id="40" name="Graphic 40"/>
                        <wps:cNvSpPr/>
                        <wps:spPr>
                          <a:xfrm>
                            <a:off x="2383266" y="6350"/>
                            <a:ext cx="1381125" cy="1270"/>
                          </a:xfrm>
                          <a:custGeom>
                            <a:avLst/>
                            <a:gdLst/>
                            <a:ahLst/>
                            <a:cxnLst/>
                            <a:rect l="l" t="t" r="r" b="b"/>
                            <a:pathLst>
                              <a:path w="1381125" h="0">
                                <a:moveTo>
                                  <a:pt x="0" y="0"/>
                                </a:moveTo>
                                <a:lnTo>
                                  <a:pt x="1380983" y="0"/>
                                </a:lnTo>
                              </a:path>
                            </a:pathLst>
                          </a:custGeom>
                          <a:ln w="12700">
                            <a:solidFill>
                              <a:srgbClr val="000000"/>
                            </a:solidFill>
                            <a:prstDash val="solid"/>
                          </a:ln>
                        </wps:spPr>
                        <wps:bodyPr wrap="square" lIns="0" tIns="0" rIns="0" bIns="0" rtlCol="0">
                          <a:prstTxWarp prst="textNoShape">
                            <a:avLst/>
                          </a:prstTxWarp>
                          <a:noAutofit/>
                        </wps:bodyPr>
                      </wps:wsp>
                      <wps:wsp>
                        <wps:cNvPr id="41" name="Graphic 41"/>
                        <wps:cNvSpPr/>
                        <wps:spPr>
                          <a:xfrm>
                            <a:off x="3761709" y="6350"/>
                            <a:ext cx="1439545" cy="1270"/>
                          </a:xfrm>
                          <a:custGeom>
                            <a:avLst/>
                            <a:gdLst/>
                            <a:ahLst/>
                            <a:cxnLst/>
                            <a:rect l="l" t="t" r="r" b="b"/>
                            <a:pathLst>
                              <a:path w="1439545" h="0">
                                <a:moveTo>
                                  <a:pt x="0" y="0"/>
                                </a:moveTo>
                                <a:lnTo>
                                  <a:pt x="143921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4pt;margin-top:16.504492pt;width:409.55pt;height:1pt;mso-position-horizontal-relative:page;mso-position-vertical-relative:paragraph;z-index:-15717376;mso-wrap-distance-left:0;mso-wrap-distance-right:0" id="docshapegroup32" coordorigin="2280,330" coordsize="8191,20">
                <v:line style="position:absolute" from="2280,340" to="3150,340" stroked="true" strokeweight="1pt" strokecolor="#000000">
                  <v:stroke dashstyle="solid"/>
                </v:line>
                <v:line style="position:absolute" from="3146,340" to="3866,340" stroked="true" strokeweight="1pt" strokecolor="#000000">
                  <v:stroke dashstyle="solid"/>
                </v:line>
                <v:line style="position:absolute" from="3862,340" to="6037,340" stroked="true" strokeweight="1pt" strokecolor="#000000">
                  <v:stroke dashstyle="solid"/>
                </v:line>
                <v:line style="position:absolute" from="6033,340" to="8208,340" stroked="true" strokeweight="1pt" strokecolor="#000000">
                  <v:stroke dashstyle="solid"/>
                </v:line>
                <v:line style="position:absolute" from="8204,340" to="10470,340" stroked="true" strokeweight="1pt" strokecolor="#000000">
                  <v:stroke dashstyle="solid"/>
                </v:line>
                <w10:wrap type="topAndBottom"/>
              </v:group>
            </w:pict>
          </mc:Fallback>
        </mc:AlternateContent>
      </w:r>
    </w:p>
    <w:p>
      <w:pPr>
        <w:tabs>
          <w:tab w:pos="1087" w:val="left" w:leader="none"/>
          <w:tab w:pos="1879" w:val="left" w:leader="none"/>
          <w:tab w:pos="4087" w:val="left" w:leader="none"/>
          <w:tab w:pos="6145" w:val="left" w:leader="none"/>
        </w:tabs>
        <w:spacing w:before="42" w:after="16"/>
        <w:ind w:left="220" w:right="0" w:firstLine="0"/>
        <w:jc w:val="left"/>
        <w:rPr>
          <w:b/>
          <w:sz w:val="15"/>
        </w:rPr>
      </w:pPr>
      <w:r>
        <w:rPr>
          <w:b/>
          <w:spacing w:val="-2"/>
          <w:sz w:val="15"/>
        </w:rPr>
        <w:t>Mutation</w:t>
      </w:r>
      <w:r>
        <w:rPr>
          <w:b/>
          <w:sz w:val="15"/>
        </w:rPr>
        <w:tab/>
      </w:r>
      <w:r>
        <w:rPr>
          <w:b/>
          <w:spacing w:val="-2"/>
          <w:sz w:val="15"/>
        </w:rPr>
        <w:t>Enzyme</w:t>
      </w:r>
      <w:r>
        <w:rPr>
          <w:b/>
          <w:sz w:val="15"/>
        </w:rPr>
        <w:tab/>
        <w:t>PCR</w:t>
      </w:r>
      <w:r>
        <w:rPr>
          <w:b/>
          <w:spacing w:val="-2"/>
          <w:sz w:val="15"/>
        </w:rPr>
        <w:t> </w:t>
      </w:r>
      <w:r>
        <w:rPr>
          <w:b/>
          <w:sz w:val="15"/>
        </w:rPr>
        <w:t>Products w/o </w:t>
      </w:r>
      <w:r>
        <w:rPr>
          <w:b/>
          <w:spacing w:val="-2"/>
          <w:sz w:val="15"/>
        </w:rPr>
        <w:t>Mutation</w:t>
      </w:r>
      <w:r>
        <w:rPr>
          <w:b/>
          <w:sz w:val="15"/>
        </w:rPr>
        <w:tab/>
        <w:t>PCR Products w/ </w:t>
      </w:r>
      <w:r>
        <w:rPr>
          <w:b/>
          <w:spacing w:val="-2"/>
          <w:sz w:val="15"/>
        </w:rPr>
        <w:t>Mutation</w:t>
      </w:r>
      <w:r>
        <w:rPr>
          <w:b/>
          <w:sz w:val="15"/>
        </w:rPr>
        <w:tab/>
        <w:t>DNA of Patients w/ POI </w:t>
      </w:r>
      <w:r>
        <w:rPr>
          <w:b/>
          <w:spacing w:val="-2"/>
          <w:sz w:val="15"/>
        </w:rPr>
        <w:t>(n=201)</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779"/>
        <w:gridCol w:w="1192"/>
        <w:gridCol w:w="200"/>
        <w:gridCol w:w="779"/>
        <w:gridCol w:w="1192"/>
        <w:gridCol w:w="200"/>
        <w:gridCol w:w="2064"/>
        <w:gridCol w:w="100"/>
      </w:tblGrid>
      <w:tr>
        <w:trPr>
          <w:trHeight w:val="340" w:hRule="atLeast"/>
        </w:trPr>
        <w:tc>
          <w:tcPr>
            <w:tcW w:w="1684" w:type="dxa"/>
            <w:tcBorders>
              <w:bottom w:val="single" w:sz="8" w:space="0" w:color="000000"/>
            </w:tcBorders>
          </w:tcPr>
          <w:p>
            <w:pPr>
              <w:pStyle w:val="TableParagraph"/>
              <w:spacing w:before="0"/>
              <w:rPr>
                <w:sz w:val="16"/>
              </w:rPr>
            </w:pPr>
          </w:p>
        </w:tc>
        <w:tc>
          <w:tcPr>
            <w:tcW w:w="779" w:type="dxa"/>
            <w:tcBorders>
              <w:top w:val="single" w:sz="8" w:space="0" w:color="000000"/>
              <w:bottom w:val="single" w:sz="8" w:space="0" w:color="000000"/>
            </w:tcBorders>
          </w:tcPr>
          <w:p>
            <w:pPr>
              <w:pStyle w:val="TableParagraph"/>
              <w:spacing w:before="102"/>
              <w:ind w:right="97"/>
              <w:jc w:val="center"/>
              <w:rPr>
                <w:b/>
                <w:sz w:val="15"/>
              </w:rPr>
            </w:pPr>
            <w:r>
              <w:rPr>
                <w:b/>
                <w:sz w:val="15"/>
              </w:rPr>
              <w:t>No.</w:t>
            </w:r>
            <w:r>
              <w:rPr>
                <w:b/>
                <w:spacing w:val="-2"/>
                <w:sz w:val="15"/>
              </w:rPr>
              <w:t> </w:t>
            </w:r>
            <w:r>
              <w:rPr>
                <w:b/>
                <w:sz w:val="15"/>
              </w:rPr>
              <w:t>of </w:t>
            </w:r>
            <w:r>
              <w:rPr>
                <w:b/>
                <w:spacing w:val="-4"/>
                <w:sz w:val="15"/>
              </w:rPr>
              <w:t>cuts</w:t>
            </w:r>
          </w:p>
        </w:tc>
        <w:tc>
          <w:tcPr>
            <w:tcW w:w="1192" w:type="dxa"/>
            <w:tcBorders>
              <w:top w:val="single" w:sz="8" w:space="0" w:color="000000"/>
              <w:bottom w:val="single" w:sz="8" w:space="0" w:color="000000"/>
            </w:tcBorders>
          </w:tcPr>
          <w:p>
            <w:pPr>
              <w:pStyle w:val="TableParagraph"/>
              <w:spacing w:before="102"/>
              <w:ind w:left="100"/>
              <w:rPr>
                <w:b/>
                <w:sz w:val="15"/>
              </w:rPr>
            </w:pPr>
            <w:r>
              <w:rPr>
                <w:b/>
                <w:sz w:val="15"/>
              </w:rPr>
              <w:t>Fragments </w:t>
            </w:r>
            <w:r>
              <w:rPr>
                <w:b/>
                <w:spacing w:val="-4"/>
                <w:sz w:val="15"/>
              </w:rPr>
              <w:t>(bp)</w:t>
            </w:r>
          </w:p>
        </w:tc>
        <w:tc>
          <w:tcPr>
            <w:tcW w:w="200" w:type="dxa"/>
            <w:tcBorders>
              <w:bottom w:val="single" w:sz="8" w:space="0" w:color="000000"/>
            </w:tcBorders>
          </w:tcPr>
          <w:p>
            <w:pPr>
              <w:pStyle w:val="TableParagraph"/>
              <w:spacing w:before="0"/>
              <w:rPr>
                <w:sz w:val="16"/>
              </w:rPr>
            </w:pPr>
          </w:p>
        </w:tc>
        <w:tc>
          <w:tcPr>
            <w:tcW w:w="779" w:type="dxa"/>
            <w:tcBorders>
              <w:top w:val="single" w:sz="8" w:space="0" w:color="000000"/>
              <w:bottom w:val="single" w:sz="8" w:space="0" w:color="000000"/>
            </w:tcBorders>
          </w:tcPr>
          <w:p>
            <w:pPr>
              <w:pStyle w:val="TableParagraph"/>
              <w:spacing w:before="102"/>
              <w:ind w:right="97"/>
              <w:jc w:val="center"/>
              <w:rPr>
                <w:b/>
                <w:sz w:val="15"/>
              </w:rPr>
            </w:pPr>
            <w:r>
              <w:rPr>
                <w:b/>
                <w:sz w:val="15"/>
              </w:rPr>
              <w:t>No.</w:t>
            </w:r>
            <w:r>
              <w:rPr>
                <w:b/>
                <w:spacing w:val="-2"/>
                <w:sz w:val="15"/>
              </w:rPr>
              <w:t> </w:t>
            </w:r>
            <w:r>
              <w:rPr>
                <w:b/>
                <w:sz w:val="15"/>
              </w:rPr>
              <w:t>of </w:t>
            </w:r>
            <w:r>
              <w:rPr>
                <w:b/>
                <w:spacing w:val="-4"/>
                <w:sz w:val="15"/>
              </w:rPr>
              <w:t>cuts</w:t>
            </w:r>
          </w:p>
        </w:tc>
        <w:tc>
          <w:tcPr>
            <w:tcW w:w="1192" w:type="dxa"/>
            <w:tcBorders>
              <w:top w:val="single" w:sz="8" w:space="0" w:color="000000"/>
              <w:bottom w:val="single" w:sz="8" w:space="0" w:color="000000"/>
            </w:tcBorders>
          </w:tcPr>
          <w:p>
            <w:pPr>
              <w:pStyle w:val="TableParagraph"/>
              <w:spacing w:before="102"/>
              <w:ind w:left="100"/>
              <w:rPr>
                <w:b/>
                <w:sz w:val="15"/>
              </w:rPr>
            </w:pPr>
            <w:r>
              <w:rPr>
                <w:b/>
                <w:sz w:val="15"/>
              </w:rPr>
              <w:t>Fragments </w:t>
            </w:r>
            <w:r>
              <w:rPr>
                <w:b/>
                <w:spacing w:val="-4"/>
                <w:sz w:val="15"/>
              </w:rPr>
              <w:t>(bp)</w:t>
            </w:r>
          </w:p>
        </w:tc>
        <w:tc>
          <w:tcPr>
            <w:tcW w:w="200" w:type="dxa"/>
            <w:tcBorders>
              <w:bottom w:val="single" w:sz="8" w:space="0" w:color="000000"/>
            </w:tcBorders>
          </w:tcPr>
          <w:p>
            <w:pPr>
              <w:pStyle w:val="TableParagraph"/>
              <w:spacing w:before="0"/>
              <w:rPr>
                <w:sz w:val="16"/>
              </w:rPr>
            </w:pPr>
          </w:p>
        </w:tc>
        <w:tc>
          <w:tcPr>
            <w:tcW w:w="2064" w:type="dxa"/>
            <w:tcBorders>
              <w:top w:val="single" w:sz="8" w:space="0" w:color="000000"/>
              <w:bottom w:val="single" w:sz="8" w:space="0" w:color="000000"/>
            </w:tcBorders>
          </w:tcPr>
          <w:p>
            <w:pPr>
              <w:pStyle w:val="TableParagraph"/>
              <w:spacing w:before="102"/>
              <w:ind w:left="-1"/>
              <w:rPr>
                <w:b/>
                <w:sz w:val="15"/>
              </w:rPr>
            </w:pPr>
            <w:r>
              <w:rPr>
                <w:b/>
                <w:sz w:val="15"/>
              </w:rPr>
              <w:t>No. of cases w/ </w:t>
            </w:r>
            <w:r>
              <w:rPr>
                <w:b/>
                <w:spacing w:val="-2"/>
                <w:sz w:val="15"/>
              </w:rPr>
              <w:t>Mutation</w:t>
            </w:r>
          </w:p>
        </w:tc>
        <w:tc>
          <w:tcPr>
            <w:tcW w:w="100" w:type="dxa"/>
            <w:tcBorders>
              <w:bottom w:val="single" w:sz="8" w:space="0" w:color="000000"/>
            </w:tcBorders>
          </w:tcPr>
          <w:p>
            <w:pPr>
              <w:pStyle w:val="TableParagraph"/>
              <w:spacing w:before="0"/>
              <w:rPr>
                <w:sz w:val="16"/>
              </w:rPr>
            </w:pPr>
          </w:p>
        </w:tc>
      </w:tr>
      <w:tr>
        <w:trPr>
          <w:trHeight w:val="271" w:hRule="atLeast"/>
        </w:trPr>
        <w:tc>
          <w:tcPr>
            <w:tcW w:w="1684" w:type="dxa"/>
            <w:tcBorders>
              <w:top w:val="single" w:sz="8" w:space="0" w:color="000000"/>
            </w:tcBorders>
          </w:tcPr>
          <w:p>
            <w:pPr>
              <w:pStyle w:val="TableParagraph"/>
              <w:spacing w:before="42"/>
              <w:ind w:left="100"/>
              <w:rPr>
                <w:sz w:val="15"/>
              </w:rPr>
            </w:pPr>
            <w:r>
              <w:rPr>
                <w:sz w:val="15"/>
              </w:rPr>
              <w:t>c2767G&gt;A</w:t>
            </w:r>
            <w:r>
              <w:rPr>
                <w:spacing w:val="62"/>
                <w:sz w:val="15"/>
              </w:rPr>
              <w:t>  </w:t>
            </w:r>
            <w:r>
              <w:rPr>
                <w:i/>
                <w:sz w:val="15"/>
              </w:rPr>
              <w:t>Mwo </w:t>
            </w:r>
            <w:r>
              <w:rPr>
                <w:spacing w:val="-10"/>
                <w:sz w:val="15"/>
              </w:rPr>
              <w:t>I</w:t>
            </w:r>
          </w:p>
        </w:tc>
        <w:tc>
          <w:tcPr>
            <w:tcW w:w="779" w:type="dxa"/>
            <w:tcBorders>
              <w:top w:val="single" w:sz="8" w:space="0" w:color="000000"/>
            </w:tcBorders>
          </w:tcPr>
          <w:p>
            <w:pPr>
              <w:pStyle w:val="TableParagraph"/>
              <w:spacing w:before="42"/>
              <w:ind w:right="97"/>
              <w:jc w:val="center"/>
              <w:rPr>
                <w:sz w:val="15"/>
              </w:rPr>
            </w:pPr>
            <w:r>
              <w:rPr>
                <w:spacing w:val="-10"/>
                <w:sz w:val="15"/>
              </w:rPr>
              <w:t>3</w:t>
            </w:r>
          </w:p>
        </w:tc>
        <w:tc>
          <w:tcPr>
            <w:tcW w:w="1192" w:type="dxa"/>
            <w:tcBorders>
              <w:top w:val="single" w:sz="8" w:space="0" w:color="000000"/>
            </w:tcBorders>
          </w:tcPr>
          <w:p>
            <w:pPr>
              <w:pStyle w:val="TableParagraph"/>
              <w:spacing w:before="42"/>
              <w:ind w:left="100" w:right="-15"/>
              <w:rPr>
                <w:sz w:val="15"/>
              </w:rPr>
            </w:pPr>
            <w:r>
              <w:rPr>
                <w:sz w:val="15"/>
              </w:rPr>
              <w:t>19, 62, 148 &amp; </w:t>
            </w:r>
            <w:r>
              <w:rPr>
                <w:spacing w:val="-5"/>
                <w:sz w:val="15"/>
              </w:rPr>
              <w:t>201</w:t>
            </w:r>
          </w:p>
        </w:tc>
        <w:tc>
          <w:tcPr>
            <w:tcW w:w="200" w:type="dxa"/>
            <w:tcBorders>
              <w:top w:val="single" w:sz="8" w:space="0" w:color="000000"/>
            </w:tcBorders>
          </w:tcPr>
          <w:p>
            <w:pPr>
              <w:pStyle w:val="TableParagraph"/>
              <w:spacing w:before="0"/>
              <w:rPr>
                <w:sz w:val="16"/>
              </w:rPr>
            </w:pPr>
          </w:p>
        </w:tc>
        <w:tc>
          <w:tcPr>
            <w:tcW w:w="779" w:type="dxa"/>
            <w:tcBorders>
              <w:top w:val="single" w:sz="8" w:space="0" w:color="000000"/>
            </w:tcBorders>
          </w:tcPr>
          <w:p>
            <w:pPr>
              <w:pStyle w:val="TableParagraph"/>
              <w:spacing w:before="42"/>
              <w:ind w:right="97"/>
              <w:jc w:val="center"/>
              <w:rPr>
                <w:sz w:val="15"/>
              </w:rPr>
            </w:pPr>
            <w:r>
              <w:rPr>
                <w:spacing w:val="-10"/>
                <w:sz w:val="15"/>
              </w:rPr>
              <w:t>2</w:t>
            </w:r>
          </w:p>
        </w:tc>
        <w:tc>
          <w:tcPr>
            <w:tcW w:w="1192" w:type="dxa"/>
            <w:tcBorders>
              <w:top w:val="single" w:sz="8" w:space="0" w:color="000000"/>
            </w:tcBorders>
          </w:tcPr>
          <w:p>
            <w:pPr>
              <w:pStyle w:val="TableParagraph"/>
              <w:spacing w:before="42"/>
              <w:ind w:left="100"/>
              <w:rPr>
                <w:sz w:val="15"/>
              </w:rPr>
            </w:pPr>
            <w:r>
              <w:rPr>
                <w:sz w:val="15"/>
              </w:rPr>
              <w:t>19, 201 &amp; </w:t>
            </w:r>
            <w:r>
              <w:rPr>
                <w:spacing w:val="-5"/>
                <w:sz w:val="15"/>
              </w:rPr>
              <w:t>210</w:t>
            </w:r>
          </w:p>
        </w:tc>
        <w:tc>
          <w:tcPr>
            <w:tcW w:w="200" w:type="dxa"/>
            <w:tcBorders>
              <w:top w:val="single" w:sz="8" w:space="0" w:color="000000"/>
            </w:tcBorders>
          </w:tcPr>
          <w:p>
            <w:pPr>
              <w:pStyle w:val="TableParagraph"/>
              <w:spacing w:before="0"/>
              <w:rPr>
                <w:sz w:val="16"/>
              </w:rPr>
            </w:pPr>
          </w:p>
        </w:tc>
        <w:tc>
          <w:tcPr>
            <w:tcW w:w="2064" w:type="dxa"/>
            <w:tcBorders>
              <w:top w:val="single" w:sz="8" w:space="0" w:color="000000"/>
            </w:tcBorders>
          </w:tcPr>
          <w:p>
            <w:pPr>
              <w:pStyle w:val="TableParagraph"/>
              <w:spacing w:before="42"/>
              <w:ind w:left="-1"/>
              <w:rPr>
                <w:sz w:val="15"/>
              </w:rPr>
            </w:pPr>
            <w:r>
              <w:rPr>
                <w:spacing w:val="-10"/>
                <w:sz w:val="15"/>
              </w:rPr>
              <w:t>0</w:t>
            </w:r>
          </w:p>
        </w:tc>
        <w:tc>
          <w:tcPr>
            <w:tcW w:w="100" w:type="dxa"/>
            <w:tcBorders>
              <w:top w:val="single" w:sz="8" w:space="0" w:color="000000"/>
            </w:tcBorders>
          </w:tcPr>
          <w:p>
            <w:pPr>
              <w:pStyle w:val="TableParagraph"/>
              <w:spacing w:before="0"/>
              <w:rPr>
                <w:sz w:val="16"/>
              </w:rPr>
            </w:pPr>
          </w:p>
        </w:tc>
      </w:tr>
      <w:tr>
        <w:trPr>
          <w:trHeight w:val="280" w:hRule="atLeast"/>
        </w:trPr>
        <w:tc>
          <w:tcPr>
            <w:tcW w:w="1684" w:type="dxa"/>
          </w:tcPr>
          <w:p>
            <w:pPr>
              <w:pStyle w:val="TableParagraph"/>
              <w:ind w:left="100"/>
              <w:rPr>
                <w:sz w:val="15"/>
              </w:rPr>
            </w:pPr>
            <w:r>
              <w:rPr>
                <w:sz w:val="15"/>
              </w:rPr>
              <w:t>c2828G&gt;A</w:t>
            </w:r>
            <w:r>
              <w:rPr>
                <w:spacing w:val="62"/>
                <w:sz w:val="15"/>
              </w:rPr>
              <w:t>  </w:t>
            </w:r>
            <w:r>
              <w:rPr>
                <w:i/>
                <w:sz w:val="15"/>
              </w:rPr>
              <w:t>Msl </w:t>
            </w:r>
            <w:r>
              <w:rPr>
                <w:spacing w:val="-10"/>
                <w:sz w:val="15"/>
              </w:rPr>
              <w:t>I</w:t>
            </w:r>
          </w:p>
        </w:tc>
        <w:tc>
          <w:tcPr>
            <w:tcW w:w="779" w:type="dxa"/>
          </w:tcPr>
          <w:p>
            <w:pPr>
              <w:pStyle w:val="TableParagraph"/>
              <w:ind w:right="97"/>
              <w:jc w:val="center"/>
              <w:rPr>
                <w:sz w:val="15"/>
              </w:rPr>
            </w:pPr>
            <w:r>
              <w:rPr>
                <w:spacing w:val="-10"/>
                <w:sz w:val="15"/>
              </w:rPr>
              <w:t>2</w:t>
            </w:r>
          </w:p>
        </w:tc>
        <w:tc>
          <w:tcPr>
            <w:tcW w:w="1192" w:type="dxa"/>
          </w:tcPr>
          <w:p>
            <w:pPr>
              <w:pStyle w:val="TableParagraph"/>
              <w:ind w:left="100"/>
              <w:rPr>
                <w:sz w:val="15"/>
              </w:rPr>
            </w:pPr>
            <w:r>
              <w:rPr>
                <w:sz w:val="15"/>
              </w:rPr>
              <w:t>32, 100 &amp; </w:t>
            </w:r>
            <w:r>
              <w:rPr>
                <w:spacing w:val="-5"/>
                <w:sz w:val="15"/>
              </w:rPr>
              <w:t>298</w:t>
            </w:r>
          </w:p>
        </w:tc>
        <w:tc>
          <w:tcPr>
            <w:tcW w:w="200" w:type="dxa"/>
          </w:tcPr>
          <w:p>
            <w:pPr>
              <w:pStyle w:val="TableParagraph"/>
              <w:spacing w:before="0"/>
              <w:rPr>
                <w:sz w:val="16"/>
              </w:rPr>
            </w:pPr>
          </w:p>
        </w:tc>
        <w:tc>
          <w:tcPr>
            <w:tcW w:w="779" w:type="dxa"/>
          </w:tcPr>
          <w:p>
            <w:pPr>
              <w:pStyle w:val="TableParagraph"/>
              <w:ind w:right="97"/>
              <w:jc w:val="center"/>
              <w:rPr>
                <w:sz w:val="15"/>
              </w:rPr>
            </w:pPr>
            <w:r>
              <w:rPr>
                <w:spacing w:val="-10"/>
                <w:sz w:val="15"/>
              </w:rPr>
              <w:t>3</w:t>
            </w:r>
          </w:p>
        </w:tc>
        <w:tc>
          <w:tcPr>
            <w:tcW w:w="1192" w:type="dxa"/>
          </w:tcPr>
          <w:p>
            <w:pPr>
              <w:pStyle w:val="TableParagraph"/>
              <w:ind w:left="100"/>
              <w:rPr>
                <w:sz w:val="15"/>
              </w:rPr>
            </w:pPr>
            <w:r>
              <w:rPr>
                <w:sz w:val="15"/>
              </w:rPr>
              <w:t>19, 32, 100 &amp; </w:t>
            </w:r>
            <w:r>
              <w:rPr>
                <w:spacing w:val="-5"/>
                <w:sz w:val="15"/>
              </w:rPr>
              <w:t>279</w:t>
            </w:r>
          </w:p>
        </w:tc>
        <w:tc>
          <w:tcPr>
            <w:tcW w:w="200" w:type="dxa"/>
          </w:tcPr>
          <w:p>
            <w:pPr>
              <w:pStyle w:val="TableParagraph"/>
              <w:spacing w:before="0"/>
              <w:rPr>
                <w:sz w:val="16"/>
              </w:rPr>
            </w:pPr>
          </w:p>
        </w:tc>
        <w:tc>
          <w:tcPr>
            <w:tcW w:w="2064" w:type="dxa"/>
          </w:tcPr>
          <w:p>
            <w:pPr>
              <w:pStyle w:val="TableParagraph"/>
              <w:ind w:left="-1"/>
              <w:rPr>
                <w:sz w:val="15"/>
              </w:rPr>
            </w:pPr>
            <w:r>
              <w:rPr>
                <w:spacing w:val="-10"/>
                <w:sz w:val="15"/>
              </w:rPr>
              <w:t>0</w:t>
            </w:r>
          </w:p>
        </w:tc>
        <w:tc>
          <w:tcPr>
            <w:tcW w:w="100" w:type="dxa"/>
          </w:tcPr>
          <w:p>
            <w:pPr>
              <w:pStyle w:val="TableParagraph"/>
              <w:spacing w:before="0"/>
              <w:rPr>
                <w:sz w:val="16"/>
              </w:rPr>
            </w:pPr>
          </w:p>
        </w:tc>
      </w:tr>
      <w:tr>
        <w:trPr>
          <w:trHeight w:val="280" w:hRule="atLeast"/>
        </w:trPr>
        <w:tc>
          <w:tcPr>
            <w:tcW w:w="1684" w:type="dxa"/>
          </w:tcPr>
          <w:p>
            <w:pPr>
              <w:pStyle w:val="TableParagraph"/>
              <w:tabs>
                <w:tab w:pos="967" w:val="left" w:leader="none"/>
              </w:tabs>
              <w:ind w:left="100"/>
              <w:rPr>
                <w:sz w:val="15"/>
              </w:rPr>
            </w:pPr>
            <w:r>
              <w:rPr>
                <w:spacing w:val="-2"/>
                <w:sz w:val="15"/>
              </w:rPr>
              <w:t>c2857C&gt;T</w:t>
            </w:r>
            <w:r>
              <w:rPr>
                <w:sz w:val="15"/>
              </w:rPr>
              <w:tab/>
            </w:r>
            <w:r>
              <w:rPr>
                <w:i/>
                <w:sz w:val="15"/>
              </w:rPr>
              <w:t>Eag </w:t>
            </w:r>
            <w:r>
              <w:rPr>
                <w:spacing w:val="-10"/>
                <w:sz w:val="15"/>
              </w:rPr>
              <w:t>I</w:t>
            </w:r>
          </w:p>
        </w:tc>
        <w:tc>
          <w:tcPr>
            <w:tcW w:w="779" w:type="dxa"/>
          </w:tcPr>
          <w:p>
            <w:pPr>
              <w:pStyle w:val="TableParagraph"/>
              <w:ind w:right="97"/>
              <w:jc w:val="center"/>
              <w:rPr>
                <w:sz w:val="15"/>
              </w:rPr>
            </w:pPr>
            <w:r>
              <w:rPr>
                <w:spacing w:val="-10"/>
                <w:sz w:val="15"/>
              </w:rPr>
              <w:t>1</w:t>
            </w:r>
          </w:p>
        </w:tc>
        <w:tc>
          <w:tcPr>
            <w:tcW w:w="1192" w:type="dxa"/>
          </w:tcPr>
          <w:p>
            <w:pPr>
              <w:pStyle w:val="TableParagraph"/>
              <w:ind w:left="100"/>
              <w:rPr>
                <w:sz w:val="15"/>
              </w:rPr>
            </w:pPr>
            <w:r>
              <w:rPr>
                <w:sz w:val="15"/>
              </w:rPr>
              <w:t>141 &amp; </w:t>
            </w:r>
            <w:r>
              <w:rPr>
                <w:spacing w:val="-5"/>
                <w:sz w:val="15"/>
              </w:rPr>
              <w:t>289</w:t>
            </w:r>
          </w:p>
        </w:tc>
        <w:tc>
          <w:tcPr>
            <w:tcW w:w="200" w:type="dxa"/>
          </w:tcPr>
          <w:p>
            <w:pPr>
              <w:pStyle w:val="TableParagraph"/>
              <w:spacing w:before="0"/>
              <w:rPr>
                <w:sz w:val="16"/>
              </w:rPr>
            </w:pPr>
          </w:p>
        </w:tc>
        <w:tc>
          <w:tcPr>
            <w:tcW w:w="779" w:type="dxa"/>
          </w:tcPr>
          <w:p>
            <w:pPr>
              <w:pStyle w:val="TableParagraph"/>
              <w:ind w:right="97"/>
              <w:jc w:val="center"/>
              <w:rPr>
                <w:sz w:val="15"/>
              </w:rPr>
            </w:pPr>
            <w:r>
              <w:rPr>
                <w:spacing w:val="-10"/>
                <w:sz w:val="15"/>
              </w:rPr>
              <w:t>0</w:t>
            </w:r>
          </w:p>
        </w:tc>
        <w:tc>
          <w:tcPr>
            <w:tcW w:w="1192" w:type="dxa"/>
          </w:tcPr>
          <w:p>
            <w:pPr>
              <w:pStyle w:val="TableParagraph"/>
              <w:ind w:left="100"/>
              <w:rPr>
                <w:sz w:val="15"/>
              </w:rPr>
            </w:pPr>
            <w:r>
              <w:rPr>
                <w:spacing w:val="-5"/>
                <w:sz w:val="15"/>
              </w:rPr>
              <w:t>430</w:t>
            </w:r>
          </w:p>
        </w:tc>
        <w:tc>
          <w:tcPr>
            <w:tcW w:w="200" w:type="dxa"/>
          </w:tcPr>
          <w:p>
            <w:pPr>
              <w:pStyle w:val="TableParagraph"/>
              <w:spacing w:before="0"/>
              <w:rPr>
                <w:sz w:val="16"/>
              </w:rPr>
            </w:pPr>
          </w:p>
        </w:tc>
        <w:tc>
          <w:tcPr>
            <w:tcW w:w="2064" w:type="dxa"/>
          </w:tcPr>
          <w:p>
            <w:pPr>
              <w:pStyle w:val="TableParagraph"/>
              <w:ind w:left="-1"/>
              <w:rPr>
                <w:sz w:val="15"/>
              </w:rPr>
            </w:pPr>
            <w:r>
              <w:rPr>
                <w:sz w:val="15"/>
              </w:rPr>
              <w:t>1 </w:t>
            </w:r>
            <w:r>
              <w:rPr>
                <w:spacing w:val="-2"/>
                <w:sz w:val="15"/>
              </w:rPr>
              <w:t>(heterozygous)</w:t>
            </w:r>
          </w:p>
        </w:tc>
        <w:tc>
          <w:tcPr>
            <w:tcW w:w="100" w:type="dxa"/>
          </w:tcPr>
          <w:p>
            <w:pPr>
              <w:pStyle w:val="TableParagraph"/>
              <w:spacing w:before="0"/>
              <w:rPr>
                <w:sz w:val="16"/>
              </w:rPr>
            </w:pPr>
          </w:p>
        </w:tc>
      </w:tr>
      <w:tr>
        <w:trPr>
          <w:trHeight w:val="280" w:hRule="atLeast"/>
        </w:trPr>
        <w:tc>
          <w:tcPr>
            <w:tcW w:w="1684" w:type="dxa"/>
          </w:tcPr>
          <w:p>
            <w:pPr>
              <w:pStyle w:val="TableParagraph"/>
              <w:ind w:left="100"/>
              <w:rPr>
                <w:sz w:val="15"/>
              </w:rPr>
            </w:pPr>
            <w:r>
              <w:rPr>
                <w:sz w:val="15"/>
              </w:rPr>
              <w:t>c2864A&gt;G</w:t>
            </w:r>
            <w:r>
              <w:rPr>
                <w:spacing w:val="62"/>
                <w:sz w:val="15"/>
              </w:rPr>
              <w:t>  </w:t>
            </w:r>
            <w:r>
              <w:rPr>
                <w:i/>
                <w:sz w:val="15"/>
              </w:rPr>
              <w:t>AlwN </w:t>
            </w:r>
            <w:r>
              <w:rPr>
                <w:spacing w:val="-12"/>
                <w:sz w:val="15"/>
              </w:rPr>
              <w:t>I</w:t>
            </w:r>
          </w:p>
        </w:tc>
        <w:tc>
          <w:tcPr>
            <w:tcW w:w="779" w:type="dxa"/>
          </w:tcPr>
          <w:p>
            <w:pPr>
              <w:pStyle w:val="TableParagraph"/>
              <w:ind w:right="97"/>
              <w:jc w:val="center"/>
              <w:rPr>
                <w:sz w:val="15"/>
              </w:rPr>
            </w:pPr>
            <w:r>
              <w:rPr>
                <w:spacing w:val="-10"/>
                <w:sz w:val="15"/>
              </w:rPr>
              <w:t>0</w:t>
            </w:r>
          </w:p>
        </w:tc>
        <w:tc>
          <w:tcPr>
            <w:tcW w:w="1192" w:type="dxa"/>
          </w:tcPr>
          <w:p>
            <w:pPr>
              <w:pStyle w:val="TableParagraph"/>
              <w:ind w:left="100"/>
              <w:rPr>
                <w:sz w:val="15"/>
              </w:rPr>
            </w:pPr>
            <w:r>
              <w:rPr>
                <w:spacing w:val="-5"/>
                <w:sz w:val="15"/>
              </w:rPr>
              <w:t>300</w:t>
            </w:r>
          </w:p>
        </w:tc>
        <w:tc>
          <w:tcPr>
            <w:tcW w:w="200" w:type="dxa"/>
          </w:tcPr>
          <w:p>
            <w:pPr>
              <w:pStyle w:val="TableParagraph"/>
              <w:spacing w:before="0"/>
              <w:rPr>
                <w:sz w:val="16"/>
              </w:rPr>
            </w:pPr>
          </w:p>
        </w:tc>
        <w:tc>
          <w:tcPr>
            <w:tcW w:w="779" w:type="dxa"/>
          </w:tcPr>
          <w:p>
            <w:pPr>
              <w:pStyle w:val="TableParagraph"/>
              <w:ind w:right="97"/>
              <w:jc w:val="center"/>
              <w:rPr>
                <w:sz w:val="15"/>
              </w:rPr>
            </w:pPr>
            <w:r>
              <w:rPr>
                <w:spacing w:val="-10"/>
                <w:sz w:val="15"/>
              </w:rPr>
              <w:t>1</w:t>
            </w:r>
          </w:p>
        </w:tc>
        <w:tc>
          <w:tcPr>
            <w:tcW w:w="1192" w:type="dxa"/>
          </w:tcPr>
          <w:p>
            <w:pPr>
              <w:pStyle w:val="TableParagraph"/>
              <w:ind w:left="100"/>
              <w:rPr>
                <w:sz w:val="15"/>
              </w:rPr>
            </w:pPr>
            <w:r>
              <w:rPr>
                <w:sz w:val="15"/>
              </w:rPr>
              <w:t>19 &amp; </w:t>
            </w:r>
            <w:r>
              <w:rPr>
                <w:spacing w:val="-5"/>
                <w:sz w:val="15"/>
              </w:rPr>
              <w:t>281</w:t>
            </w:r>
          </w:p>
        </w:tc>
        <w:tc>
          <w:tcPr>
            <w:tcW w:w="200" w:type="dxa"/>
          </w:tcPr>
          <w:p>
            <w:pPr>
              <w:pStyle w:val="TableParagraph"/>
              <w:spacing w:before="0"/>
              <w:rPr>
                <w:sz w:val="16"/>
              </w:rPr>
            </w:pPr>
          </w:p>
        </w:tc>
        <w:tc>
          <w:tcPr>
            <w:tcW w:w="2064" w:type="dxa"/>
          </w:tcPr>
          <w:p>
            <w:pPr>
              <w:pStyle w:val="TableParagraph"/>
              <w:ind w:left="-1"/>
              <w:rPr>
                <w:sz w:val="15"/>
              </w:rPr>
            </w:pPr>
            <w:r>
              <w:rPr>
                <w:spacing w:val="-10"/>
                <w:sz w:val="15"/>
              </w:rPr>
              <w:t>0</w:t>
            </w:r>
          </w:p>
        </w:tc>
        <w:tc>
          <w:tcPr>
            <w:tcW w:w="100" w:type="dxa"/>
          </w:tcPr>
          <w:p>
            <w:pPr>
              <w:pStyle w:val="TableParagraph"/>
              <w:spacing w:before="0"/>
              <w:rPr>
                <w:sz w:val="16"/>
              </w:rPr>
            </w:pPr>
          </w:p>
        </w:tc>
      </w:tr>
      <w:tr>
        <w:trPr>
          <w:trHeight w:val="288" w:hRule="atLeast"/>
        </w:trPr>
        <w:tc>
          <w:tcPr>
            <w:tcW w:w="1684" w:type="dxa"/>
            <w:tcBorders>
              <w:bottom w:val="single" w:sz="8" w:space="0" w:color="000000"/>
            </w:tcBorders>
          </w:tcPr>
          <w:p>
            <w:pPr>
              <w:pStyle w:val="TableParagraph"/>
              <w:tabs>
                <w:tab w:pos="967" w:val="left" w:leader="none"/>
              </w:tabs>
              <w:ind w:left="100"/>
              <w:rPr>
                <w:sz w:val="15"/>
              </w:rPr>
            </w:pPr>
            <w:r>
              <w:rPr>
                <w:spacing w:val="-2"/>
                <w:sz w:val="15"/>
              </w:rPr>
              <w:t>c2869G&gt;T</w:t>
            </w:r>
            <w:r>
              <w:rPr>
                <w:sz w:val="15"/>
              </w:rPr>
              <w:tab/>
            </w:r>
            <w:r>
              <w:rPr>
                <w:i/>
                <w:sz w:val="15"/>
              </w:rPr>
              <w:t>BseY </w:t>
            </w:r>
            <w:r>
              <w:rPr>
                <w:spacing w:val="-12"/>
                <w:sz w:val="15"/>
              </w:rPr>
              <w:t>I</w:t>
            </w:r>
          </w:p>
        </w:tc>
        <w:tc>
          <w:tcPr>
            <w:tcW w:w="779" w:type="dxa"/>
            <w:tcBorders>
              <w:bottom w:val="single" w:sz="8" w:space="0" w:color="000000"/>
            </w:tcBorders>
          </w:tcPr>
          <w:p>
            <w:pPr>
              <w:pStyle w:val="TableParagraph"/>
              <w:ind w:right="97"/>
              <w:jc w:val="center"/>
              <w:rPr>
                <w:sz w:val="15"/>
              </w:rPr>
            </w:pPr>
            <w:r>
              <w:rPr>
                <w:spacing w:val="-10"/>
                <w:sz w:val="15"/>
              </w:rPr>
              <w:t>2</w:t>
            </w:r>
          </w:p>
        </w:tc>
        <w:tc>
          <w:tcPr>
            <w:tcW w:w="1192" w:type="dxa"/>
            <w:tcBorders>
              <w:bottom w:val="single" w:sz="8" w:space="0" w:color="000000"/>
            </w:tcBorders>
          </w:tcPr>
          <w:p>
            <w:pPr>
              <w:pStyle w:val="TableParagraph"/>
              <w:ind w:left="100"/>
              <w:rPr>
                <w:sz w:val="15"/>
              </w:rPr>
            </w:pPr>
            <w:r>
              <w:rPr>
                <w:sz w:val="15"/>
              </w:rPr>
              <w:t>76, 157 &amp; </w:t>
            </w:r>
            <w:r>
              <w:rPr>
                <w:spacing w:val="-5"/>
                <w:sz w:val="15"/>
              </w:rPr>
              <w:t>197</w:t>
            </w:r>
          </w:p>
        </w:tc>
        <w:tc>
          <w:tcPr>
            <w:tcW w:w="200" w:type="dxa"/>
            <w:tcBorders>
              <w:bottom w:val="single" w:sz="8" w:space="0" w:color="000000"/>
            </w:tcBorders>
          </w:tcPr>
          <w:p>
            <w:pPr>
              <w:pStyle w:val="TableParagraph"/>
              <w:spacing w:before="0"/>
              <w:rPr>
                <w:sz w:val="16"/>
              </w:rPr>
            </w:pPr>
          </w:p>
        </w:tc>
        <w:tc>
          <w:tcPr>
            <w:tcW w:w="779" w:type="dxa"/>
            <w:tcBorders>
              <w:bottom w:val="single" w:sz="8" w:space="0" w:color="000000"/>
            </w:tcBorders>
          </w:tcPr>
          <w:p>
            <w:pPr>
              <w:pStyle w:val="TableParagraph"/>
              <w:ind w:right="97"/>
              <w:jc w:val="center"/>
              <w:rPr>
                <w:sz w:val="15"/>
              </w:rPr>
            </w:pPr>
            <w:r>
              <w:rPr>
                <w:spacing w:val="-10"/>
                <w:sz w:val="15"/>
              </w:rPr>
              <w:t>1</w:t>
            </w:r>
          </w:p>
        </w:tc>
        <w:tc>
          <w:tcPr>
            <w:tcW w:w="1192" w:type="dxa"/>
            <w:tcBorders>
              <w:bottom w:val="single" w:sz="8" w:space="0" w:color="000000"/>
            </w:tcBorders>
          </w:tcPr>
          <w:p>
            <w:pPr>
              <w:pStyle w:val="TableParagraph"/>
              <w:ind w:left="100"/>
              <w:rPr>
                <w:sz w:val="15"/>
              </w:rPr>
            </w:pPr>
            <w:r>
              <w:rPr>
                <w:sz w:val="15"/>
              </w:rPr>
              <w:t>197 &amp; </w:t>
            </w:r>
            <w:r>
              <w:rPr>
                <w:spacing w:val="-5"/>
                <w:sz w:val="15"/>
              </w:rPr>
              <w:t>233</w:t>
            </w:r>
          </w:p>
        </w:tc>
        <w:tc>
          <w:tcPr>
            <w:tcW w:w="200" w:type="dxa"/>
            <w:tcBorders>
              <w:bottom w:val="single" w:sz="8" w:space="0" w:color="000000"/>
            </w:tcBorders>
          </w:tcPr>
          <w:p>
            <w:pPr>
              <w:pStyle w:val="TableParagraph"/>
              <w:spacing w:before="0"/>
              <w:rPr>
                <w:sz w:val="16"/>
              </w:rPr>
            </w:pPr>
          </w:p>
        </w:tc>
        <w:tc>
          <w:tcPr>
            <w:tcW w:w="2064" w:type="dxa"/>
            <w:tcBorders>
              <w:bottom w:val="single" w:sz="8" w:space="0" w:color="000000"/>
            </w:tcBorders>
          </w:tcPr>
          <w:p>
            <w:pPr>
              <w:pStyle w:val="TableParagraph"/>
              <w:ind w:left="-1"/>
              <w:rPr>
                <w:sz w:val="15"/>
              </w:rPr>
            </w:pPr>
            <w:r>
              <w:rPr>
                <w:spacing w:val="-10"/>
                <w:sz w:val="15"/>
              </w:rPr>
              <w:t>0</w:t>
            </w:r>
          </w:p>
        </w:tc>
        <w:tc>
          <w:tcPr>
            <w:tcW w:w="100" w:type="dxa"/>
            <w:tcBorders>
              <w:bottom w:val="single" w:sz="8" w:space="0" w:color="000000"/>
            </w:tcBorders>
          </w:tcPr>
          <w:p>
            <w:pPr>
              <w:pStyle w:val="TableParagraph"/>
              <w:spacing w:before="0"/>
              <w:rPr>
                <w:sz w:val="16"/>
              </w:rPr>
            </w:pPr>
          </w:p>
        </w:tc>
      </w:tr>
    </w:tbl>
    <w:sectPr>
      <w:footerReference w:type="default" r:id="rId8"/>
      <w:pgSz w:w="15840" w:h="12240" w:orient="landscape"/>
      <w:pgMar w:header="0" w:footer="0" w:top="360" w:bottom="280" w:left="2160" w:right="2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9456">
              <wp:simplePos x="0" y="0"/>
              <wp:positionH relativeFrom="page">
                <wp:posOffset>2115542</wp:posOffset>
              </wp:positionH>
              <wp:positionV relativeFrom="page">
                <wp:posOffset>9058543</wp:posOffset>
              </wp:positionV>
              <wp:extent cx="2855595"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855595" cy="138430"/>
                      </a:xfrm>
                      <a:prstGeom prst="rect">
                        <a:avLst/>
                      </a:prstGeom>
                    </wps:spPr>
                    <wps:txbx>
                      <w:txbxContent>
                        <w:p>
                          <w:pPr>
                            <w:spacing w:before="13"/>
                            <w:ind w:left="20" w:right="0" w:firstLine="0"/>
                            <w:jc w:val="left"/>
                            <w:rPr>
                              <w:sz w:val="16"/>
                            </w:rPr>
                          </w:pPr>
                          <w:r>
                            <w:rPr>
                              <w:i/>
                              <w:sz w:val="16"/>
                            </w:rPr>
                            <w:t>Fertil Steril</w:t>
                          </w:r>
                          <w:r>
                            <w:rPr>
                              <w:sz w:val="16"/>
                            </w:rPr>
                            <w:t>. Author manuscript; available in PMC 2011 December </w:t>
                          </w:r>
                          <w:r>
                            <w:rPr>
                              <w:spacing w:val="-5"/>
                              <w:sz w:val="16"/>
                            </w:rPr>
                            <w:t>1.</w:t>
                          </w:r>
                        </w:p>
                      </w:txbxContent>
                    </wps:txbx>
                    <wps:bodyPr wrap="square" lIns="0" tIns="0" rIns="0" bIns="0" rtlCol="0">
                      <a:noAutofit/>
                    </wps:bodyPr>
                  </wps:wsp>
                </a:graphicData>
              </a:graphic>
            </wp:anchor>
          </w:drawing>
        </mc:Choice>
        <mc:Fallback>
          <w:pict>
            <v:shape style="position:absolute;margin-left:166.578125pt;margin-top:713.271118pt;width:224.85pt;height:10.9pt;mso-position-horizontal-relative:page;mso-position-vertical-relative:page;z-index:-15937024" type="#_x0000_t202" id="docshape10" filled="false" stroked="false">
              <v:textbox inset="0,0,0,0">
                <w:txbxContent>
                  <w:p>
                    <w:pPr>
                      <w:spacing w:before="13"/>
                      <w:ind w:left="20" w:right="0" w:firstLine="0"/>
                      <w:jc w:val="left"/>
                      <w:rPr>
                        <w:sz w:val="16"/>
                      </w:rPr>
                    </w:pPr>
                    <w:r>
                      <w:rPr>
                        <w:i/>
                        <w:sz w:val="16"/>
                      </w:rPr>
                      <w:t>Fertil Steril</w:t>
                    </w:r>
                    <w:r>
                      <w:rPr>
                        <w:sz w:val="16"/>
                      </w:rPr>
                      <w:t>. Author manuscript; available in PMC 2011 December </w:t>
                    </w:r>
                    <w:r>
                      <w:rPr>
                        <w:spacing w:val="-5"/>
                        <w:sz w:val="16"/>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60" w:hanging="18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2520" w:hanging="180"/>
      </w:pPr>
      <w:rPr>
        <w:rFonts w:hint="default"/>
        <w:lang w:val="en-US" w:eastAsia="en-US" w:bidi="ar-SA"/>
      </w:rPr>
    </w:lvl>
    <w:lvl w:ilvl="2">
      <w:start w:val="0"/>
      <w:numFmt w:val="bullet"/>
      <w:lvlText w:val="•"/>
      <w:lvlJc w:val="left"/>
      <w:pPr>
        <w:ind w:left="3280" w:hanging="180"/>
      </w:pPr>
      <w:rPr>
        <w:rFonts w:hint="default"/>
        <w:lang w:val="en-US" w:eastAsia="en-US" w:bidi="ar-SA"/>
      </w:rPr>
    </w:lvl>
    <w:lvl w:ilvl="3">
      <w:start w:val="0"/>
      <w:numFmt w:val="bullet"/>
      <w:lvlText w:val="•"/>
      <w:lvlJc w:val="left"/>
      <w:pPr>
        <w:ind w:left="4040" w:hanging="180"/>
      </w:pPr>
      <w:rPr>
        <w:rFonts w:hint="default"/>
        <w:lang w:val="en-US" w:eastAsia="en-US" w:bidi="ar-SA"/>
      </w:rPr>
    </w:lvl>
    <w:lvl w:ilvl="4">
      <w:start w:val="0"/>
      <w:numFmt w:val="bullet"/>
      <w:lvlText w:val="•"/>
      <w:lvlJc w:val="left"/>
      <w:pPr>
        <w:ind w:left="4800" w:hanging="180"/>
      </w:pPr>
      <w:rPr>
        <w:rFonts w:hint="default"/>
        <w:lang w:val="en-US" w:eastAsia="en-US" w:bidi="ar-SA"/>
      </w:rPr>
    </w:lvl>
    <w:lvl w:ilvl="5">
      <w:start w:val="0"/>
      <w:numFmt w:val="bullet"/>
      <w:lvlText w:val="•"/>
      <w:lvlJc w:val="left"/>
      <w:pPr>
        <w:ind w:left="5560" w:hanging="180"/>
      </w:pPr>
      <w:rPr>
        <w:rFonts w:hint="default"/>
        <w:lang w:val="en-US" w:eastAsia="en-US" w:bidi="ar-SA"/>
      </w:rPr>
    </w:lvl>
    <w:lvl w:ilvl="6">
      <w:start w:val="0"/>
      <w:numFmt w:val="bullet"/>
      <w:lvlText w:val="•"/>
      <w:lvlJc w:val="left"/>
      <w:pPr>
        <w:ind w:left="6320" w:hanging="180"/>
      </w:pPr>
      <w:rPr>
        <w:rFonts w:hint="default"/>
        <w:lang w:val="en-US" w:eastAsia="en-US" w:bidi="ar-SA"/>
      </w:rPr>
    </w:lvl>
    <w:lvl w:ilvl="7">
      <w:start w:val="0"/>
      <w:numFmt w:val="bullet"/>
      <w:lvlText w:val="•"/>
      <w:lvlJc w:val="left"/>
      <w:pPr>
        <w:ind w:left="7080" w:hanging="180"/>
      </w:pPr>
      <w:rPr>
        <w:rFonts w:hint="default"/>
        <w:lang w:val="en-US" w:eastAsia="en-US" w:bidi="ar-SA"/>
      </w:rPr>
    </w:lvl>
    <w:lvl w:ilvl="8">
      <w:start w:val="0"/>
      <w:numFmt w:val="bullet"/>
      <w:lvlText w:val="•"/>
      <w:lvlJc w:val="left"/>
      <w:pPr>
        <w:ind w:left="7840"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119"/>
      <w:outlineLvl w:val="2"/>
    </w:pPr>
    <w:rPr>
      <w:rFonts w:ascii="Arial" w:hAnsi="Arial" w:eastAsia="Arial" w:cs="Arial"/>
      <w:b/>
      <w:bCs/>
      <w:sz w:val="20"/>
      <w:szCs w:val="20"/>
      <w:lang w:val="en-US" w:eastAsia="en-US" w:bidi="ar-SA"/>
    </w:rPr>
  </w:style>
  <w:style w:styleId="Title" w:type="paragraph">
    <w:name w:val="Title"/>
    <w:basedOn w:val="Normal"/>
    <w:uiPriority w:val="1"/>
    <w:qFormat/>
    <w:pPr>
      <w:ind w:left="360" w:right="400"/>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42"/>
      <w:ind w:left="1760"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llivsh@mail.nih.gov"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2025-05-22T13:40:36Z</dcterms:created>
  <dcterms:modified xsi:type="dcterms:W3CDTF">2025-05-22T13:40:36Z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2010-11-27T00:00:00Z</vt:filetime>
  </property>
  <property fmtid="{D5CDD505-2E9C-101B-9397-08002B2CF9AE}" pid="3" name="Creator">
    <vt:lpwstr>AH Formatter V5.0 MR2a (5,0,2009,0623) for Linux</vt:lpwstr>
  </property>
  <property fmtid="{D5CDD505-2E9C-101B-9397-08002B2CF9AE}" pid="4" name="LastSaved">
    <vt:filetime>2025-05-22T00:00:00Z</vt:filetime>
  </property>
  <property fmtid="{D5CDD505-2E9C-101B-9397-08002B2CF9AE}" pid="5" name="Producer">
    <vt:lpwstr>Antenna House PDF Output Library 2.6.0 (Linux)</vt:lpwstr>
  </property>
</Properties>
</file>