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150" w:lineRule="exact" w:before="44"/>
        <w:ind w:left="256" w:right="0" w:firstLine="0"/>
        <w:jc w:val="left"/>
        <w:rPr>
          <w:i/>
          <w:sz w:val="14"/>
        </w:rPr>
      </w:pPr>
      <w:r>
        <w:rPr>
          <w:i/>
          <w:color w:val="231F20"/>
          <w:sz w:val="14"/>
        </w:rPr>
        <w:t>Movement</w:t>
      </w:r>
      <w:r>
        <w:rPr>
          <w:i/>
          <w:color w:val="231F20"/>
          <w:spacing w:val="7"/>
          <w:sz w:val="14"/>
        </w:rPr>
        <w:t> </w:t>
      </w:r>
      <w:r>
        <w:rPr>
          <w:i/>
          <w:color w:val="231F20"/>
          <w:spacing w:val="-2"/>
          <w:sz w:val="14"/>
        </w:rPr>
        <w:t>Disorders</w:t>
      </w:r>
    </w:p>
    <w:p>
      <w:pPr>
        <w:spacing w:line="139" w:lineRule="exact" w:before="0"/>
        <w:ind w:left="256" w:right="0" w:firstLine="0"/>
        <w:jc w:val="left"/>
        <w:rPr>
          <w:sz w:val="14"/>
        </w:rPr>
      </w:pPr>
      <w:r>
        <w:rPr>
          <w:color w:val="231F20"/>
          <w:sz w:val="14"/>
        </w:rPr>
        <w:t>Vol.</w:t>
      </w:r>
      <w:r>
        <w:rPr>
          <w:color w:val="231F20"/>
          <w:spacing w:val="9"/>
          <w:sz w:val="14"/>
        </w:rPr>
        <w:t> </w:t>
      </w:r>
      <w:r>
        <w:rPr>
          <w:color w:val="231F20"/>
          <w:sz w:val="14"/>
        </w:rPr>
        <w:t>25,</w:t>
      </w:r>
      <w:r>
        <w:rPr>
          <w:color w:val="231F20"/>
          <w:spacing w:val="9"/>
          <w:sz w:val="14"/>
        </w:rPr>
        <w:t> </w:t>
      </w:r>
      <w:r>
        <w:rPr>
          <w:color w:val="231F20"/>
          <w:sz w:val="14"/>
        </w:rPr>
        <w:t>No.</w:t>
      </w:r>
      <w:r>
        <w:rPr>
          <w:color w:val="231F20"/>
          <w:spacing w:val="9"/>
          <w:sz w:val="14"/>
        </w:rPr>
        <w:t> </w:t>
      </w:r>
      <w:r>
        <w:rPr>
          <w:color w:val="231F20"/>
          <w:sz w:val="14"/>
        </w:rPr>
        <w:t>14,</w:t>
      </w:r>
      <w:r>
        <w:rPr>
          <w:color w:val="231F20"/>
          <w:spacing w:val="9"/>
          <w:sz w:val="14"/>
        </w:rPr>
        <w:t> </w:t>
      </w:r>
      <w:r>
        <w:rPr>
          <w:color w:val="231F20"/>
          <w:sz w:val="14"/>
        </w:rPr>
        <w:t>2010,</w:t>
      </w:r>
      <w:r>
        <w:rPr>
          <w:color w:val="231F20"/>
          <w:spacing w:val="9"/>
          <w:sz w:val="14"/>
        </w:rPr>
        <w:t> </w:t>
      </w:r>
      <w:r>
        <w:rPr>
          <w:color w:val="231F20"/>
          <w:sz w:val="14"/>
        </w:rPr>
        <w:t>pp.</w:t>
      </w:r>
      <w:r>
        <w:rPr>
          <w:color w:val="231F20"/>
          <w:spacing w:val="9"/>
          <w:sz w:val="14"/>
        </w:rPr>
        <w:t> </w:t>
      </w:r>
      <w:r>
        <w:rPr>
          <w:color w:val="231F20"/>
          <w:spacing w:val="-2"/>
          <w:sz w:val="14"/>
        </w:rPr>
        <w:t>2461–2477</w:t>
      </w:r>
    </w:p>
    <w:p>
      <w:pPr>
        <w:spacing w:line="151" w:lineRule="exact" w:before="0"/>
        <w:ind w:left="256" w:right="0" w:firstLine="0"/>
        <w:jc w:val="left"/>
        <w:rPr>
          <w:sz w:val="14"/>
        </w:rPr>
      </w:pPr>
      <w:r>
        <w:rPr>
          <w:rFonts w:ascii="Arial" w:hAnsi="Arial"/>
          <w:color w:val="231F20"/>
          <w:sz w:val="14"/>
        </w:rPr>
        <w:t>©</w:t>
      </w:r>
      <w:r>
        <w:rPr>
          <w:rFonts w:ascii="Arial" w:hAnsi="Arial"/>
          <w:color w:val="231F20"/>
          <w:spacing w:val="4"/>
          <w:sz w:val="14"/>
        </w:rPr>
        <w:t> </w:t>
      </w:r>
      <w:r>
        <w:rPr>
          <w:color w:val="231F20"/>
          <w:sz w:val="14"/>
        </w:rPr>
        <w:t>2010</w:t>
      </w:r>
      <w:r>
        <w:rPr>
          <w:color w:val="231F20"/>
          <w:spacing w:val="10"/>
          <w:sz w:val="14"/>
        </w:rPr>
        <w:t> </w:t>
      </w:r>
      <w:r>
        <w:rPr>
          <w:color w:val="231F20"/>
          <w:sz w:val="14"/>
        </w:rPr>
        <w:t>Movement</w:t>
      </w:r>
      <w:r>
        <w:rPr>
          <w:color w:val="231F20"/>
          <w:spacing w:val="10"/>
          <w:sz w:val="14"/>
        </w:rPr>
        <w:t> </w:t>
      </w:r>
      <w:r>
        <w:rPr>
          <w:color w:val="231F20"/>
          <w:sz w:val="14"/>
        </w:rPr>
        <w:t>Disorder</w:t>
      </w:r>
      <w:r>
        <w:rPr>
          <w:color w:val="231F20"/>
          <w:spacing w:val="10"/>
          <w:sz w:val="14"/>
        </w:rPr>
        <w:t> </w:t>
      </w:r>
      <w:r>
        <w:rPr>
          <w:color w:val="231F20"/>
          <w:spacing w:val="-2"/>
          <w:sz w:val="14"/>
        </w:rPr>
        <w:t>Society</w:t>
      </w:r>
    </w:p>
    <w:p>
      <w:pPr>
        <w:pStyle w:val="BodyText"/>
        <w:rPr>
          <w:sz w:val="28"/>
        </w:rPr>
      </w:pPr>
    </w:p>
    <w:p>
      <w:pPr>
        <w:pStyle w:val="BodyText"/>
        <w:spacing w:before="2"/>
        <w:rPr>
          <w:sz w:val="28"/>
        </w:rPr>
      </w:pPr>
    </w:p>
    <w:p>
      <w:pPr>
        <w:pStyle w:val="Title"/>
      </w:pPr>
      <w:r>
        <w:rPr>
          <w:color w:val="231F20"/>
        </w:rPr>
        <w:t>Letters</w:t>
      </w:r>
      <w:r>
        <w:rPr>
          <w:color w:val="231F20"/>
          <w:spacing w:val="23"/>
        </w:rPr>
        <w:t> </w:t>
      </w:r>
      <w:r>
        <w:rPr>
          <w:color w:val="231F20"/>
        </w:rPr>
        <w:t>to</w:t>
      </w:r>
      <w:r>
        <w:rPr>
          <w:color w:val="231F20"/>
          <w:spacing w:val="21"/>
        </w:rPr>
        <w:t> </w:t>
      </w:r>
      <w:r>
        <w:rPr>
          <w:color w:val="231F20"/>
        </w:rPr>
        <w:t>the</w:t>
      </w:r>
      <w:r>
        <w:rPr>
          <w:color w:val="231F20"/>
          <w:spacing w:val="21"/>
        </w:rPr>
        <w:t> </w:t>
      </w:r>
      <w:r>
        <w:rPr>
          <w:color w:val="231F20"/>
        </w:rPr>
        <w:t>Editor</w:t>
      </w:r>
      <w:r>
        <w:rPr>
          <w:color w:val="231F20"/>
          <w:spacing w:val="22"/>
        </w:rPr>
        <w:t> </w:t>
      </w:r>
      <w:r>
        <w:rPr>
          <w:color w:val="231F20"/>
        </w:rPr>
        <w:t>Related</w:t>
      </w:r>
      <w:r>
        <w:rPr>
          <w:color w:val="231F20"/>
          <w:spacing w:val="22"/>
        </w:rPr>
        <w:t> </w:t>
      </w:r>
      <w:r>
        <w:rPr>
          <w:color w:val="231F20"/>
        </w:rPr>
        <w:t>to</w:t>
      </w:r>
      <w:r>
        <w:rPr>
          <w:color w:val="231F20"/>
          <w:spacing w:val="21"/>
        </w:rPr>
        <w:t> </w:t>
      </w:r>
      <w:r>
        <w:rPr>
          <w:color w:val="231F20"/>
        </w:rPr>
        <w:t>New</w:t>
      </w:r>
      <w:r>
        <w:rPr>
          <w:color w:val="231F20"/>
          <w:spacing w:val="22"/>
        </w:rPr>
        <w:t> </w:t>
      </w:r>
      <w:r>
        <w:rPr>
          <w:color w:val="231F20"/>
          <w:spacing w:val="-2"/>
        </w:rPr>
        <w:t>Topics</w:t>
      </w:r>
    </w:p>
    <w:p>
      <w:pPr>
        <w:pStyle w:val="BodyText"/>
        <w:rPr>
          <w:sz w:val="20"/>
        </w:rPr>
      </w:pPr>
    </w:p>
    <w:p>
      <w:pPr>
        <w:pStyle w:val="BodyText"/>
        <w:spacing w:before="176"/>
        <w:rPr>
          <w:sz w:val="20"/>
        </w:rPr>
      </w:pPr>
    </w:p>
    <w:p>
      <w:pPr>
        <w:pStyle w:val="BodyText"/>
        <w:spacing w:after="0"/>
        <w:rPr>
          <w:sz w:val="20"/>
        </w:rPr>
        <w:sectPr>
          <w:type w:val="continuous"/>
          <w:pgSz w:w="12240" w:h="16200"/>
          <w:pgMar w:top="1060" w:bottom="280" w:left="1080" w:right="1080"/>
        </w:sectPr>
      </w:pPr>
    </w:p>
    <w:p>
      <w:pPr>
        <w:pStyle w:val="Heading1"/>
        <w:spacing w:line="244" w:lineRule="auto" w:before="62"/>
        <w:ind w:left="1716" w:hanging="1310"/>
        <w:jc w:val="left"/>
      </w:pPr>
      <w:r>
        <w:rPr>
          <w:color w:val="231F20"/>
          <w:w w:val="105"/>
        </w:rPr>
        <w:t>Retina Thickness in Parkinson’s Disease </w:t>
      </w:r>
      <w:r>
        <w:rPr>
          <w:color w:val="231F20"/>
          <w:w w:val="105"/>
        </w:rPr>
        <w:t>and Essential Tremor</w:t>
      </w:r>
    </w:p>
    <w:p>
      <w:pPr>
        <w:pStyle w:val="BodyText"/>
        <w:spacing w:before="248"/>
        <w:rPr>
          <w:sz w:val="22"/>
        </w:rPr>
      </w:pPr>
    </w:p>
    <w:p>
      <w:pPr>
        <w:pStyle w:val="BodyText"/>
        <w:spacing w:line="230" w:lineRule="auto"/>
        <w:ind w:left="256" w:right="38" w:firstLine="199"/>
        <w:jc w:val="both"/>
      </w:pPr>
      <w:r>
        <w:rPr>
          <w:color w:val="231F20"/>
        </w:rPr>
        <w:t>Visual symptoms, particularly impaired foveal vision, </w:t>
      </w:r>
      <w:r>
        <w:rPr>
          <w:color w:val="231F20"/>
        </w:rPr>
        <w:t>are common among the nonmotor phenomena in Parkinson’s dis- ease (PD). Experimental evidence from humans and monkeys shows that there are dopaminergic cells in the retina, includ- ing the amacrine subtype A18 with D1 and D2 receptors, and interplexiform cells.</w:t>
      </w:r>
    </w:p>
    <w:p>
      <w:pPr>
        <w:pStyle w:val="BodyText"/>
        <w:spacing w:line="230" w:lineRule="auto" w:before="4"/>
        <w:ind w:left="256" w:right="38" w:firstLine="199"/>
        <w:jc w:val="both"/>
      </w:pPr>
      <w:r>
        <w:rPr>
          <w:color w:val="231F20"/>
        </w:rPr>
        <w:t>Postmortem studies have shown that PD eyes have lower dopamine content,</w:t>
      </w:r>
      <w:r>
        <w:rPr>
          <w:color w:val="231F20"/>
          <w:vertAlign w:val="superscript"/>
        </w:rPr>
        <w:t>1</w:t>
      </w:r>
      <w:r>
        <w:rPr>
          <w:color w:val="231F20"/>
          <w:vertAlign w:val="baseline"/>
        </w:rPr>
        <w:t> compared with healthy controls. </w:t>
      </w:r>
      <w:r>
        <w:rPr>
          <w:color w:val="231F20"/>
          <w:vertAlign w:val="baseline"/>
        </w:rPr>
        <w:t>Like- wise, a loss in the sensitivity to contrast and color vision, altered visual evoked potential, and electroretinographic measurements have been observed, indicating foveal retinal ganglion cells damage in PD.</w:t>
      </w:r>
      <w:r>
        <w:rPr>
          <w:color w:val="231F20"/>
          <w:vertAlign w:val="superscript"/>
        </w:rPr>
        <w:t>2</w:t>
      </w:r>
    </w:p>
    <w:p>
      <w:pPr>
        <w:pStyle w:val="BodyText"/>
        <w:spacing w:line="230" w:lineRule="auto" w:before="3"/>
        <w:ind w:left="256" w:right="38" w:firstLine="199"/>
        <w:jc w:val="both"/>
      </w:pPr>
      <w:r>
        <w:rPr>
          <w:color w:val="231F20"/>
        </w:rPr>
        <w:t>Quantitative morphology of gross retinal histology </w:t>
      </w:r>
      <w:r>
        <w:rPr>
          <w:color w:val="231F20"/>
        </w:rPr>
        <w:t>in humans can be measured in vivo using time domain </w:t>
      </w:r>
      <w:r>
        <w:rPr>
          <w:i/>
          <w:color w:val="231F20"/>
        </w:rPr>
        <w:t>Optical Coherence Tomography </w:t>
      </w:r>
      <w:r>
        <w:rPr>
          <w:color w:val="231F20"/>
        </w:rPr>
        <w:t>(</w:t>
      </w:r>
      <w:r>
        <w:rPr>
          <w:i/>
          <w:color w:val="231F20"/>
        </w:rPr>
        <w:t>OCT</w:t>
      </w:r>
      <w:r>
        <w:rPr>
          <w:color w:val="231F20"/>
        </w:rPr>
        <w:t>). In PD a thinning of the peri- papillary retinal nerve ﬁber layer, which represents axons of</w:t>
      </w:r>
      <w:r>
        <w:rPr>
          <w:color w:val="231F20"/>
          <w:spacing w:val="40"/>
        </w:rPr>
        <w:t> </w:t>
      </w:r>
      <w:r>
        <w:rPr>
          <w:color w:val="231F20"/>
        </w:rPr>
        <w:t>the ganglion cells, and macula have been shown, supporting</w:t>
      </w:r>
      <w:r>
        <w:rPr>
          <w:color w:val="231F20"/>
          <w:spacing w:val="40"/>
        </w:rPr>
        <w:t> </w:t>
      </w:r>
      <w:r>
        <w:rPr>
          <w:color w:val="231F20"/>
        </w:rPr>
        <w:t>the hypothesis that dopaminergic deﬁcit in the retina can</w:t>
      </w:r>
      <w:r>
        <w:rPr>
          <w:color w:val="231F20"/>
          <w:spacing w:val="80"/>
          <w:w w:val="150"/>
        </w:rPr>
        <w:t> </w:t>
      </w:r>
      <w:r>
        <w:rPr>
          <w:color w:val="231F20"/>
        </w:rPr>
        <w:t>cause structural changes.</w:t>
      </w:r>
      <w:r>
        <w:rPr>
          <w:color w:val="231F20"/>
          <w:vertAlign w:val="superscript"/>
        </w:rPr>
        <w:t>2–5</w:t>
      </w:r>
      <w:r>
        <w:rPr>
          <w:color w:val="231F20"/>
          <w:vertAlign w:val="baseline"/>
        </w:rPr>
        <w:t> However, the usefulness of meas- uring foveal thickness by </w:t>
      </w:r>
      <w:r>
        <w:rPr>
          <w:i/>
          <w:color w:val="231F20"/>
          <w:vertAlign w:val="baseline"/>
        </w:rPr>
        <w:t>OCT </w:t>
      </w:r>
      <w:r>
        <w:rPr>
          <w:color w:val="231F20"/>
          <w:vertAlign w:val="baseline"/>
        </w:rPr>
        <w:t>as a diagnostic tool to differ- entiate</w:t>
      </w:r>
      <w:r>
        <w:rPr>
          <w:color w:val="231F20"/>
          <w:spacing w:val="40"/>
          <w:vertAlign w:val="baseline"/>
        </w:rPr>
        <w:t> </w:t>
      </w:r>
      <w:r>
        <w:rPr>
          <w:color w:val="231F20"/>
          <w:vertAlign w:val="baseline"/>
        </w:rPr>
        <w:t>PD</w:t>
      </w:r>
      <w:r>
        <w:rPr>
          <w:color w:val="231F20"/>
          <w:spacing w:val="40"/>
          <w:vertAlign w:val="baseline"/>
        </w:rPr>
        <w:t> </w:t>
      </w:r>
      <w:r>
        <w:rPr>
          <w:color w:val="231F20"/>
          <w:vertAlign w:val="baseline"/>
        </w:rPr>
        <w:t>from</w:t>
      </w:r>
      <w:r>
        <w:rPr>
          <w:color w:val="231F20"/>
          <w:spacing w:val="40"/>
          <w:vertAlign w:val="baseline"/>
        </w:rPr>
        <w:t> </w:t>
      </w:r>
      <w:r>
        <w:rPr>
          <w:color w:val="231F20"/>
          <w:vertAlign w:val="baseline"/>
        </w:rPr>
        <w:t>other</w:t>
      </w:r>
      <w:r>
        <w:rPr>
          <w:color w:val="231F20"/>
          <w:spacing w:val="40"/>
          <w:vertAlign w:val="baseline"/>
        </w:rPr>
        <w:t> </w:t>
      </w:r>
      <w:r>
        <w:rPr>
          <w:color w:val="231F20"/>
          <w:vertAlign w:val="baseline"/>
        </w:rPr>
        <w:t>tremor</w:t>
      </w:r>
      <w:r>
        <w:rPr>
          <w:color w:val="231F20"/>
          <w:spacing w:val="40"/>
          <w:vertAlign w:val="baseline"/>
        </w:rPr>
        <w:t> </w:t>
      </w:r>
      <w:r>
        <w:rPr>
          <w:color w:val="231F20"/>
          <w:vertAlign w:val="baseline"/>
        </w:rPr>
        <w:t>disease,</w:t>
      </w:r>
      <w:r>
        <w:rPr>
          <w:color w:val="231F20"/>
          <w:spacing w:val="40"/>
          <w:vertAlign w:val="baseline"/>
        </w:rPr>
        <w:t> </w:t>
      </w:r>
      <w:r>
        <w:rPr>
          <w:color w:val="231F20"/>
          <w:vertAlign w:val="baseline"/>
        </w:rPr>
        <w:t>such</w:t>
      </w:r>
      <w:r>
        <w:rPr>
          <w:color w:val="231F20"/>
          <w:spacing w:val="40"/>
          <w:vertAlign w:val="baseline"/>
        </w:rPr>
        <w:t> </w:t>
      </w:r>
      <w:r>
        <w:rPr>
          <w:color w:val="231F20"/>
          <w:vertAlign w:val="baseline"/>
        </w:rPr>
        <w:t>as</w:t>
      </w:r>
      <w:r>
        <w:rPr>
          <w:color w:val="231F20"/>
          <w:spacing w:val="40"/>
          <w:vertAlign w:val="baseline"/>
        </w:rPr>
        <w:t> </w:t>
      </w:r>
      <w:r>
        <w:rPr>
          <w:color w:val="231F20"/>
          <w:vertAlign w:val="baseline"/>
        </w:rPr>
        <w:t>essential tremor</w:t>
      </w:r>
      <w:r>
        <w:rPr>
          <w:color w:val="231F20"/>
          <w:spacing w:val="29"/>
          <w:vertAlign w:val="baseline"/>
        </w:rPr>
        <w:t> </w:t>
      </w:r>
      <w:r>
        <w:rPr>
          <w:color w:val="231F20"/>
          <w:vertAlign w:val="baseline"/>
        </w:rPr>
        <w:t>(ET)</w:t>
      </w:r>
      <w:r>
        <w:rPr>
          <w:color w:val="231F20"/>
          <w:spacing w:val="28"/>
          <w:vertAlign w:val="baseline"/>
        </w:rPr>
        <w:t> </w:t>
      </w:r>
      <w:r>
        <w:rPr>
          <w:color w:val="231F20"/>
          <w:vertAlign w:val="baseline"/>
        </w:rPr>
        <w:t>remains</w:t>
      </w:r>
      <w:r>
        <w:rPr>
          <w:color w:val="231F20"/>
          <w:spacing w:val="29"/>
          <w:vertAlign w:val="baseline"/>
        </w:rPr>
        <w:t> </w:t>
      </w:r>
      <w:r>
        <w:rPr>
          <w:color w:val="231F20"/>
          <w:vertAlign w:val="baseline"/>
        </w:rPr>
        <w:t>unknown.</w:t>
      </w:r>
      <w:r>
        <w:rPr>
          <w:color w:val="231F20"/>
          <w:spacing w:val="28"/>
          <w:vertAlign w:val="baseline"/>
        </w:rPr>
        <w:t> </w:t>
      </w:r>
      <w:r>
        <w:rPr>
          <w:color w:val="231F20"/>
          <w:vertAlign w:val="baseline"/>
        </w:rPr>
        <w:t>Therefore,</w:t>
      </w:r>
      <w:r>
        <w:rPr>
          <w:color w:val="231F20"/>
          <w:spacing w:val="28"/>
          <w:vertAlign w:val="baseline"/>
        </w:rPr>
        <w:t> </w:t>
      </w:r>
      <w:r>
        <w:rPr>
          <w:color w:val="231F20"/>
          <w:vertAlign w:val="baseline"/>
        </w:rPr>
        <w:t>the</w:t>
      </w:r>
      <w:r>
        <w:rPr>
          <w:color w:val="231F20"/>
          <w:spacing w:val="29"/>
          <w:vertAlign w:val="baseline"/>
        </w:rPr>
        <w:t> </w:t>
      </w:r>
      <w:r>
        <w:rPr>
          <w:color w:val="231F20"/>
          <w:vertAlign w:val="baseline"/>
        </w:rPr>
        <w:t>main</w:t>
      </w:r>
      <w:r>
        <w:rPr>
          <w:color w:val="231F20"/>
          <w:spacing w:val="28"/>
          <w:vertAlign w:val="baseline"/>
        </w:rPr>
        <w:t> </w:t>
      </w:r>
      <w:r>
        <w:rPr>
          <w:color w:val="231F20"/>
          <w:vertAlign w:val="baseline"/>
        </w:rPr>
        <w:t>purpose of this pilot study was to measure foveal thickness in patients with PD, and to compare it against a normal population and patients with ET.</w:t>
      </w:r>
    </w:p>
    <w:p>
      <w:pPr>
        <w:pStyle w:val="BodyText"/>
        <w:spacing w:line="230" w:lineRule="auto" w:before="8"/>
        <w:ind w:left="256" w:right="38" w:firstLine="199"/>
        <w:jc w:val="both"/>
      </w:pPr>
      <w:r>
        <w:rPr>
          <w:color w:val="231F20"/>
          <w:w w:val="105"/>
        </w:rPr>
        <w:t>We</w:t>
      </w:r>
      <w:r>
        <w:rPr>
          <w:color w:val="231F20"/>
          <w:w w:val="105"/>
        </w:rPr>
        <w:t> designed</w:t>
      </w:r>
      <w:r>
        <w:rPr>
          <w:color w:val="231F20"/>
          <w:w w:val="105"/>
        </w:rPr>
        <w:t> a</w:t>
      </w:r>
      <w:r>
        <w:rPr>
          <w:color w:val="231F20"/>
          <w:w w:val="105"/>
        </w:rPr>
        <w:t> cross-sectional</w:t>
      </w:r>
      <w:r>
        <w:rPr>
          <w:color w:val="231F20"/>
          <w:w w:val="105"/>
        </w:rPr>
        <w:t> pilot</w:t>
      </w:r>
      <w:r>
        <w:rPr>
          <w:color w:val="231F20"/>
          <w:w w:val="105"/>
        </w:rPr>
        <w:t> study</w:t>
      </w:r>
      <w:r>
        <w:rPr>
          <w:color w:val="231F20"/>
          <w:w w:val="105"/>
        </w:rPr>
        <w:t> that</w:t>
      </w:r>
      <w:r>
        <w:rPr>
          <w:color w:val="231F20"/>
          <w:w w:val="105"/>
        </w:rPr>
        <w:t> included</w:t>
      </w:r>
      <w:r>
        <w:rPr>
          <w:color w:val="231F20"/>
          <w:w w:val="105"/>
        </w:rPr>
        <w:t> a consecutive</w:t>
      </w:r>
      <w:r>
        <w:rPr>
          <w:color w:val="231F20"/>
          <w:spacing w:val="-5"/>
          <w:w w:val="105"/>
        </w:rPr>
        <w:t> </w:t>
      </w:r>
      <w:r>
        <w:rPr>
          <w:color w:val="231F20"/>
          <w:w w:val="105"/>
        </w:rPr>
        <w:t>sample</w:t>
      </w:r>
      <w:r>
        <w:rPr>
          <w:color w:val="231F20"/>
          <w:spacing w:val="-5"/>
          <w:w w:val="105"/>
        </w:rPr>
        <w:t> </w:t>
      </w:r>
      <w:r>
        <w:rPr>
          <w:color w:val="231F20"/>
          <w:w w:val="105"/>
        </w:rPr>
        <w:t>of</w:t>
      </w:r>
      <w:r>
        <w:rPr>
          <w:color w:val="231F20"/>
          <w:spacing w:val="-6"/>
          <w:w w:val="105"/>
        </w:rPr>
        <w:t> </w:t>
      </w:r>
      <w:r>
        <w:rPr>
          <w:color w:val="231F20"/>
          <w:w w:val="105"/>
        </w:rPr>
        <w:t>outpatients</w:t>
      </w:r>
      <w:r>
        <w:rPr>
          <w:color w:val="231F20"/>
          <w:spacing w:val="-5"/>
          <w:w w:val="105"/>
        </w:rPr>
        <w:t> </w:t>
      </w:r>
      <w:r>
        <w:rPr>
          <w:color w:val="231F20"/>
          <w:w w:val="105"/>
        </w:rPr>
        <w:t>diagnosed</w:t>
      </w:r>
      <w:r>
        <w:rPr>
          <w:color w:val="231F20"/>
          <w:spacing w:val="-5"/>
          <w:w w:val="105"/>
        </w:rPr>
        <w:t> </w:t>
      </w:r>
      <w:r>
        <w:rPr>
          <w:color w:val="231F20"/>
          <w:w w:val="105"/>
        </w:rPr>
        <w:t>with</w:t>
      </w:r>
      <w:r>
        <w:rPr>
          <w:color w:val="231F20"/>
          <w:spacing w:val="-5"/>
          <w:w w:val="105"/>
        </w:rPr>
        <w:t> </w:t>
      </w:r>
      <w:r>
        <w:rPr>
          <w:color w:val="231F20"/>
          <w:w w:val="105"/>
        </w:rPr>
        <w:t>idiopathic PD</w:t>
      </w:r>
      <w:r>
        <w:rPr>
          <w:color w:val="231F20"/>
          <w:w w:val="105"/>
        </w:rPr>
        <w:t> in</w:t>
      </w:r>
      <w:r>
        <w:rPr>
          <w:color w:val="231F20"/>
          <w:w w:val="105"/>
        </w:rPr>
        <w:t> accordance</w:t>
      </w:r>
      <w:r>
        <w:rPr>
          <w:color w:val="231F20"/>
          <w:w w:val="105"/>
        </w:rPr>
        <w:t> with</w:t>
      </w:r>
      <w:r>
        <w:rPr>
          <w:color w:val="231F20"/>
          <w:w w:val="105"/>
        </w:rPr>
        <w:t> the</w:t>
      </w:r>
      <w:r>
        <w:rPr>
          <w:color w:val="231F20"/>
          <w:w w:val="105"/>
        </w:rPr>
        <w:t> UK</w:t>
      </w:r>
      <w:r>
        <w:rPr>
          <w:color w:val="231F20"/>
          <w:w w:val="105"/>
        </w:rPr>
        <w:t> Parkinson’s</w:t>
      </w:r>
      <w:r>
        <w:rPr>
          <w:color w:val="231F20"/>
          <w:w w:val="105"/>
        </w:rPr>
        <w:t> Disease</w:t>
      </w:r>
      <w:r>
        <w:rPr>
          <w:color w:val="231F20"/>
          <w:w w:val="105"/>
        </w:rPr>
        <w:t> Society brain</w:t>
      </w:r>
      <w:r>
        <w:rPr>
          <w:color w:val="231F20"/>
          <w:w w:val="105"/>
        </w:rPr>
        <w:t> bank,</w:t>
      </w:r>
      <w:r>
        <w:rPr>
          <w:color w:val="231F20"/>
          <w:w w:val="105"/>
        </w:rPr>
        <w:t> and</w:t>
      </w:r>
      <w:r>
        <w:rPr>
          <w:color w:val="231F20"/>
          <w:w w:val="105"/>
        </w:rPr>
        <w:t> ET</w:t>
      </w:r>
      <w:r>
        <w:rPr>
          <w:color w:val="231F20"/>
          <w:w w:val="105"/>
        </w:rPr>
        <w:t> based</w:t>
      </w:r>
      <w:r>
        <w:rPr>
          <w:color w:val="231F20"/>
          <w:w w:val="105"/>
        </w:rPr>
        <w:t> on</w:t>
      </w:r>
      <w:r>
        <w:rPr>
          <w:color w:val="231F20"/>
          <w:w w:val="105"/>
        </w:rPr>
        <w:t> clinical</w:t>
      </w:r>
      <w:r>
        <w:rPr>
          <w:color w:val="231F20"/>
          <w:w w:val="105"/>
        </w:rPr>
        <w:t> criteria.</w:t>
      </w:r>
      <w:r>
        <w:rPr>
          <w:color w:val="231F20"/>
          <w:w w:val="105"/>
        </w:rPr>
        <w:t> Patients</w:t>
      </w:r>
      <w:r>
        <w:rPr>
          <w:color w:val="231F20"/>
          <w:w w:val="105"/>
        </w:rPr>
        <w:t> with any</w:t>
      </w:r>
      <w:r>
        <w:rPr>
          <w:color w:val="231F20"/>
          <w:spacing w:val="-8"/>
          <w:w w:val="105"/>
        </w:rPr>
        <w:t> </w:t>
      </w:r>
      <w:r>
        <w:rPr>
          <w:color w:val="231F20"/>
          <w:w w:val="105"/>
        </w:rPr>
        <w:t>coexisting</w:t>
      </w:r>
      <w:r>
        <w:rPr>
          <w:color w:val="231F20"/>
          <w:spacing w:val="-7"/>
          <w:w w:val="105"/>
        </w:rPr>
        <w:t> </w:t>
      </w:r>
      <w:r>
        <w:rPr>
          <w:color w:val="231F20"/>
          <w:w w:val="105"/>
        </w:rPr>
        <w:t>ocular</w:t>
      </w:r>
      <w:r>
        <w:rPr>
          <w:color w:val="231F20"/>
          <w:spacing w:val="-8"/>
          <w:w w:val="105"/>
        </w:rPr>
        <w:t> </w:t>
      </w:r>
      <w:r>
        <w:rPr>
          <w:color w:val="231F20"/>
          <w:w w:val="105"/>
        </w:rPr>
        <w:t>disease</w:t>
      </w:r>
      <w:r>
        <w:rPr>
          <w:color w:val="231F20"/>
          <w:spacing w:val="-7"/>
          <w:w w:val="105"/>
        </w:rPr>
        <w:t> </w:t>
      </w:r>
      <w:r>
        <w:rPr>
          <w:color w:val="231F20"/>
          <w:w w:val="105"/>
        </w:rPr>
        <w:t>were</w:t>
      </w:r>
      <w:r>
        <w:rPr>
          <w:color w:val="231F20"/>
          <w:spacing w:val="-8"/>
          <w:w w:val="105"/>
        </w:rPr>
        <w:t> </w:t>
      </w:r>
      <w:r>
        <w:rPr>
          <w:color w:val="231F20"/>
          <w:w w:val="105"/>
        </w:rPr>
        <w:t>excluded.</w:t>
      </w:r>
      <w:r>
        <w:rPr>
          <w:color w:val="231F20"/>
          <w:spacing w:val="-7"/>
          <w:w w:val="105"/>
        </w:rPr>
        <w:t> </w:t>
      </w:r>
      <w:r>
        <w:rPr>
          <w:color w:val="231F20"/>
          <w:w w:val="105"/>
        </w:rPr>
        <w:t>This</w:t>
      </w:r>
      <w:r>
        <w:rPr>
          <w:color w:val="231F20"/>
          <w:spacing w:val="-8"/>
          <w:w w:val="105"/>
        </w:rPr>
        <w:t> </w:t>
      </w:r>
      <w:r>
        <w:rPr>
          <w:color w:val="231F20"/>
          <w:w w:val="105"/>
        </w:rPr>
        <w:t>study</w:t>
      </w:r>
      <w:r>
        <w:rPr>
          <w:color w:val="231F20"/>
          <w:spacing w:val="-8"/>
          <w:w w:val="105"/>
        </w:rPr>
        <w:t> </w:t>
      </w:r>
      <w:r>
        <w:rPr>
          <w:color w:val="231F20"/>
          <w:w w:val="105"/>
        </w:rPr>
        <w:t>was approved</w:t>
      </w:r>
      <w:r>
        <w:rPr>
          <w:color w:val="231F20"/>
          <w:w w:val="105"/>
        </w:rPr>
        <w:t> by</w:t>
      </w:r>
      <w:r>
        <w:rPr>
          <w:color w:val="231F20"/>
          <w:w w:val="105"/>
        </w:rPr>
        <w:t> the</w:t>
      </w:r>
      <w:r>
        <w:rPr>
          <w:color w:val="231F20"/>
          <w:w w:val="105"/>
        </w:rPr>
        <w:t> Ethics</w:t>
      </w:r>
      <w:r>
        <w:rPr>
          <w:color w:val="231F20"/>
          <w:w w:val="105"/>
        </w:rPr>
        <w:t> Committee</w:t>
      </w:r>
      <w:r>
        <w:rPr>
          <w:color w:val="231F20"/>
          <w:w w:val="105"/>
        </w:rPr>
        <w:t> of</w:t>
      </w:r>
      <w:r>
        <w:rPr>
          <w:color w:val="231F20"/>
          <w:w w:val="105"/>
        </w:rPr>
        <w:t> the</w:t>
      </w:r>
      <w:r>
        <w:rPr>
          <w:color w:val="231F20"/>
          <w:w w:val="105"/>
        </w:rPr>
        <w:t> General</w:t>
      </w:r>
      <w:r>
        <w:rPr>
          <w:color w:val="231F20"/>
          <w:w w:val="105"/>
        </w:rPr>
        <w:t> Yagu¨e </w:t>
      </w:r>
      <w:r>
        <w:rPr>
          <w:color w:val="231F20"/>
        </w:rPr>
        <w:t>Hospital, Burgos (Spain), and all patients signed the informed consent before being enrolled. Control subjects were matched </w:t>
      </w:r>
      <w:r>
        <w:rPr>
          <w:color w:val="231F20"/>
          <w:w w:val="105"/>
        </w:rPr>
        <w:t>for age (</w:t>
      </w:r>
      <w:r>
        <w:rPr>
          <w:rFonts w:ascii="Arial" w:hAnsi="Arial"/>
          <w:color w:val="231F20"/>
          <w:w w:val="105"/>
        </w:rPr>
        <w:t>6</w:t>
      </w:r>
      <w:r>
        <w:rPr>
          <w:rFonts w:ascii="Arial" w:hAnsi="Arial"/>
          <w:color w:val="231F20"/>
          <w:spacing w:val="-5"/>
          <w:w w:val="105"/>
        </w:rPr>
        <w:t> </w:t>
      </w:r>
      <w:r>
        <w:rPr>
          <w:color w:val="231F20"/>
          <w:w w:val="105"/>
        </w:rPr>
        <w:t>5</w:t>
      </w:r>
      <w:r>
        <w:rPr>
          <w:color w:val="231F20"/>
          <w:spacing w:val="-1"/>
          <w:w w:val="105"/>
        </w:rPr>
        <w:t> </w:t>
      </w:r>
      <w:r>
        <w:rPr>
          <w:color w:val="231F20"/>
          <w:w w:val="105"/>
        </w:rPr>
        <w:t>years) and gender to PD patients. Demographic and</w:t>
      </w:r>
      <w:r>
        <w:rPr>
          <w:color w:val="231F20"/>
          <w:spacing w:val="-6"/>
          <w:w w:val="105"/>
        </w:rPr>
        <w:t> </w:t>
      </w:r>
      <w:r>
        <w:rPr>
          <w:color w:val="231F20"/>
          <w:w w:val="105"/>
        </w:rPr>
        <w:t>PD/ET</w:t>
      </w:r>
      <w:r>
        <w:rPr>
          <w:color w:val="231F20"/>
          <w:spacing w:val="-6"/>
          <w:w w:val="105"/>
        </w:rPr>
        <w:t> </w:t>
      </w:r>
      <w:r>
        <w:rPr>
          <w:color w:val="231F20"/>
          <w:w w:val="105"/>
        </w:rPr>
        <w:t>laterality</w:t>
      </w:r>
      <w:r>
        <w:rPr>
          <w:color w:val="231F20"/>
          <w:spacing w:val="-6"/>
          <w:w w:val="105"/>
        </w:rPr>
        <w:t> </w:t>
      </w:r>
      <w:r>
        <w:rPr>
          <w:color w:val="231F20"/>
          <w:w w:val="105"/>
        </w:rPr>
        <w:t>data</w:t>
      </w:r>
      <w:r>
        <w:rPr>
          <w:color w:val="231F20"/>
          <w:spacing w:val="-6"/>
          <w:w w:val="105"/>
        </w:rPr>
        <w:t> </w:t>
      </w:r>
      <w:r>
        <w:rPr>
          <w:color w:val="231F20"/>
          <w:w w:val="105"/>
        </w:rPr>
        <w:t>were</w:t>
      </w:r>
      <w:r>
        <w:rPr>
          <w:color w:val="231F20"/>
          <w:spacing w:val="-6"/>
          <w:w w:val="105"/>
        </w:rPr>
        <w:t> </w:t>
      </w:r>
      <w:r>
        <w:rPr>
          <w:color w:val="231F20"/>
          <w:w w:val="105"/>
        </w:rPr>
        <w:t>collected.</w:t>
      </w:r>
      <w:r>
        <w:rPr>
          <w:color w:val="231F20"/>
          <w:spacing w:val="-6"/>
          <w:w w:val="105"/>
        </w:rPr>
        <w:t> </w:t>
      </w:r>
      <w:r>
        <w:rPr>
          <w:i/>
          <w:color w:val="231F20"/>
          <w:w w:val="105"/>
        </w:rPr>
        <w:t>OCT</w:t>
      </w:r>
      <w:r>
        <w:rPr>
          <w:i/>
          <w:color w:val="231F20"/>
          <w:spacing w:val="-6"/>
          <w:w w:val="105"/>
        </w:rPr>
        <w:t> </w:t>
      </w:r>
      <w:r>
        <w:rPr>
          <w:color w:val="231F20"/>
          <w:w w:val="105"/>
        </w:rPr>
        <w:t>was</w:t>
      </w:r>
      <w:r>
        <w:rPr>
          <w:color w:val="231F20"/>
          <w:spacing w:val="-6"/>
          <w:w w:val="105"/>
        </w:rPr>
        <w:t> </w:t>
      </w:r>
      <w:r>
        <w:rPr>
          <w:color w:val="231F20"/>
          <w:w w:val="105"/>
        </w:rPr>
        <w:t>acquired through</w:t>
      </w:r>
      <w:r>
        <w:rPr>
          <w:color w:val="231F20"/>
          <w:spacing w:val="-3"/>
          <w:w w:val="105"/>
        </w:rPr>
        <w:t> </w:t>
      </w:r>
      <w:r>
        <w:rPr>
          <w:color w:val="231F20"/>
          <w:w w:val="105"/>
        </w:rPr>
        <w:t>a</w:t>
      </w:r>
      <w:r>
        <w:rPr>
          <w:color w:val="231F20"/>
          <w:spacing w:val="-3"/>
          <w:w w:val="105"/>
        </w:rPr>
        <w:t> </w:t>
      </w:r>
      <w:r>
        <w:rPr>
          <w:color w:val="231F20"/>
          <w:w w:val="105"/>
        </w:rPr>
        <w:t>dilated</w:t>
      </w:r>
      <w:r>
        <w:rPr>
          <w:color w:val="231F20"/>
          <w:spacing w:val="-3"/>
          <w:w w:val="105"/>
        </w:rPr>
        <w:t> </w:t>
      </w:r>
      <w:r>
        <w:rPr>
          <w:color w:val="231F20"/>
          <w:w w:val="105"/>
        </w:rPr>
        <w:t>pupil</w:t>
      </w:r>
      <w:r>
        <w:rPr>
          <w:color w:val="231F20"/>
          <w:spacing w:val="-3"/>
          <w:w w:val="105"/>
        </w:rPr>
        <w:t> </w:t>
      </w:r>
      <w:r>
        <w:rPr>
          <w:color w:val="231F20"/>
          <w:w w:val="105"/>
        </w:rPr>
        <w:t>by</w:t>
      </w:r>
      <w:r>
        <w:rPr>
          <w:color w:val="231F20"/>
          <w:spacing w:val="-3"/>
          <w:w w:val="105"/>
        </w:rPr>
        <w:t> </w:t>
      </w:r>
      <w:r>
        <w:rPr>
          <w:color w:val="231F20"/>
          <w:w w:val="105"/>
        </w:rPr>
        <w:t>an</w:t>
      </w:r>
      <w:r>
        <w:rPr>
          <w:color w:val="231F20"/>
          <w:spacing w:val="-3"/>
          <w:w w:val="105"/>
        </w:rPr>
        <w:t> </w:t>
      </w:r>
      <w:r>
        <w:rPr>
          <w:color w:val="231F20"/>
          <w:w w:val="105"/>
        </w:rPr>
        <w:t>experienced</w:t>
      </w:r>
      <w:r>
        <w:rPr>
          <w:color w:val="231F20"/>
          <w:spacing w:val="-3"/>
          <w:w w:val="105"/>
        </w:rPr>
        <w:t> </w:t>
      </w:r>
      <w:r>
        <w:rPr>
          <w:color w:val="231F20"/>
          <w:w w:val="105"/>
        </w:rPr>
        <w:t>operator</w:t>
      </w:r>
      <w:r>
        <w:rPr>
          <w:color w:val="231F20"/>
          <w:spacing w:val="-3"/>
          <w:w w:val="105"/>
        </w:rPr>
        <w:t> </w:t>
      </w:r>
      <w:r>
        <w:rPr>
          <w:color w:val="231F20"/>
          <w:w w:val="105"/>
        </w:rPr>
        <w:t>using</w:t>
      </w:r>
      <w:r>
        <w:rPr>
          <w:color w:val="231F20"/>
          <w:spacing w:val="-3"/>
          <w:w w:val="105"/>
        </w:rPr>
        <w:t> </w:t>
      </w:r>
      <w:r>
        <w:rPr>
          <w:color w:val="231F20"/>
          <w:w w:val="105"/>
        </w:rPr>
        <w:t>the </w:t>
      </w:r>
      <w:r>
        <w:rPr>
          <w:i/>
          <w:color w:val="231F20"/>
          <w:w w:val="105"/>
        </w:rPr>
        <w:t>OCT3</w:t>
      </w:r>
      <w:r>
        <w:rPr>
          <w:i/>
          <w:color w:val="231F20"/>
          <w:spacing w:val="-7"/>
          <w:w w:val="105"/>
        </w:rPr>
        <w:t> </w:t>
      </w:r>
      <w:r>
        <w:rPr>
          <w:color w:val="231F20"/>
          <w:w w:val="105"/>
        </w:rPr>
        <w:t>(Carl</w:t>
      </w:r>
      <w:r>
        <w:rPr>
          <w:color w:val="231F20"/>
          <w:spacing w:val="-8"/>
          <w:w w:val="105"/>
        </w:rPr>
        <w:t> </w:t>
      </w:r>
      <w:r>
        <w:rPr>
          <w:color w:val="231F20"/>
          <w:w w:val="105"/>
        </w:rPr>
        <w:t>Zeiss</w:t>
      </w:r>
      <w:r>
        <w:rPr>
          <w:color w:val="231F20"/>
          <w:spacing w:val="-7"/>
          <w:w w:val="105"/>
        </w:rPr>
        <w:t> </w:t>
      </w:r>
      <w:r>
        <w:rPr>
          <w:color w:val="231F20"/>
          <w:w w:val="105"/>
        </w:rPr>
        <w:t>Meditec,</w:t>
      </w:r>
      <w:r>
        <w:rPr>
          <w:color w:val="231F20"/>
          <w:spacing w:val="-8"/>
          <w:w w:val="105"/>
        </w:rPr>
        <w:t> </w:t>
      </w:r>
      <w:r>
        <w:rPr>
          <w:color w:val="231F20"/>
          <w:w w:val="105"/>
        </w:rPr>
        <w:t>Dublin,</w:t>
      </w:r>
      <w:r>
        <w:rPr>
          <w:color w:val="231F20"/>
          <w:spacing w:val="-8"/>
          <w:w w:val="105"/>
        </w:rPr>
        <w:t> </w:t>
      </w:r>
      <w:r>
        <w:rPr>
          <w:color w:val="231F20"/>
          <w:w w:val="105"/>
        </w:rPr>
        <w:t>Calif),</w:t>
      </w:r>
      <w:r>
        <w:rPr>
          <w:color w:val="231F20"/>
          <w:spacing w:val="-7"/>
          <w:w w:val="105"/>
        </w:rPr>
        <w:t> </w:t>
      </w:r>
      <w:r>
        <w:rPr>
          <w:color w:val="231F20"/>
          <w:w w:val="105"/>
        </w:rPr>
        <w:t>with</w:t>
      </w:r>
      <w:r>
        <w:rPr>
          <w:color w:val="231F20"/>
          <w:spacing w:val="-8"/>
          <w:w w:val="105"/>
        </w:rPr>
        <w:t> </w:t>
      </w:r>
      <w:r>
        <w:rPr>
          <w:color w:val="231F20"/>
          <w:w w:val="105"/>
        </w:rPr>
        <w:t>axial</w:t>
      </w:r>
      <w:r>
        <w:rPr>
          <w:color w:val="231F20"/>
          <w:spacing w:val="-8"/>
          <w:w w:val="105"/>
        </w:rPr>
        <w:t> </w:t>
      </w:r>
      <w:r>
        <w:rPr>
          <w:color w:val="231F20"/>
          <w:w w:val="105"/>
        </w:rPr>
        <w:t>resolu- tion</w:t>
      </w:r>
      <w:r>
        <w:rPr>
          <w:color w:val="231F20"/>
          <w:w w:val="105"/>
        </w:rPr>
        <w:t> of</w:t>
      </w:r>
      <w:r>
        <w:rPr>
          <w:color w:val="231F20"/>
          <w:w w:val="105"/>
        </w:rPr>
        <w:t> </w:t>
      </w:r>
      <w:r>
        <w:rPr>
          <w:rFonts w:ascii="Arial" w:hAnsi="Arial"/>
          <w:color w:val="231F20"/>
          <w:w w:val="105"/>
        </w:rPr>
        <w:t>&lt;</w:t>
      </w:r>
      <w:r>
        <w:rPr>
          <w:rFonts w:ascii="Arial" w:hAnsi="Arial"/>
          <w:color w:val="231F20"/>
          <w:w w:val="105"/>
        </w:rPr>
        <w:t> </w:t>
      </w:r>
      <w:r>
        <w:rPr>
          <w:color w:val="231F20"/>
          <w:w w:val="105"/>
        </w:rPr>
        <w:t>10</w:t>
      </w:r>
      <w:r>
        <w:rPr>
          <w:color w:val="231F20"/>
          <w:w w:val="105"/>
        </w:rPr>
        <w:t> lm.</w:t>
      </w:r>
      <w:r>
        <w:rPr>
          <w:color w:val="231F20"/>
          <w:w w:val="105"/>
        </w:rPr>
        <w:t> The</w:t>
      </w:r>
      <w:r>
        <w:rPr>
          <w:color w:val="231F20"/>
          <w:w w:val="105"/>
        </w:rPr>
        <w:t> macular</w:t>
      </w:r>
      <w:r>
        <w:rPr>
          <w:color w:val="231F20"/>
          <w:w w:val="105"/>
        </w:rPr>
        <w:t> thickness</w:t>
      </w:r>
      <w:r>
        <w:rPr>
          <w:color w:val="231F20"/>
          <w:w w:val="105"/>
        </w:rPr>
        <w:t> map</w:t>
      </w:r>
      <w:r>
        <w:rPr>
          <w:color w:val="231F20"/>
          <w:w w:val="105"/>
        </w:rPr>
        <w:t> analysis</w:t>
      </w:r>
      <w:r>
        <w:rPr>
          <w:color w:val="231F20"/>
          <w:w w:val="105"/>
        </w:rPr>
        <w:t> and</w:t>
      </w:r>
      <w:r>
        <w:rPr>
          <w:color w:val="231F20"/>
          <w:spacing w:val="80"/>
          <w:w w:val="105"/>
        </w:rPr>
        <w:t> </w:t>
      </w:r>
      <w:r>
        <w:rPr>
          <w:color w:val="231F20"/>
          <w:w w:val="105"/>
        </w:rPr>
        <w:t>the</w:t>
      </w:r>
      <w:r>
        <w:rPr>
          <w:color w:val="231F20"/>
          <w:spacing w:val="-5"/>
          <w:w w:val="105"/>
        </w:rPr>
        <w:t> </w:t>
      </w:r>
      <w:r>
        <w:rPr>
          <w:color w:val="231F20"/>
          <w:w w:val="105"/>
        </w:rPr>
        <w:t>center</w:t>
      </w:r>
      <w:r>
        <w:rPr>
          <w:color w:val="231F20"/>
          <w:spacing w:val="-6"/>
          <w:w w:val="105"/>
        </w:rPr>
        <w:t> </w:t>
      </w:r>
      <w:r>
        <w:rPr>
          <w:color w:val="231F20"/>
          <w:w w:val="105"/>
        </w:rPr>
        <w:t>foveal</w:t>
      </w:r>
      <w:r>
        <w:rPr>
          <w:color w:val="231F20"/>
          <w:spacing w:val="-5"/>
          <w:w w:val="105"/>
        </w:rPr>
        <w:t> </w:t>
      </w:r>
      <w:r>
        <w:rPr>
          <w:color w:val="231F20"/>
          <w:w w:val="105"/>
        </w:rPr>
        <w:t>thickness</w:t>
      </w:r>
      <w:r>
        <w:rPr>
          <w:color w:val="231F20"/>
          <w:spacing w:val="-5"/>
          <w:w w:val="105"/>
        </w:rPr>
        <w:t> </w:t>
      </w:r>
      <w:r>
        <w:rPr>
          <w:color w:val="231F20"/>
          <w:w w:val="105"/>
        </w:rPr>
        <w:t>was</w:t>
      </w:r>
      <w:r>
        <w:rPr>
          <w:color w:val="231F20"/>
          <w:spacing w:val="-5"/>
          <w:w w:val="105"/>
        </w:rPr>
        <w:t> </w:t>
      </w:r>
      <w:r>
        <w:rPr>
          <w:color w:val="231F20"/>
          <w:w w:val="105"/>
        </w:rPr>
        <w:t>automatically</w:t>
      </w:r>
      <w:r>
        <w:rPr>
          <w:color w:val="231F20"/>
          <w:spacing w:val="-5"/>
          <w:w w:val="105"/>
        </w:rPr>
        <w:t> </w:t>
      </w:r>
      <w:r>
        <w:rPr>
          <w:color w:val="231F20"/>
          <w:w w:val="105"/>
        </w:rPr>
        <w:t>determined</w:t>
      </w:r>
      <w:r>
        <w:rPr>
          <w:color w:val="231F20"/>
          <w:spacing w:val="-5"/>
          <w:w w:val="105"/>
        </w:rPr>
        <w:t> </w:t>
      </w:r>
      <w:r>
        <w:rPr>
          <w:color w:val="231F20"/>
          <w:w w:val="105"/>
        </w:rPr>
        <w:t>by the</w:t>
      </w:r>
      <w:r>
        <w:rPr>
          <w:color w:val="231F20"/>
          <w:w w:val="105"/>
        </w:rPr>
        <w:t> </w:t>
      </w:r>
      <w:r>
        <w:rPr>
          <w:i/>
          <w:color w:val="231F20"/>
          <w:w w:val="105"/>
        </w:rPr>
        <w:t>OCT3</w:t>
      </w:r>
      <w:r>
        <w:rPr>
          <w:i/>
          <w:color w:val="231F20"/>
          <w:w w:val="105"/>
        </w:rPr>
        <w:t> </w:t>
      </w:r>
      <w:r>
        <w:rPr>
          <w:color w:val="231F20"/>
          <w:w w:val="105"/>
        </w:rPr>
        <w:t>software.</w:t>
      </w:r>
      <w:r>
        <w:rPr>
          <w:color w:val="231F20"/>
          <w:w w:val="105"/>
          <w:vertAlign w:val="superscript"/>
        </w:rPr>
        <w:t>6</w:t>
      </w:r>
      <w:r>
        <w:rPr>
          <w:color w:val="231F20"/>
          <w:w w:val="105"/>
          <w:vertAlign w:val="baseline"/>
        </w:rPr>
        <w:t> Images</w:t>
      </w:r>
      <w:r>
        <w:rPr>
          <w:color w:val="231F20"/>
          <w:w w:val="105"/>
          <w:vertAlign w:val="baseline"/>
        </w:rPr>
        <w:t> were</w:t>
      </w:r>
      <w:r>
        <w:rPr>
          <w:color w:val="231F20"/>
          <w:w w:val="105"/>
          <w:vertAlign w:val="baseline"/>
        </w:rPr>
        <w:t> considered</w:t>
      </w:r>
      <w:r>
        <w:rPr>
          <w:color w:val="231F20"/>
          <w:w w:val="105"/>
          <w:vertAlign w:val="baseline"/>
        </w:rPr>
        <w:t> to</w:t>
      </w:r>
      <w:r>
        <w:rPr>
          <w:color w:val="231F20"/>
          <w:w w:val="105"/>
          <w:vertAlign w:val="baseline"/>
        </w:rPr>
        <w:t> be</w:t>
      </w:r>
      <w:r>
        <w:rPr>
          <w:color w:val="231F20"/>
          <w:w w:val="105"/>
          <w:vertAlign w:val="baseline"/>
        </w:rPr>
        <w:t> of</w:t>
      </w:r>
      <w:r>
        <w:rPr>
          <w:color w:val="231F20"/>
          <w:w w:val="105"/>
          <w:vertAlign w:val="baseline"/>
        </w:rPr>
        <w:t> good quality</w:t>
      </w:r>
      <w:r>
        <w:rPr>
          <w:color w:val="231F20"/>
          <w:w w:val="105"/>
          <w:vertAlign w:val="baseline"/>
        </w:rPr>
        <w:t> if</w:t>
      </w:r>
      <w:r>
        <w:rPr>
          <w:color w:val="231F20"/>
          <w:w w:val="105"/>
          <w:vertAlign w:val="baseline"/>
        </w:rPr>
        <w:t> the</w:t>
      </w:r>
      <w:r>
        <w:rPr>
          <w:color w:val="231F20"/>
          <w:w w:val="105"/>
          <w:vertAlign w:val="baseline"/>
        </w:rPr>
        <w:t> signal-to-noise</w:t>
      </w:r>
      <w:r>
        <w:rPr>
          <w:color w:val="231F20"/>
          <w:w w:val="105"/>
          <w:vertAlign w:val="baseline"/>
        </w:rPr>
        <w:t> ratio</w:t>
      </w:r>
      <w:r>
        <w:rPr>
          <w:color w:val="231F20"/>
          <w:w w:val="105"/>
          <w:vertAlign w:val="baseline"/>
        </w:rPr>
        <w:t> was</w:t>
      </w:r>
      <w:r>
        <w:rPr>
          <w:color w:val="231F20"/>
          <w:w w:val="105"/>
          <w:vertAlign w:val="baseline"/>
        </w:rPr>
        <w:t> greater</w:t>
      </w:r>
      <w:r>
        <w:rPr>
          <w:color w:val="231F20"/>
          <w:w w:val="105"/>
          <w:vertAlign w:val="baseline"/>
        </w:rPr>
        <w:t> than</w:t>
      </w:r>
      <w:r>
        <w:rPr>
          <w:color w:val="231F20"/>
          <w:w w:val="105"/>
          <w:vertAlign w:val="baseline"/>
        </w:rPr>
        <w:t> 30dB</w:t>
      </w:r>
      <w:r>
        <w:rPr>
          <w:color w:val="231F20"/>
          <w:w w:val="105"/>
          <w:vertAlign w:val="baseline"/>
        </w:rPr>
        <w:t> or had more than 95% sweeps accepted.</w:t>
      </w:r>
    </w:p>
    <w:p>
      <w:pPr>
        <w:pStyle w:val="BodyText"/>
        <w:spacing w:line="230" w:lineRule="auto" w:before="7"/>
        <w:ind w:left="256" w:right="38" w:firstLine="199"/>
        <w:jc w:val="both"/>
        <w:rPr>
          <w:rFonts w:ascii="Arial"/>
        </w:rPr>
      </w:pPr>
      <w:r>
        <w:rPr>
          <w:color w:val="231F20"/>
        </w:rPr>
        <w:t>Data analysis was performed from an exploratory point </w:t>
      </w:r>
      <w:r>
        <w:rPr>
          <w:color w:val="231F20"/>
        </w:rPr>
        <w:t>of view using the statistical package </w:t>
      </w:r>
      <w:r>
        <w:rPr>
          <w:i/>
          <w:color w:val="231F20"/>
        </w:rPr>
        <w:t>SPSS program </w:t>
      </w:r>
      <w:r>
        <w:rPr>
          <w:color w:val="231F20"/>
        </w:rPr>
        <w:t>(</w:t>
      </w:r>
      <w:r>
        <w:rPr>
          <w:i/>
          <w:color w:val="231F20"/>
        </w:rPr>
        <w:t>SPSS 17</w:t>
      </w:r>
      <w:r>
        <w:rPr>
          <w:color w:val="231F20"/>
        </w:rPr>
        <w:t>; SPSS,</w:t>
      </w:r>
      <w:r>
        <w:rPr>
          <w:color w:val="231F20"/>
          <w:spacing w:val="32"/>
        </w:rPr>
        <w:t> </w:t>
      </w:r>
      <w:r>
        <w:rPr>
          <w:color w:val="231F20"/>
        </w:rPr>
        <w:t>Chicago).</w:t>
      </w:r>
      <w:r>
        <w:rPr>
          <w:color w:val="231F20"/>
          <w:spacing w:val="33"/>
        </w:rPr>
        <w:t> </w:t>
      </w:r>
      <w:r>
        <w:rPr>
          <w:color w:val="231F20"/>
        </w:rPr>
        <w:t>Only</w:t>
      </w:r>
      <w:r>
        <w:rPr>
          <w:color w:val="231F20"/>
          <w:spacing w:val="31"/>
        </w:rPr>
        <w:t> </w:t>
      </w:r>
      <w:r>
        <w:rPr>
          <w:color w:val="231F20"/>
        </w:rPr>
        <w:t>descriptive</w:t>
      </w:r>
      <w:r>
        <w:rPr>
          <w:color w:val="231F20"/>
          <w:spacing w:val="32"/>
        </w:rPr>
        <w:t> </w:t>
      </w:r>
      <w:r>
        <w:rPr>
          <w:color w:val="231F20"/>
        </w:rPr>
        <w:t>analysis</w:t>
      </w:r>
      <w:r>
        <w:rPr>
          <w:color w:val="231F20"/>
          <w:spacing w:val="32"/>
        </w:rPr>
        <w:t> </w:t>
      </w:r>
      <w:r>
        <w:rPr>
          <w:color w:val="231F20"/>
        </w:rPr>
        <w:t>was</w:t>
      </w:r>
      <w:r>
        <w:rPr>
          <w:color w:val="231F20"/>
          <w:spacing w:val="32"/>
        </w:rPr>
        <w:t> </w:t>
      </w:r>
      <w:r>
        <w:rPr>
          <w:color w:val="231F20"/>
        </w:rPr>
        <w:t>used,</w:t>
      </w:r>
      <w:r>
        <w:rPr>
          <w:color w:val="231F20"/>
          <w:spacing w:val="32"/>
        </w:rPr>
        <w:t> </w:t>
      </w:r>
      <w:r>
        <w:rPr>
          <w:color w:val="231F20"/>
        </w:rPr>
        <w:t>owing to</w:t>
      </w:r>
      <w:r>
        <w:rPr>
          <w:color w:val="231F20"/>
          <w:spacing w:val="23"/>
        </w:rPr>
        <w:t> </w:t>
      </w:r>
      <w:r>
        <w:rPr>
          <w:color w:val="231F20"/>
        </w:rPr>
        <w:t>the</w:t>
      </w:r>
      <w:r>
        <w:rPr>
          <w:color w:val="231F20"/>
          <w:spacing w:val="24"/>
        </w:rPr>
        <w:t> </w:t>
      </w:r>
      <w:r>
        <w:rPr>
          <w:color w:val="231F20"/>
        </w:rPr>
        <w:t>small</w:t>
      </w:r>
      <w:r>
        <w:rPr>
          <w:color w:val="231F20"/>
          <w:spacing w:val="25"/>
        </w:rPr>
        <w:t> </w:t>
      </w:r>
      <w:r>
        <w:rPr>
          <w:color w:val="231F20"/>
        </w:rPr>
        <w:t>sample</w:t>
      </w:r>
      <w:r>
        <w:rPr>
          <w:color w:val="231F20"/>
          <w:spacing w:val="24"/>
        </w:rPr>
        <w:t> </w:t>
      </w:r>
      <w:r>
        <w:rPr>
          <w:color w:val="231F20"/>
        </w:rPr>
        <w:t>size.</w:t>
      </w:r>
      <w:r>
        <w:rPr>
          <w:color w:val="231F20"/>
          <w:spacing w:val="25"/>
        </w:rPr>
        <w:t> </w:t>
      </w:r>
      <w:r>
        <w:rPr>
          <w:color w:val="231F20"/>
        </w:rPr>
        <w:t>Data</w:t>
      </w:r>
      <w:r>
        <w:rPr>
          <w:color w:val="231F20"/>
          <w:spacing w:val="24"/>
        </w:rPr>
        <w:t> </w:t>
      </w:r>
      <w:r>
        <w:rPr>
          <w:color w:val="231F20"/>
        </w:rPr>
        <w:t>were</w:t>
      </w:r>
      <w:r>
        <w:rPr>
          <w:color w:val="231F20"/>
          <w:spacing w:val="24"/>
        </w:rPr>
        <w:t> </w:t>
      </w:r>
      <w:r>
        <w:rPr>
          <w:color w:val="231F20"/>
        </w:rPr>
        <w:t>summarized</w:t>
      </w:r>
      <w:r>
        <w:rPr>
          <w:color w:val="231F20"/>
          <w:spacing w:val="25"/>
        </w:rPr>
        <w:t> </w:t>
      </w:r>
      <w:r>
        <w:rPr>
          <w:color w:val="231F20"/>
        </w:rPr>
        <w:t>as</w:t>
      </w:r>
      <w:r>
        <w:rPr>
          <w:color w:val="231F20"/>
          <w:spacing w:val="24"/>
        </w:rPr>
        <w:t> </w:t>
      </w:r>
      <w:r>
        <w:rPr>
          <w:color w:val="231F20"/>
        </w:rPr>
        <w:t>mean</w:t>
      </w:r>
      <w:r>
        <w:rPr>
          <w:color w:val="231F20"/>
          <w:spacing w:val="15"/>
          <w:w w:val="120"/>
        </w:rPr>
        <w:t> </w:t>
      </w:r>
      <w:r>
        <w:rPr>
          <w:rFonts w:ascii="Arial"/>
          <w:color w:val="231F20"/>
          <w:spacing w:val="-12"/>
          <w:w w:val="120"/>
        </w:rPr>
        <w:t>6</w:t>
      </w:r>
    </w:p>
    <w:p>
      <w:pPr>
        <w:pStyle w:val="BodyText"/>
        <w:spacing w:before="5"/>
        <w:rPr>
          <w:rFonts w:ascii="Arial"/>
          <w:sz w:val="7"/>
        </w:rPr>
      </w:pPr>
      <w:r>
        <w:rPr>
          <w:rFonts w:ascii="Arial"/>
          <w:sz w:val="7"/>
        </w:rPr>
        <mc:AlternateContent>
          <mc:Choice Requires="wps">
            <w:drawing>
              <wp:anchor distT="0" distB="0" distL="0" distR="0" allowOverlap="1" layoutInCell="1" locked="0" behindDoc="1" simplePos="0" relativeHeight="487587840">
                <wp:simplePos x="0" y="0"/>
                <wp:positionH relativeFrom="page">
                  <wp:posOffset>848880</wp:posOffset>
                </wp:positionH>
                <wp:positionV relativeFrom="paragraph">
                  <wp:posOffset>69760</wp:posOffset>
                </wp:positionV>
                <wp:extent cx="2897505" cy="3175"/>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2897505" cy="3175"/>
                        </a:xfrm>
                        <a:custGeom>
                          <a:avLst/>
                          <a:gdLst/>
                          <a:ahLst/>
                          <a:cxnLst/>
                          <a:rect l="l" t="t" r="r" b="b"/>
                          <a:pathLst>
                            <a:path w="2897505" h="3175">
                              <a:moveTo>
                                <a:pt x="0" y="0"/>
                              </a:moveTo>
                              <a:lnTo>
                                <a:pt x="0" y="2882"/>
                              </a:lnTo>
                              <a:lnTo>
                                <a:pt x="2897276" y="2882"/>
                              </a:lnTo>
                              <a:lnTo>
                                <a:pt x="2897276" y="0"/>
                              </a:lnTo>
                              <a:lnTo>
                                <a:pt x="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66.841003pt;margin-top:5.492936pt;width:228.132pt;height:.227pt;mso-position-horizontal-relative:page;mso-position-vertical-relative:paragraph;z-index:-15728640;mso-wrap-distance-left:0;mso-wrap-distance-right:0" id="docshape1" filled="true" fillcolor="#231f20" stroked="false">
                <v:fill type="solid"/>
                <w10:wrap type="topAndBottom"/>
              </v:rect>
            </w:pict>
          </mc:Fallback>
        </mc:AlternateContent>
      </w:r>
    </w:p>
    <w:p>
      <w:pPr>
        <w:spacing w:line="184" w:lineRule="exact" w:before="56"/>
        <w:ind w:left="416" w:right="0" w:firstLine="0"/>
        <w:jc w:val="left"/>
        <w:rPr>
          <w:sz w:val="16"/>
        </w:rPr>
      </w:pPr>
      <w:r>
        <w:rPr>
          <w:color w:val="231F20"/>
          <w:sz w:val="16"/>
        </w:rPr>
        <w:t>Potential</w:t>
      </w:r>
      <w:r>
        <w:rPr>
          <w:color w:val="231F20"/>
          <w:spacing w:val="9"/>
          <w:sz w:val="16"/>
        </w:rPr>
        <w:t> </w:t>
      </w:r>
      <w:r>
        <w:rPr>
          <w:color w:val="231F20"/>
          <w:sz w:val="16"/>
        </w:rPr>
        <w:t>conﬂict</w:t>
      </w:r>
      <w:r>
        <w:rPr>
          <w:color w:val="231F20"/>
          <w:spacing w:val="10"/>
          <w:sz w:val="16"/>
        </w:rPr>
        <w:t> </w:t>
      </w:r>
      <w:r>
        <w:rPr>
          <w:color w:val="231F20"/>
          <w:sz w:val="16"/>
        </w:rPr>
        <w:t>of</w:t>
      </w:r>
      <w:r>
        <w:rPr>
          <w:color w:val="231F20"/>
          <w:spacing w:val="11"/>
          <w:sz w:val="16"/>
        </w:rPr>
        <w:t> </w:t>
      </w:r>
      <w:r>
        <w:rPr>
          <w:color w:val="231F20"/>
          <w:sz w:val="16"/>
        </w:rPr>
        <w:t>interest:</w:t>
      </w:r>
      <w:r>
        <w:rPr>
          <w:color w:val="231F20"/>
          <w:spacing w:val="10"/>
          <w:sz w:val="16"/>
        </w:rPr>
        <w:t> </w:t>
      </w:r>
      <w:r>
        <w:rPr>
          <w:color w:val="231F20"/>
          <w:sz w:val="16"/>
        </w:rPr>
        <w:t>Nothing</w:t>
      </w:r>
      <w:r>
        <w:rPr>
          <w:color w:val="231F20"/>
          <w:spacing w:val="10"/>
          <w:sz w:val="16"/>
        </w:rPr>
        <w:t> </w:t>
      </w:r>
      <w:r>
        <w:rPr>
          <w:color w:val="231F20"/>
          <w:sz w:val="16"/>
        </w:rPr>
        <w:t>to</w:t>
      </w:r>
      <w:r>
        <w:rPr>
          <w:color w:val="231F20"/>
          <w:spacing w:val="10"/>
          <w:sz w:val="16"/>
        </w:rPr>
        <w:t> </w:t>
      </w:r>
      <w:r>
        <w:rPr>
          <w:color w:val="231F20"/>
          <w:spacing w:val="-2"/>
          <w:sz w:val="16"/>
        </w:rPr>
        <w:t>report.</w:t>
      </w:r>
    </w:p>
    <w:p>
      <w:pPr>
        <w:spacing w:line="232" w:lineRule="auto" w:before="4"/>
        <w:ind w:left="256" w:right="38" w:firstLine="159"/>
        <w:jc w:val="both"/>
        <w:rPr>
          <w:sz w:val="16"/>
        </w:rPr>
      </w:pPr>
      <w:r>
        <w:rPr>
          <w:color w:val="231F20"/>
          <w:w w:val="105"/>
          <w:sz w:val="16"/>
        </w:rPr>
        <w:t>Published</w:t>
      </w:r>
      <w:r>
        <w:rPr>
          <w:color w:val="231F20"/>
          <w:w w:val="105"/>
          <w:sz w:val="16"/>
        </w:rPr>
        <w:t> online</w:t>
      </w:r>
      <w:r>
        <w:rPr>
          <w:color w:val="231F20"/>
          <w:w w:val="105"/>
          <w:sz w:val="16"/>
        </w:rPr>
        <w:t> 28</w:t>
      </w:r>
      <w:r>
        <w:rPr>
          <w:color w:val="231F20"/>
          <w:w w:val="105"/>
          <w:sz w:val="16"/>
        </w:rPr>
        <w:t> July</w:t>
      </w:r>
      <w:r>
        <w:rPr>
          <w:color w:val="231F20"/>
          <w:w w:val="105"/>
          <w:sz w:val="16"/>
        </w:rPr>
        <w:t> 2010</w:t>
      </w:r>
      <w:r>
        <w:rPr>
          <w:color w:val="231F20"/>
          <w:w w:val="105"/>
          <w:sz w:val="16"/>
        </w:rPr>
        <w:t> in</w:t>
      </w:r>
      <w:r>
        <w:rPr>
          <w:color w:val="231F20"/>
          <w:w w:val="105"/>
          <w:sz w:val="16"/>
        </w:rPr>
        <w:t> Wiley</w:t>
      </w:r>
      <w:r>
        <w:rPr>
          <w:color w:val="231F20"/>
          <w:w w:val="105"/>
          <w:sz w:val="16"/>
        </w:rPr>
        <w:t> Online</w:t>
      </w:r>
      <w:r>
        <w:rPr>
          <w:color w:val="231F20"/>
          <w:w w:val="105"/>
          <w:sz w:val="16"/>
        </w:rPr>
        <w:t> </w:t>
      </w:r>
      <w:r>
        <w:rPr>
          <w:color w:val="231F20"/>
          <w:w w:val="105"/>
          <w:sz w:val="16"/>
        </w:rPr>
        <w:t>Library (wileyonlinelibrary.com).</w:t>
      </w:r>
      <w:r>
        <w:rPr>
          <w:color w:val="231F20"/>
          <w:spacing w:val="40"/>
          <w:w w:val="105"/>
          <w:sz w:val="16"/>
        </w:rPr>
        <w:t> </w:t>
      </w:r>
      <w:r>
        <w:rPr>
          <w:color w:val="231F20"/>
          <w:w w:val="105"/>
          <w:sz w:val="16"/>
        </w:rPr>
        <w:t>DOI: 10.1002/mds.23215</w:t>
      </w:r>
    </w:p>
    <w:p>
      <w:pPr>
        <w:pStyle w:val="BodyText"/>
        <w:spacing w:line="230" w:lineRule="auto" w:before="78"/>
        <w:ind w:left="256" w:right="217"/>
        <w:jc w:val="both"/>
      </w:pPr>
      <w:r>
        <w:rPr/>
        <w:br w:type="column"/>
      </w:r>
      <w:r>
        <w:rPr>
          <w:color w:val="231F20"/>
        </w:rPr>
        <w:t>standard deviation, and median (range). To maintain </w:t>
      </w:r>
      <w:r>
        <w:rPr>
          <w:color w:val="231F20"/>
        </w:rPr>
        <w:t>inde- pendence of all observations, right eye [RE] versus left eye [LE] were analyzed for each patient.</w:t>
      </w:r>
    </w:p>
    <w:p>
      <w:pPr>
        <w:pStyle w:val="BodyText"/>
        <w:spacing w:line="230" w:lineRule="auto" w:before="1"/>
        <w:ind w:left="256" w:right="216" w:firstLine="199"/>
        <w:jc w:val="both"/>
      </w:pPr>
      <w:r>
        <w:rPr>
          <w:color w:val="231F20"/>
        </w:rPr>
        <w:t>Fifty-two eyes from 9 patients with PD (5 men and </w:t>
      </w:r>
      <w:r>
        <w:rPr>
          <w:color w:val="231F20"/>
        </w:rPr>
        <w:t>4 women) with a mean age of 64.1 + 12 years and disease du- ration of 8.4 </w:t>
      </w:r>
      <w:r>
        <w:rPr>
          <w:rFonts w:ascii="Arial"/>
          <w:color w:val="231F20"/>
          <w:w w:val="120"/>
        </w:rPr>
        <w:t>6</w:t>
      </w:r>
      <w:r>
        <w:rPr>
          <w:rFonts w:ascii="Arial"/>
          <w:color w:val="231F20"/>
          <w:w w:val="120"/>
        </w:rPr>
        <w:t> </w:t>
      </w:r>
      <w:r>
        <w:rPr>
          <w:color w:val="231F20"/>
        </w:rPr>
        <w:t>1.9 years, 8 patients with ET (4 men and 4 women) with a mean age of 67.8 </w:t>
      </w:r>
      <w:r>
        <w:rPr>
          <w:rFonts w:ascii="Arial"/>
          <w:color w:val="231F20"/>
          <w:w w:val="120"/>
        </w:rPr>
        <w:t>6</w:t>
      </w:r>
      <w:r>
        <w:rPr>
          <w:rFonts w:ascii="Arial"/>
          <w:color w:val="231F20"/>
          <w:spacing w:val="-2"/>
          <w:w w:val="120"/>
        </w:rPr>
        <w:t> </w:t>
      </w:r>
      <w:r>
        <w:rPr>
          <w:color w:val="231F20"/>
        </w:rPr>
        <w:t>4.8 years and disease du- ration</w:t>
      </w:r>
      <w:r>
        <w:rPr>
          <w:color w:val="231F20"/>
          <w:spacing w:val="39"/>
        </w:rPr>
        <w:t> </w:t>
      </w:r>
      <w:r>
        <w:rPr>
          <w:color w:val="231F20"/>
        </w:rPr>
        <w:t>of</w:t>
      </w:r>
      <w:r>
        <w:rPr>
          <w:color w:val="231F20"/>
          <w:spacing w:val="38"/>
        </w:rPr>
        <w:t> </w:t>
      </w:r>
      <w:r>
        <w:rPr>
          <w:color w:val="231F20"/>
        </w:rPr>
        <w:t>23.7</w:t>
      </w:r>
      <w:r>
        <w:rPr>
          <w:color w:val="231F20"/>
          <w:w w:val="120"/>
        </w:rPr>
        <w:t> </w:t>
      </w:r>
      <w:r>
        <w:rPr>
          <w:rFonts w:ascii="Arial"/>
          <w:color w:val="231F20"/>
          <w:w w:val="120"/>
        </w:rPr>
        <w:t>6</w:t>
      </w:r>
      <w:r>
        <w:rPr>
          <w:rFonts w:ascii="Arial"/>
          <w:color w:val="231F20"/>
          <w:w w:val="120"/>
        </w:rPr>
        <w:t> </w:t>
      </w:r>
      <w:r>
        <w:rPr>
          <w:color w:val="231F20"/>
        </w:rPr>
        <w:t>18.3</w:t>
      </w:r>
      <w:r>
        <w:rPr>
          <w:color w:val="231F20"/>
          <w:spacing w:val="38"/>
        </w:rPr>
        <w:t> </w:t>
      </w:r>
      <w:r>
        <w:rPr>
          <w:color w:val="231F20"/>
        </w:rPr>
        <w:t>years,</w:t>
      </w:r>
      <w:r>
        <w:rPr>
          <w:color w:val="231F20"/>
          <w:spacing w:val="39"/>
        </w:rPr>
        <w:t> </w:t>
      </w:r>
      <w:r>
        <w:rPr>
          <w:color w:val="231F20"/>
        </w:rPr>
        <w:t>and</w:t>
      </w:r>
      <w:r>
        <w:rPr>
          <w:color w:val="231F20"/>
          <w:spacing w:val="39"/>
        </w:rPr>
        <w:t> </w:t>
      </w:r>
      <w:r>
        <w:rPr>
          <w:color w:val="231F20"/>
        </w:rPr>
        <w:t>9</w:t>
      </w:r>
      <w:r>
        <w:rPr>
          <w:color w:val="231F20"/>
          <w:spacing w:val="38"/>
        </w:rPr>
        <w:t> </w:t>
      </w:r>
      <w:r>
        <w:rPr>
          <w:color w:val="231F20"/>
        </w:rPr>
        <w:t>controls</w:t>
      </w:r>
      <w:r>
        <w:rPr>
          <w:color w:val="231F20"/>
          <w:spacing w:val="39"/>
        </w:rPr>
        <w:t> </w:t>
      </w:r>
      <w:r>
        <w:rPr>
          <w:color w:val="231F20"/>
        </w:rPr>
        <w:t>were</w:t>
      </w:r>
      <w:r>
        <w:rPr>
          <w:color w:val="231F20"/>
          <w:spacing w:val="39"/>
        </w:rPr>
        <w:t> </w:t>
      </w:r>
      <w:r>
        <w:rPr>
          <w:color w:val="231F20"/>
        </w:rPr>
        <w:t>included. The mean foveal thickness was thinner in the PD group com- pared with the ET group and controls (Table 1). For the PD</w:t>
      </w:r>
      <w:r>
        <w:rPr>
          <w:color w:val="231F20"/>
          <w:spacing w:val="40"/>
        </w:rPr>
        <w:t> </w:t>
      </w:r>
      <w:r>
        <w:rPr>
          <w:color w:val="231F20"/>
        </w:rPr>
        <w:t>and ET groups, the mean foveal thickness was also thinner in the contra lateral eye of the most affected side (Table 1).</w:t>
      </w:r>
    </w:p>
    <w:p>
      <w:pPr>
        <w:pStyle w:val="BodyText"/>
        <w:spacing w:line="230" w:lineRule="auto" w:before="2"/>
        <w:ind w:left="256" w:right="216" w:firstLine="199"/>
        <w:jc w:val="both"/>
      </w:pPr>
      <w:r>
        <w:rPr>
          <w:color w:val="231F20"/>
        </w:rPr>
        <w:t>In this pilot study, based on the </w:t>
      </w:r>
      <w:r>
        <w:rPr>
          <w:i/>
          <w:color w:val="231F20"/>
        </w:rPr>
        <w:t>OCT </w:t>
      </w:r>
      <w:r>
        <w:rPr>
          <w:color w:val="231F20"/>
        </w:rPr>
        <w:t>imaging, the </w:t>
      </w:r>
      <w:r>
        <w:rPr>
          <w:color w:val="231F20"/>
        </w:rPr>
        <w:t>fovea</w:t>
      </w:r>
      <w:r>
        <w:rPr>
          <w:color w:val="231F20"/>
          <w:spacing w:val="80"/>
        </w:rPr>
        <w:t> </w:t>
      </w:r>
      <w:r>
        <w:rPr>
          <w:color w:val="231F20"/>
        </w:rPr>
        <w:t>was</w:t>
      </w:r>
      <w:r>
        <w:rPr>
          <w:color w:val="231F20"/>
          <w:spacing w:val="39"/>
        </w:rPr>
        <w:t> </w:t>
      </w:r>
      <w:r>
        <w:rPr>
          <w:color w:val="231F20"/>
        </w:rPr>
        <w:t>thinner</w:t>
      </w:r>
      <w:r>
        <w:rPr>
          <w:color w:val="231F20"/>
          <w:spacing w:val="38"/>
        </w:rPr>
        <w:t> </w:t>
      </w:r>
      <w:r>
        <w:rPr>
          <w:color w:val="231F20"/>
        </w:rPr>
        <w:t>in</w:t>
      </w:r>
      <w:r>
        <w:rPr>
          <w:color w:val="231F20"/>
          <w:spacing w:val="39"/>
        </w:rPr>
        <w:t> </w:t>
      </w:r>
      <w:r>
        <w:rPr>
          <w:color w:val="231F20"/>
        </w:rPr>
        <w:t>the</w:t>
      </w:r>
      <w:r>
        <w:rPr>
          <w:color w:val="231F20"/>
          <w:spacing w:val="38"/>
        </w:rPr>
        <w:t> </w:t>
      </w:r>
      <w:r>
        <w:rPr>
          <w:color w:val="231F20"/>
        </w:rPr>
        <w:t>PD</w:t>
      </w:r>
      <w:r>
        <w:rPr>
          <w:color w:val="231F20"/>
          <w:spacing w:val="39"/>
        </w:rPr>
        <w:t> </w:t>
      </w:r>
      <w:r>
        <w:rPr>
          <w:color w:val="231F20"/>
        </w:rPr>
        <w:t>group</w:t>
      </w:r>
      <w:r>
        <w:rPr>
          <w:color w:val="231F20"/>
          <w:spacing w:val="39"/>
        </w:rPr>
        <w:t> </w:t>
      </w:r>
      <w:r>
        <w:rPr>
          <w:color w:val="231F20"/>
        </w:rPr>
        <w:t>compared</w:t>
      </w:r>
      <w:r>
        <w:rPr>
          <w:color w:val="231F20"/>
          <w:spacing w:val="38"/>
        </w:rPr>
        <w:t> </w:t>
      </w:r>
      <w:r>
        <w:rPr>
          <w:color w:val="231F20"/>
        </w:rPr>
        <w:t>with</w:t>
      </w:r>
      <w:r>
        <w:rPr>
          <w:color w:val="231F20"/>
          <w:spacing w:val="38"/>
        </w:rPr>
        <w:t> </w:t>
      </w:r>
      <w:r>
        <w:rPr>
          <w:color w:val="231F20"/>
        </w:rPr>
        <w:t>the</w:t>
      </w:r>
      <w:r>
        <w:rPr>
          <w:color w:val="231F20"/>
          <w:spacing w:val="39"/>
        </w:rPr>
        <w:t> </w:t>
      </w:r>
      <w:r>
        <w:rPr>
          <w:color w:val="231F20"/>
        </w:rPr>
        <w:t>ET</w:t>
      </w:r>
      <w:r>
        <w:rPr>
          <w:color w:val="231F20"/>
          <w:spacing w:val="39"/>
        </w:rPr>
        <w:t> </w:t>
      </w:r>
      <w:r>
        <w:rPr>
          <w:color w:val="231F20"/>
        </w:rPr>
        <w:t>group and controls. Interestingly, whereas interocular macular sym- metry</w:t>
      </w:r>
      <w:r>
        <w:rPr>
          <w:color w:val="231F20"/>
          <w:spacing w:val="36"/>
        </w:rPr>
        <w:t> </w:t>
      </w:r>
      <w:r>
        <w:rPr>
          <w:color w:val="231F20"/>
        </w:rPr>
        <w:t>has</w:t>
      </w:r>
      <w:r>
        <w:rPr>
          <w:color w:val="231F20"/>
          <w:spacing w:val="36"/>
        </w:rPr>
        <w:t> </w:t>
      </w:r>
      <w:r>
        <w:rPr>
          <w:color w:val="231F20"/>
        </w:rPr>
        <w:t>been</w:t>
      </w:r>
      <w:r>
        <w:rPr>
          <w:color w:val="231F20"/>
          <w:spacing w:val="35"/>
        </w:rPr>
        <w:t> </w:t>
      </w:r>
      <w:r>
        <w:rPr>
          <w:color w:val="231F20"/>
        </w:rPr>
        <w:t>found</w:t>
      </w:r>
      <w:r>
        <w:rPr>
          <w:color w:val="231F20"/>
          <w:spacing w:val="36"/>
        </w:rPr>
        <w:t> </w:t>
      </w:r>
      <w:r>
        <w:rPr>
          <w:color w:val="231F20"/>
        </w:rPr>
        <w:t>in</w:t>
      </w:r>
      <w:r>
        <w:rPr>
          <w:color w:val="231F20"/>
          <w:spacing w:val="36"/>
        </w:rPr>
        <w:t> </w:t>
      </w:r>
      <w:r>
        <w:rPr>
          <w:color w:val="231F20"/>
        </w:rPr>
        <w:t>the</w:t>
      </w:r>
      <w:r>
        <w:rPr>
          <w:color w:val="231F20"/>
          <w:spacing w:val="35"/>
        </w:rPr>
        <w:t> </w:t>
      </w:r>
      <w:r>
        <w:rPr>
          <w:color w:val="231F20"/>
        </w:rPr>
        <w:t>normal</w:t>
      </w:r>
      <w:r>
        <w:rPr>
          <w:color w:val="231F20"/>
          <w:spacing w:val="36"/>
        </w:rPr>
        <w:t> </w:t>
      </w:r>
      <w:r>
        <w:rPr>
          <w:color w:val="231F20"/>
        </w:rPr>
        <w:t>population,</w:t>
      </w:r>
      <w:r>
        <w:rPr>
          <w:color w:val="231F20"/>
          <w:vertAlign w:val="superscript"/>
        </w:rPr>
        <w:t>7</w:t>
      </w:r>
      <w:r>
        <w:rPr>
          <w:color w:val="231F20"/>
          <w:spacing w:val="36"/>
          <w:vertAlign w:val="baseline"/>
        </w:rPr>
        <w:t> </w:t>
      </w:r>
      <w:r>
        <w:rPr>
          <w:color w:val="231F20"/>
          <w:vertAlign w:val="baseline"/>
        </w:rPr>
        <w:t>we</w:t>
      </w:r>
      <w:r>
        <w:rPr>
          <w:color w:val="231F20"/>
          <w:spacing w:val="35"/>
          <w:vertAlign w:val="baseline"/>
        </w:rPr>
        <w:t> </w:t>
      </w:r>
      <w:r>
        <w:rPr>
          <w:color w:val="231F20"/>
          <w:vertAlign w:val="baseline"/>
        </w:rPr>
        <w:t>found that the foveal thickness was asymmetric and thinner in the</w:t>
      </w:r>
      <w:r>
        <w:rPr>
          <w:color w:val="231F20"/>
          <w:spacing w:val="80"/>
          <w:vertAlign w:val="baseline"/>
        </w:rPr>
        <w:t> </w:t>
      </w:r>
      <w:r>
        <w:rPr>
          <w:color w:val="231F20"/>
          <w:vertAlign w:val="baseline"/>
        </w:rPr>
        <w:t>eye contralateral to the side more affected by tremor and par- kinsonism</w:t>
      </w:r>
      <w:r>
        <w:rPr>
          <w:color w:val="231F20"/>
          <w:spacing w:val="40"/>
          <w:vertAlign w:val="baseline"/>
        </w:rPr>
        <w:t> </w:t>
      </w:r>
      <w:r>
        <w:rPr>
          <w:color w:val="231F20"/>
          <w:vertAlign w:val="baseline"/>
        </w:rPr>
        <w:t>in</w:t>
      </w:r>
      <w:r>
        <w:rPr>
          <w:color w:val="231F20"/>
          <w:spacing w:val="40"/>
          <w:vertAlign w:val="baseline"/>
        </w:rPr>
        <w:t> </w:t>
      </w:r>
      <w:r>
        <w:rPr>
          <w:color w:val="231F20"/>
          <w:vertAlign w:val="baseline"/>
        </w:rPr>
        <w:t>the</w:t>
      </w:r>
      <w:r>
        <w:rPr>
          <w:color w:val="231F20"/>
          <w:spacing w:val="40"/>
          <w:vertAlign w:val="baseline"/>
        </w:rPr>
        <w:t> </w:t>
      </w:r>
      <w:r>
        <w:rPr>
          <w:color w:val="231F20"/>
          <w:vertAlign w:val="baseline"/>
        </w:rPr>
        <w:t>ET</w:t>
      </w:r>
      <w:r>
        <w:rPr>
          <w:color w:val="231F20"/>
          <w:spacing w:val="40"/>
          <w:vertAlign w:val="baseline"/>
        </w:rPr>
        <w:t> </w:t>
      </w:r>
      <w:r>
        <w:rPr>
          <w:color w:val="231F20"/>
          <w:vertAlign w:val="baseline"/>
        </w:rPr>
        <w:t>and</w:t>
      </w:r>
      <w:r>
        <w:rPr>
          <w:color w:val="231F20"/>
          <w:spacing w:val="40"/>
          <w:vertAlign w:val="baseline"/>
        </w:rPr>
        <w:t> </w:t>
      </w:r>
      <w:r>
        <w:rPr>
          <w:color w:val="231F20"/>
          <w:vertAlign w:val="baseline"/>
        </w:rPr>
        <w:t>PD</w:t>
      </w:r>
      <w:r>
        <w:rPr>
          <w:color w:val="231F20"/>
          <w:spacing w:val="40"/>
          <w:vertAlign w:val="baseline"/>
        </w:rPr>
        <w:t> </w:t>
      </w:r>
      <w:r>
        <w:rPr>
          <w:color w:val="231F20"/>
          <w:vertAlign w:val="baseline"/>
        </w:rPr>
        <w:t>groups,</w:t>
      </w:r>
      <w:r>
        <w:rPr>
          <w:color w:val="231F20"/>
          <w:spacing w:val="40"/>
          <w:vertAlign w:val="baseline"/>
        </w:rPr>
        <w:t> </w:t>
      </w:r>
      <w:r>
        <w:rPr>
          <w:color w:val="231F20"/>
          <w:vertAlign w:val="baseline"/>
        </w:rPr>
        <w:t>respectively.</w:t>
      </w:r>
      <w:r>
        <w:rPr>
          <w:color w:val="231F20"/>
          <w:spacing w:val="40"/>
          <w:vertAlign w:val="baseline"/>
        </w:rPr>
        <w:t> </w:t>
      </w:r>
      <w:r>
        <w:rPr>
          <w:color w:val="231F20"/>
          <w:vertAlign w:val="baseline"/>
        </w:rPr>
        <w:t>Hajee</w:t>
      </w:r>
      <w:r>
        <w:rPr>
          <w:color w:val="231F20"/>
          <w:spacing w:val="80"/>
          <w:vertAlign w:val="baseline"/>
        </w:rPr>
        <w:t> </w:t>
      </w:r>
      <w:r>
        <w:rPr>
          <w:color w:val="231F20"/>
          <w:vertAlign w:val="baseline"/>
        </w:rPr>
        <w:t>et al, also found the correlation between thinning in the left</w:t>
      </w:r>
      <w:r>
        <w:rPr>
          <w:color w:val="231F20"/>
          <w:spacing w:val="40"/>
          <w:vertAlign w:val="baseline"/>
        </w:rPr>
        <w:t> </w:t>
      </w:r>
      <w:r>
        <w:rPr>
          <w:color w:val="231F20"/>
          <w:vertAlign w:val="baseline"/>
        </w:rPr>
        <w:t>and the right eye of the same was not perfect.</w:t>
      </w:r>
      <w:r>
        <w:rPr>
          <w:color w:val="231F20"/>
          <w:vertAlign w:val="superscript"/>
        </w:rPr>
        <w:t>7</w:t>
      </w:r>
      <w:r>
        <w:rPr>
          <w:color w:val="231F20"/>
          <w:vertAlign w:val="baseline"/>
        </w:rPr>
        <w:t> Hence, this interocular foveal asymmetry should be considered in inter- pretation. Except that for ET, although mild tremor asymme- try has been documented as a fundamental characteristic of</w:t>
      </w:r>
      <w:r>
        <w:rPr>
          <w:color w:val="231F20"/>
          <w:spacing w:val="40"/>
          <w:vertAlign w:val="baseline"/>
        </w:rPr>
        <w:t> </w:t>
      </w:r>
      <w:r>
        <w:rPr>
          <w:color w:val="231F20"/>
          <w:vertAlign w:val="baseline"/>
        </w:rPr>
        <w:t>ET, there is no published information regarding foveal thick- ness</w:t>
      </w:r>
      <w:r>
        <w:rPr>
          <w:color w:val="231F20"/>
          <w:spacing w:val="33"/>
          <w:vertAlign w:val="baseline"/>
        </w:rPr>
        <w:t> </w:t>
      </w:r>
      <w:r>
        <w:rPr>
          <w:color w:val="231F20"/>
          <w:vertAlign w:val="baseline"/>
        </w:rPr>
        <w:t>in</w:t>
      </w:r>
      <w:r>
        <w:rPr>
          <w:color w:val="231F20"/>
          <w:spacing w:val="32"/>
          <w:vertAlign w:val="baseline"/>
        </w:rPr>
        <w:t> </w:t>
      </w:r>
      <w:r>
        <w:rPr>
          <w:color w:val="231F20"/>
          <w:vertAlign w:val="baseline"/>
        </w:rPr>
        <w:t>patients</w:t>
      </w:r>
      <w:r>
        <w:rPr>
          <w:color w:val="231F20"/>
          <w:spacing w:val="33"/>
          <w:vertAlign w:val="baseline"/>
        </w:rPr>
        <w:t> </w:t>
      </w:r>
      <w:r>
        <w:rPr>
          <w:color w:val="231F20"/>
          <w:vertAlign w:val="baseline"/>
        </w:rPr>
        <w:t>with</w:t>
      </w:r>
      <w:r>
        <w:rPr>
          <w:color w:val="231F20"/>
          <w:spacing w:val="32"/>
          <w:vertAlign w:val="baseline"/>
        </w:rPr>
        <w:t> </w:t>
      </w:r>
      <w:r>
        <w:rPr>
          <w:color w:val="231F20"/>
          <w:vertAlign w:val="baseline"/>
        </w:rPr>
        <w:t>ET.</w:t>
      </w:r>
      <w:r>
        <w:rPr>
          <w:color w:val="231F20"/>
          <w:spacing w:val="31"/>
          <w:vertAlign w:val="baseline"/>
        </w:rPr>
        <w:t> </w:t>
      </w:r>
      <w:r>
        <w:rPr>
          <w:color w:val="231F20"/>
          <w:vertAlign w:val="baseline"/>
        </w:rPr>
        <w:t>The</w:t>
      </w:r>
      <w:r>
        <w:rPr>
          <w:color w:val="231F20"/>
          <w:spacing w:val="32"/>
          <w:vertAlign w:val="baseline"/>
        </w:rPr>
        <w:t> </w:t>
      </w:r>
      <w:r>
        <w:rPr>
          <w:color w:val="231F20"/>
          <w:vertAlign w:val="baseline"/>
        </w:rPr>
        <w:t>similar</w:t>
      </w:r>
      <w:r>
        <w:rPr>
          <w:color w:val="231F20"/>
          <w:spacing w:val="32"/>
          <w:vertAlign w:val="baseline"/>
        </w:rPr>
        <w:t> </w:t>
      </w:r>
      <w:r>
        <w:rPr>
          <w:color w:val="231F20"/>
          <w:vertAlign w:val="baseline"/>
        </w:rPr>
        <w:t>asymmetry</w:t>
      </w:r>
      <w:r>
        <w:rPr>
          <w:color w:val="231F20"/>
          <w:spacing w:val="33"/>
          <w:vertAlign w:val="baseline"/>
        </w:rPr>
        <w:t> </w:t>
      </w:r>
      <w:r>
        <w:rPr>
          <w:color w:val="231F20"/>
          <w:vertAlign w:val="baseline"/>
        </w:rPr>
        <w:t>ﬁnding</w:t>
      </w:r>
      <w:r>
        <w:rPr>
          <w:color w:val="231F20"/>
          <w:spacing w:val="32"/>
          <w:vertAlign w:val="baseline"/>
        </w:rPr>
        <w:t> </w:t>
      </w:r>
      <w:r>
        <w:rPr>
          <w:color w:val="231F20"/>
          <w:vertAlign w:val="baseline"/>
        </w:rPr>
        <w:t>in ET</w:t>
      </w:r>
      <w:r>
        <w:rPr>
          <w:color w:val="231F20"/>
          <w:spacing w:val="40"/>
          <w:vertAlign w:val="baseline"/>
        </w:rPr>
        <w:t> </w:t>
      </w:r>
      <w:r>
        <w:rPr>
          <w:color w:val="231F20"/>
          <w:vertAlign w:val="baseline"/>
        </w:rPr>
        <w:t>is</w:t>
      </w:r>
      <w:r>
        <w:rPr>
          <w:color w:val="231F20"/>
          <w:spacing w:val="40"/>
          <w:vertAlign w:val="baseline"/>
        </w:rPr>
        <w:t> </w:t>
      </w:r>
      <w:r>
        <w:rPr>
          <w:color w:val="231F20"/>
          <w:vertAlign w:val="baseline"/>
        </w:rPr>
        <w:t>difﬁcult</w:t>
      </w:r>
      <w:r>
        <w:rPr>
          <w:color w:val="231F20"/>
          <w:spacing w:val="40"/>
          <w:vertAlign w:val="baseline"/>
        </w:rPr>
        <w:t> </w:t>
      </w:r>
      <w:r>
        <w:rPr>
          <w:color w:val="231F20"/>
          <w:vertAlign w:val="baseline"/>
        </w:rPr>
        <w:t>to</w:t>
      </w:r>
      <w:r>
        <w:rPr>
          <w:color w:val="231F20"/>
          <w:spacing w:val="40"/>
          <w:vertAlign w:val="baseline"/>
        </w:rPr>
        <w:t> </w:t>
      </w:r>
      <w:r>
        <w:rPr>
          <w:color w:val="231F20"/>
          <w:vertAlign w:val="baseline"/>
        </w:rPr>
        <w:t>understand,</w:t>
      </w:r>
      <w:r>
        <w:rPr>
          <w:color w:val="231F20"/>
          <w:spacing w:val="40"/>
          <w:vertAlign w:val="baseline"/>
        </w:rPr>
        <w:t> </w:t>
      </w:r>
      <w:r>
        <w:rPr>
          <w:color w:val="231F20"/>
          <w:vertAlign w:val="baseline"/>
        </w:rPr>
        <w:t>and</w:t>
      </w:r>
      <w:r>
        <w:rPr>
          <w:color w:val="231F20"/>
          <w:spacing w:val="40"/>
          <w:vertAlign w:val="baseline"/>
        </w:rPr>
        <w:t> </w:t>
      </w:r>
      <w:r>
        <w:rPr>
          <w:color w:val="231F20"/>
          <w:vertAlign w:val="baseline"/>
        </w:rPr>
        <w:t>we</w:t>
      </w:r>
      <w:r>
        <w:rPr>
          <w:color w:val="231F20"/>
          <w:spacing w:val="40"/>
          <w:vertAlign w:val="baseline"/>
        </w:rPr>
        <w:t> </w:t>
      </w:r>
      <w:r>
        <w:rPr>
          <w:color w:val="231F20"/>
          <w:vertAlign w:val="baseline"/>
        </w:rPr>
        <w:t>cannot</w:t>
      </w:r>
      <w:r>
        <w:rPr>
          <w:color w:val="231F20"/>
          <w:spacing w:val="40"/>
          <w:vertAlign w:val="baseline"/>
        </w:rPr>
        <w:t> </w:t>
      </w:r>
      <w:r>
        <w:rPr>
          <w:color w:val="231F20"/>
          <w:vertAlign w:val="baseline"/>
        </w:rPr>
        <w:t>obviously explain it based on our preliminary data. However, abnormal OCT measures have also been found in other neurodegenera- tive diseases, such as Alzheimer’s disease, multiple sclerosis, and spinocerebellar ataxias, most likely related to the loss of retinal ganglion cells and axons.</w:t>
      </w:r>
      <w:r>
        <w:rPr>
          <w:color w:val="231F20"/>
          <w:vertAlign w:val="superscript"/>
        </w:rPr>
        <w:t>8</w:t>
      </w:r>
      <w:r>
        <w:rPr>
          <w:color w:val="231F20"/>
          <w:vertAlign w:val="baseline"/>
        </w:rPr>
        <w:t> Therefore, further studies</w:t>
      </w:r>
      <w:r>
        <w:rPr>
          <w:color w:val="231F20"/>
          <w:spacing w:val="80"/>
          <w:vertAlign w:val="baseline"/>
        </w:rPr>
        <w:t> </w:t>
      </w:r>
      <w:r>
        <w:rPr>
          <w:color w:val="231F20"/>
          <w:vertAlign w:val="baseline"/>
        </w:rPr>
        <w:t>are</w:t>
      </w:r>
      <w:r>
        <w:rPr>
          <w:color w:val="231F20"/>
          <w:spacing w:val="40"/>
          <w:vertAlign w:val="baseline"/>
        </w:rPr>
        <w:t> </w:t>
      </w:r>
      <w:r>
        <w:rPr>
          <w:color w:val="231F20"/>
          <w:vertAlign w:val="baseline"/>
        </w:rPr>
        <w:t>required</w:t>
      </w:r>
      <w:r>
        <w:rPr>
          <w:color w:val="231F20"/>
          <w:spacing w:val="40"/>
          <w:vertAlign w:val="baseline"/>
        </w:rPr>
        <w:t> </w:t>
      </w:r>
      <w:r>
        <w:rPr>
          <w:color w:val="231F20"/>
          <w:vertAlign w:val="baseline"/>
        </w:rPr>
        <w:t>to</w:t>
      </w:r>
      <w:r>
        <w:rPr>
          <w:color w:val="231F20"/>
          <w:spacing w:val="40"/>
          <w:vertAlign w:val="baseline"/>
        </w:rPr>
        <w:t> </w:t>
      </w:r>
      <w:r>
        <w:rPr>
          <w:color w:val="231F20"/>
          <w:vertAlign w:val="baseline"/>
        </w:rPr>
        <w:t>establish</w:t>
      </w:r>
      <w:r>
        <w:rPr>
          <w:color w:val="231F20"/>
          <w:spacing w:val="40"/>
          <w:vertAlign w:val="baseline"/>
        </w:rPr>
        <w:t> </w:t>
      </w:r>
      <w:r>
        <w:rPr>
          <w:color w:val="231F20"/>
          <w:vertAlign w:val="baseline"/>
        </w:rPr>
        <w:t>whether</w:t>
      </w:r>
      <w:r>
        <w:rPr>
          <w:color w:val="231F20"/>
          <w:spacing w:val="40"/>
          <w:vertAlign w:val="baseline"/>
        </w:rPr>
        <w:t> </w:t>
      </w:r>
      <w:r>
        <w:rPr>
          <w:color w:val="231F20"/>
          <w:vertAlign w:val="baseline"/>
        </w:rPr>
        <w:t>OCT</w:t>
      </w:r>
      <w:r>
        <w:rPr>
          <w:color w:val="231F20"/>
          <w:spacing w:val="39"/>
          <w:vertAlign w:val="baseline"/>
        </w:rPr>
        <w:t> </w:t>
      </w:r>
      <w:r>
        <w:rPr>
          <w:color w:val="231F20"/>
          <w:vertAlign w:val="baseline"/>
        </w:rPr>
        <w:t>measures</w:t>
      </w:r>
      <w:r>
        <w:rPr>
          <w:color w:val="231F20"/>
          <w:spacing w:val="40"/>
          <w:vertAlign w:val="baseline"/>
        </w:rPr>
        <w:t> </w:t>
      </w:r>
      <w:r>
        <w:rPr>
          <w:color w:val="231F20"/>
          <w:vertAlign w:val="baseline"/>
        </w:rPr>
        <w:t>contribute for a sensitive and speciﬁc diagnosis of PD and to differenti- ate it from other conditions. We recognize our results cannot</w:t>
      </w:r>
      <w:r>
        <w:rPr>
          <w:color w:val="231F20"/>
          <w:spacing w:val="40"/>
          <w:vertAlign w:val="baseline"/>
        </w:rPr>
        <w:t> </w:t>
      </w:r>
      <w:r>
        <w:rPr>
          <w:color w:val="231F20"/>
          <w:vertAlign w:val="baseline"/>
        </w:rPr>
        <w:t>be compared with prior </w:t>
      </w:r>
      <w:r>
        <w:rPr>
          <w:i/>
          <w:color w:val="231F20"/>
          <w:vertAlign w:val="baseline"/>
        </w:rPr>
        <w:t>OCT </w:t>
      </w:r>
      <w:r>
        <w:rPr>
          <w:color w:val="231F20"/>
          <w:vertAlign w:val="baseline"/>
        </w:rPr>
        <w:t>reports in PD because of the different</w:t>
      </w:r>
      <w:r>
        <w:rPr>
          <w:color w:val="231F20"/>
          <w:vertAlign w:val="baseline"/>
        </w:rPr>
        <w:t> imaging map protocol and equipment. We are also aware</w:t>
      </w:r>
      <w:r>
        <w:rPr>
          <w:color w:val="231F20"/>
          <w:spacing w:val="40"/>
          <w:vertAlign w:val="baseline"/>
        </w:rPr>
        <w:t> </w:t>
      </w:r>
      <w:r>
        <w:rPr>
          <w:color w:val="231F20"/>
          <w:vertAlign w:val="baseline"/>
        </w:rPr>
        <w:t>that</w:t>
      </w:r>
      <w:r>
        <w:rPr>
          <w:color w:val="231F20"/>
          <w:spacing w:val="40"/>
          <w:vertAlign w:val="baseline"/>
        </w:rPr>
        <w:t> </w:t>
      </w:r>
      <w:r>
        <w:rPr>
          <w:color w:val="231F20"/>
          <w:vertAlign w:val="baseline"/>
        </w:rPr>
        <w:t>because</w:t>
      </w:r>
      <w:r>
        <w:rPr>
          <w:color w:val="231F20"/>
          <w:spacing w:val="40"/>
          <w:vertAlign w:val="baseline"/>
        </w:rPr>
        <w:t> </w:t>
      </w:r>
      <w:r>
        <w:rPr>
          <w:color w:val="231F20"/>
          <w:vertAlign w:val="baseline"/>
        </w:rPr>
        <w:t>of</w:t>
      </w:r>
      <w:r>
        <w:rPr>
          <w:color w:val="231F20"/>
          <w:spacing w:val="40"/>
          <w:vertAlign w:val="baseline"/>
        </w:rPr>
        <w:t> </w:t>
      </w:r>
      <w:r>
        <w:rPr>
          <w:color w:val="231F20"/>
          <w:vertAlign w:val="baseline"/>
        </w:rPr>
        <w:t>the</w:t>
      </w:r>
      <w:r>
        <w:rPr>
          <w:color w:val="231F20"/>
          <w:spacing w:val="40"/>
          <w:vertAlign w:val="baseline"/>
        </w:rPr>
        <w:t> </w:t>
      </w:r>
      <w:r>
        <w:rPr>
          <w:color w:val="231F20"/>
          <w:vertAlign w:val="baseline"/>
        </w:rPr>
        <w:t>small</w:t>
      </w:r>
      <w:r>
        <w:rPr>
          <w:color w:val="231F20"/>
          <w:spacing w:val="40"/>
          <w:vertAlign w:val="baseline"/>
        </w:rPr>
        <w:t> </w:t>
      </w:r>
      <w:r>
        <w:rPr>
          <w:color w:val="231F20"/>
          <w:vertAlign w:val="baseline"/>
        </w:rPr>
        <w:t>sample</w:t>
      </w:r>
      <w:r>
        <w:rPr>
          <w:color w:val="231F20"/>
          <w:spacing w:val="40"/>
          <w:vertAlign w:val="baseline"/>
        </w:rPr>
        <w:t> </w:t>
      </w:r>
      <w:r>
        <w:rPr>
          <w:color w:val="231F20"/>
          <w:vertAlign w:val="baseline"/>
        </w:rPr>
        <w:t>size</w:t>
      </w:r>
      <w:r>
        <w:rPr>
          <w:color w:val="231F20"/>
          <w:spacing w:val="40"/>
          <w:vertAlign w:val="baseline"/>
        </w:rPr>
        <w:t> </w:t>
      </w:r>
      <w:r>
        <w:rPr>
          <w:color w:val="231F20"/>
          <w:vertAlign w:val="baseline"/>
        </w:rPr>
        <w:t>used,</w:t>
      </w:r>
      <w:r>
        <w:rPr>
          <w:color w:val="231F20"/>
          <w:spacing w:val="40"/>
          <w:vertAlign w:val="baseline"/>
        </w:rPr>
        <w:t> </w:t>
      </w:r>
      <w:r>
        <w:rPr>
          <w:color w:val="231F20"/>
          <w:vertAlign w:val="baseline"/>
        </w:rPr>
        <w:t>these results need to be repeated in larger cohorts to ensure repro- </w:t>
      </w:r>
      <w:r>
        <w:rPr>
          <w:color w:val="231F20"/>
          <w:spacing w:val="-2"/>
          <w:vertAlign w:val="baseline"/>
        </w:rPr>
        <w:t>ducibility.</w:t>
      </w:r>
    </w:p>
    <w:p>
      <w:pPr>
        <w:pStyle w:val="BodyText"/>
        <w:spacing w:line="230" w:lineRule="auto" w:before="16"/>
        <w:ind w:left="256" w:right="217" w:firstLine="199"/>
        <w:jc w:val="both"/>
      </w:pPr>
      <w:r>
        <w:rPr>
          <w:color w:val="231F20"/>
        </w:rPr>
        <w:t>With regards to technical feasibility, the OCT </w:t>
      </w:r>
      <w:r>
        <w:rPr>
          <w:color w:val="231F20"/>
        </w:rPr>
        <w:t>compared with other expensive ones, such as the single photon emission computed tomography (SPECT) studies using 123I-FP-CIT (DAT scan), is widely available, fast, as it only takes a few minutes to perform, and relatively inexpensive. Based on our preliminary data, and in accordance with other authors,</w:t>
      </w:r>
      <w:r>
        <w:rPr>
          <w:color w:val="231F20"/>
          <w:vertAlign w:val="superscript"/>
        </w:rPr>
        <w:t>2–5</w:t>
      </w:r>
      <w:r>
        <w:rPr>
          <w:color w:val="231F20"/>
          <w:vertAlign w:val="baseline"/>
        </w:rPr>
        <w:t> we believe that foveal thickness measured by the OCT could be a promising, feasible biomarker of PD, by quantifying the mor- phological changes of retinal dopaminergic neurons.</w:t>
      </w:r>
    </w:p>
    <w:p>
      <w:pPr>
        <w:pStyle w:val="BodyText"/>
        <w:spacing w:before="64"/>
      </w:pPr>
    </w:p>
    <w:p>
      <w:pPr>
        <w:pStyle w:val="BodyText"/>
        <w:spacing w:line="230" w:lineRule="auto"/>
        <w:ind w:left="256" w:right="217" w:firstLine="179"/>
        <w:jc w:val="both"/>
      </w:pPr>
      <w:r>
        <w:rPr>
          <w:color w:val="231F20"/>
        </w:rPr>
        <w:t>Acknowledgment: This study was supported by a </w:t>
      </w:r>
      <w:r>
        <w:rPr>
          <w:color w:val="231F20"/>
        </w:rPr>
        <w:t>grant</w:t>
      </w:r>
      <w:r>
        <w:rPr>
          <w:color w:val="231F20"/>
          <w:spacing w:val="80"/>
        </w:rPr>
        <w:t> </w:t>
      </w:r>
      <w:r>
        <w:rPr>
          <w:color w:val="231F20"/>
        </w:rPr>
        <w:t>from Caja Burgos 2009.</w:t>
      </w:r>
    </w:p>
    <w:p>
      <w:pPr>
        <w:pStyle w:val="BodyText"/>
        <w:spacing w:line="230" w:lineRule="auto" w:before="62"/>
        <w:ind w:left="256" w:right="217" w:firstLine="199"/>
        <w:jc w:val="both"/>
      </w:pPr>
      <w:r>
        <w:rPr>
          <w:color w:val="231F20"/>
        </w:rPr>
        <w:t>Financial Disclosures: Cubo E—Honoraria: </w:t>
      </w:r>
      <w:r>
        <w:rPr>
          <w:color w:val="231F20"/>
        </w:rPr>
        <w:t>Boehringer Ingelheim,</w:t>
      </w:r>
      <w:r>
        <w:rPr>
          <w:color w:val="231F20"/>
          <w:spacing w:val="32"/>
        </w:rPr>
        <w:t> </w:t>
      </w:r>
      <w:r>
        <w:rPr>
          <w:color w:val="231F20"/>
        </w:rPr>
        <w:t>Glaxo</w:t>
      </w:r>
      <w:r>
        <w:rPr>
          <w:color w:val="231F20"/>
          <w:spacing w:val="33"/>
        </w:rPr>
        <w:t> </w:t>
      </w:r>
      <w:r>
        <w:rPr>
          <w:color w:val="231F20"/>
        </w:rPr>
        <w:t>Smith</w:t>
      </w:r>
      <w:r>
        <w:rPr>
          <w:color w:val="231F20"/>
          <w:spacing w:val="32"/>
        </w:rPr>
        <w:t> </w:t>
      </w:r>
      <w:r>
        <w:rPr>
          <w:color w:val="231F20"/>
        </w:rPr>
        <w:t>Kline,</w:t>
      </w:r>
      <w:r>
        <w:rPr>
          <w:color w:val="231F20"/>
          <w:spacing w:val="34"/>
        </w:rPr>
        <w:t> </w:t>
      </w:r>
      <w:r>
        <w:rPr>
          <w:color w:val="231F20"/>
        </w:rPr>
        <w:t>Lundbeck;</w:t>
      </w:r>
      <w:r>
        <w:rPr>
          <w:color w:val="231F20"/>
          <w:spacing w:val="33"/>
        </w:rPr>
        <w:t> </w:t>
      </w:r>
      <w:r>
        <w:rPr>
          <w:color w:val="231F20"/>
        </w:rPr>
        <w:t>Grant:</w:t>
      </w:r>
      <w:r>
        <w:rPr>
          <w:color w:val="231F20"/>
          <w:spacing w:val="34"/>
        </w:rPr>
        <w:t> </w:t>
      </w:r>
      <w:r>
        <w:rPr>
          <w:color w:val="231F20"/>
        </w:rPr>
        <w:t>Michael</w:t>
      </w:r>
      <w:r>
        <w:rPr>
          <w:color w:val="231F20"/>
          <w:spacing w:val="32"/>
        </w:rPr>
        <w:t> </w:t>
      </w:r>
      <w:r>
        <w:rPr>
          <w:color w:val="231F20"/>
          <w:spacing w:val="-10"/>
        </w:rPr>
        <w:t>J</w:t>
      </w:r>
    </w:p>
    <w:p>
      <w:pPr>
        <w:pStyle w:val="BodyText"/>
        <w:spacing w:after="0" w:line="230" w:lineRule="auto"/>
        <w:jc w:val="both"/>
        <w:sectPr>
          <w:type w:val="continuous"/>
          <w:pgSz w:w="12240" w:h="16200"/>
          <w:pgMar w:top="1060" w:bottom="280" w:left="1080" w:right="1080"/>
          <w:cols w:num="2" w:equalWidth="0">
            <w:col w:w="4861" w:space="180"/>
            <w:col w:w="5039"/>
          </w:cols>
        </w:sectPr>
      </w:pPr>
    </w:p>
    <w:p>
      <w:pPr>
        <w:pStyle w:val="BodyText"/>
        <w:rPr>
          <w:sz w:val="20"/>
        </w:rPr>
      </w:pPr>
    </w:p>
    <w:p>
      <w:pPr>
        <w:pStyle w:val="BodyText"/>
        <w:spacing w:before="143"/>
        <w:rPr>
          <w:sz w:val="20"/>
        </w:rPr>
      </w:pPr>
    </w:p>
    <w:p>
      <w:pPr>
        <w:pStyle w:val="Heading3"/>
        <w:spacing w:before="0"/>
        <w:ind w:left="38" w:right="2"/>
        <w:jc w:val="center"/>
      </w:pPr>
      <w:r>
        <w:rPr>
          <w:color w:val="231F20"/>
          <w:spacing w:val="-4"/>
        </w:rPr>
        <w:t>2461</w:t>
      </w:r>
    </w:p>
    <w:p>
      <w:pPr>
        <w:pStyle w:val="Heading3"/>
        <w:spacing w:after="0"/>
        <w:jc w:val="center"/>
        <w:sectPr>
          <w:type w:val="continuous"/>
          <w:pgSz w:w="12240" w:h="16200"/>
          <w:pgMar w:top="1060" w:bottom="280" w:left="1080" w:right="1080"/>
        </w:sectPr>
      </w:pPr>
    </w:p>
    <w:tbl>
      <w:tblPr>
        <w:tblW w:w="0" w:type="auto"/>
        <w:jc w:val="left"/>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19"/>
        <w:gridCol w:w="5115"/>
        <w:gridCol w:w="2469"/>
      </w:tblGrid>
      <w:tr>
        <w:trPr>
          <w:trHeight w:val="439" w:hRule="atLeast"/>
        </w:trPr>
        <w:tc>
          <w:tcPr>
            <w:tcW w:w="2019" w:type="dxa"/>
          </w:tcPr>
          <w:p>
            <w:pPr>
              <w:pStyle w:val="TableParagraph"/>
              <w:spacing w:before="12"/>
              <w:ind w:left="-2"/>
              <w:rPr>
                <w:i/>
                <w:sz w:val="20"/>
              </w:rPr>
            </w:pPr>
            <w:r>
              <w:rPr>
                <w:i/>
                <w:color w:val="231F20"/>
                <w:spacing w:val="-4"/>
                <w:sz w:val="20"/>
              </w:rPr>
              <w:t>2462</w:t>
            </w:r>
          </w:p>
        </w:tc>
        <w:tc>
          <w:tcPr>
            <w:tcW w:w="5115" w:type="dxa"/>
          </w:tcPr>
          <w:p>
            <w:pPr>
              <w:pStyle w:val="TableParagraph"/>
              <w:spacing w:before="12"/>
              <w:ind w:left="1613"/>
              <w:rPr>
                <w:i/>
                <w:sz w:val="20"/>
              </w:rPr>
            </w:pPr>
            <w:r>
              <w:rPr>
                <w:i/>
                <w:color w:val="231F20"/>
                <w:sz w:val="20"/>
              </w:rPr>
              <w:t>LETTERS</w:t>
            </w:r>
            <w:r>
              <w:rPr>
                <w:i/>
                <w:color w:val="231F20"/>
                <w:spacing w:val="12"/>
                <w:sz w:val="20"/>
              </w:rPr>
              <w:t> </w:t>
            </w:r>
            <w:r>
              <w:rPr>
                <w:i/>
                <w:color w:val="231F20"/>
                <w:sz w:val="20"/>
              </w:rPr>
              <w:t>TO</w:t>
            </w:r>
            <w:r>
              <w:rPr>
                <w:i/>
                <w:color w:val="231F20"/>
                <w:spacing w:val="10"/>
                <w:sz w:val="20"/>
              </w:rPr>
              <w:t> </w:t>
            </w:r>
            <w:r>
              <w:rPr>
                <w:i/>
                <w:color w:val="231F20"/>
                <w:sz w:val="20"/>
              </w:rPr>
              <w:t>THE</w:t>
            </w:r>
            <w:r>
              <w:rPr>
                <w:i/>
                <w:color w:val="231F20"/>
                <w:spacing w:val="11"/>
                <w:sz w:val="20"/>
              </w:rPr>
              <w:t> </w:t>
            </w:r>
            <w:r>
              <w:rPr>
                <w:i/>
                <w:color w:val="231F20"/>
                <w:spacing w:val="-2"/>
                <w:sz w:val="20"/>
              </w:rPr>
              <w:t>EDITOR</w:t>
            </w:r>
          </w:p>
        </w:tc>
        <w:tc>
          <w:tcPr>
            <w:tcW w:w="2469" w:type="dxa"/>
            <w:vMerge w:val="restart"/>
            <w:tcBorders>
              <w:bottom w:val="single" w:sz="12" w:space="0" w:color="231F20"/>
            </w:tcBorders>
          </w:tcPr>
          <w:p>
            <w:pPr>
              <w:pStyle w:val="TableParagraph"/>
              <w:rPr>
                <w:sz w:val="16"/>
              </w:rPr>
            </w:pPr>
          </w:p>
        </w:tc>
      </w:tr>
      <w:tr>
        <w:trPr>
          <w:trHeight w:val="429" w:hRule="atLeast"/>
        </w:trPr>
        <w:tc>
          <w:tcPr>
            <w:tcW w:w="2019" w:type="dxa"/>
            <w:tcBorders>
              <w:bottom w:val="single" w:sz="12" w:space="0" w:color="231F20"/>
            </w:tcBorders>
          </w:tcPr>
          <w:p>
            <w:pPr>
              <w:pStyle w:val="TableParagraph"/>
              <w:rPr>
                <w:sz w:val="16"/>
              </w:rPr>
            </w:pPr>
          </w:p>
        </w:tc>
        <w:tc>
          <w:tcPr>
            <w:tcW w:w="5115" w:type="dxa"/>
            <w:tcBorders>
              <w:bottom w:val="single" w:sz="12" w:space="0" w:color="231F20"/>
            </w:tcBorders>
          </w:tcPr>
          <w:p>
            <w:pPr>
              <w:pStyle w:val="TableParagraph"/>
              <w:spacing w:before="157"/>
              <w:ind w:left="693"/>
              <w:rPr>
                <w:i/>
                <w:sz w:val="18"/>
              </w:rPr>
            </w:pPr>
            <w:r>
              <w:rPr>
                <w:color w:val="231F20"/>
                <w:sz w:val="18"/>
              </w:rPr>
              <w:t>TABLE</w:t>
            </w:r>
            <w:r>
              <w:rPr>
                <w:color w:val="231F20"/>
                <w:spacing w:val="16"/>
                <w:sz w:val="18"/>
              </w:rPr>
              <w:t> </w:t>
            </w:r>
            <w:r>
              <w:rPr>
                <w:color w:val="231F20"/>
                <w:sz w:val="18"/>
              </w:rPr>
              <w:t>1.</w:t>
            </w:r>
            <w:r>
              <w:rPr>
                <w:color w:val="231F20"/>
                <w:spacing w:val="47"/>
                <w:sz w:val="18"/>
              </w:rPr>
              <w:t> </w:t>
            </w:r>
            <w:r>
              <w:rPr>
                <w:i/>
                <w:color w:val="231F20"/>
                <w:sz w:val="18"/>
              </w:rPr>
              <w:t>Clinical</w:t>
            </w:r>
            <w:r>
              <w:rPr>
                <w:i/>
                <w:color w:val="231F20"/>
                <w:spacing w:val="16"/>
                <w:sz w:val="18"/>
              </w:rPr>
              <w:t> </w:t>
            </w:r>
            <w:r>
              <w:rPr>
                <w:i/>
                <w:color w:val="231F20"/>
                <w:sz w:val="18"/>
              </w:rPr>
              <w:t>characteristics</w:t>
            </w:r>
            <w:r>
              <w:rPr>
                <w:i/>
                <w:color w:val="231F20"/>
                <w:spacing w:val="16"/>
                <w:sz w:val="18"/>
              </w:rPr>
              <w:t> </w:t>
            </w:r>
            <w:r>
              <w:rPr>
                <w:i/>
                <w:color w:val="231F20"/>
                <w:sz w:val="18"/>
              </w:rPr>
              <w:t>and</w:t>
            </w:r>
            <w:r>
              <w:rPr>
                <w:i/>
                <w:color w:val="231F20"/>
                <w:spacing w:val="16"/>
                <w:sz w:val="18"/>
              </w:rPr>
              <w:t> </w:t>
            </w:r>
            <w:r>
              <w:rPr>
                <w:i/>
                <w:color w:val="231F20"/>
                <w:sz w:val="18"/>
              </w:rPr>
              <w:t>Retina</w:t>
            </w:r>
            <w:r>
              <w:rPr>
                <w:i/>
                <w:color w:val="231F20"/>
                <w:spacing w:val="16"/>
                <w:sz w:val="18"/>
              </w:rPr>
              <w:t> </w:t>
            </w:r>
            <w:r>
              <w:rPr>
                <w:i/>
                <w:color w:val="231F20"/>
                <w:spacing w:val="-2"/>
                <w:sz w:val="18"/>
              </w:rPr>
              <w:t>thickness</w:t>
            </w:r>
          </w:p>
        </w:tc>
        <w:tc>
          <w:tcPr>
            <w:tcW w:w="2469" w:type="dxa"/>
            <w:vMerge/>
            <w:tcBorders>
              <w:top w:val="nil"/>
              <w:bottom w:val="single" w:sz="12" w:space="0" w:color="231F20"/>
            </w:tcBorders>
          </w:tcPr>
          <w:p>
            <w:pPr>
              <w:rPr>
                <w:sz w:val="2"/>
                <w:szCs w:val="2"/>
              </w:rPr>
            </w:pPr>
          </w:p>
        </w:tc>
      </w:tr>
      <w:tr>
        <w:trPr>
          <w:trHeight w:val="247" w:hRule="atLeast"/>
        </w:trPr>
        <w:tc>
          <w:tcPr>
            <w:tcW w:w="2019" w:type="dxa"/>
            <w:tcBorders>
              <w:top w:val="single" w:sz="12" w:space="0" w:color="231F20"/>
            </w:tcBorders>
          </w:tcPr>
          <w:p>
            <w:pPr>
              <w:pStyle w:val="TableParagraph"/>
              <w:rPr>
                <w:sz w:val="16"/>
              </w:rPr>
            </w:pPr>
          </w:p>
        </w:tc>
        <w:tc>
          <w:tcPr>
            <w:tcW w:w="5115" w:type="dxa"/>
            <w:tcBorders>
              <w:top w:val="single" w:sz="12" w:space="0" w:color="231F20"/>
            </w:tcBorders>
          </w:tcPr>
          <w:p>
            <w:pPr>
              <w:pStyle w:val="TableParagraph"/>
              <w:spacing w:line="173" w:lineRule="exact" w:before="54"/>
              <w:ind w:left="1632"/>
              <w:rPr>
                <w:sz w:val="16"/>
              </w:rPr>
            </w:pPr>
            <w:r>
              <w:rPr>
                <w:color w:val="231F20"/>
                <w:sz w:val="16"/>
              </w:rPr>
              <w:t>Total</w:t>
            </w:r>
            <w:r>
              <w:rPr>
                <w:color w:val="231F20"/>
                <w:spacing w:val="11"/>
                <w:sz w:val="16"/>
              </w:rPr>
              <w:t> </w:t>
            </w:r>
            <w:r>
              <w:rPr>
                <w:color w:val="231F20"/>
                <w:sz w:val="16"/>
              </w:rPr>
              <w:t>retina</w:t>
            </w:r>
            <w:r>
              <w:rPr>
                <w:color w:val="231F20"/>
                <w:spacing w:val="13"/>
                <w:sz w:val="16"/>
              </w:rPr>
              <w:t> </w:t>
            </w:r>
            <w:r>
              <w:rPr>
                <w:color w:val="231F20"/>
                <w:spacing w:val="-2"/>
                <w:sz w:val="16"/>
              </w:rPr>
              <w:t>thickness</w:t>
            </w:r>
          </w:p>
        </w:tc>
        <w:tc>
          <w:tcPr>
            <w:tcW w:w="2469" w:type="dxa"/>
            <w:tcBorders>
              <w:top w:val="single" w:sz="12" w:space="0" w:color="231F20"/>
            </w:tcBorders>
          </w:tcPr>
          <w:p>
            <w:pPr>
              <w:pStyle w:val="TableParagraph"/>
              <w:spacing w:line="173" w:lineRule="exact" w:before="54"/>
              <w:ind w:left="242"/>
              <w:jc w:val="center"/>
              <w:rPr>
                <w:sz w:val="16"/>
              </w:rPr>
            </w:pPr>
            <w:r>
              <w:rPr>
                <w:color w:val="231F20"/>
                <w:sz w:val="16"/>
              </w:rPr>
              <w:t>Right</w:t>
            </w:r>
            <w:r>
              <w:rPr>
                <w:color w:val="231F20"/>
                <w:spacing w:val="12"/>
                <w:sz w:val="16"/>
              </w:rPr>
              <w:t> </w:t>
            </w:r>
            <w:r>
              <w:rPr>
                <w:color w:val="231F20"/>
                <w:sz w:val="16"/>
              </w:rPr>
              <w:t>eye/left</w:t>
            </w:r>
            <w:r>
              <w:rPr>
                <w:color w:val="231F20"/>
                <w:spacing w:val="11"/>
                <w:sz w:val="16"/>
              </w:rPr>
              <w:t> </w:t>
            </w:r>
            <w:r>
              <w:rPr>
                <w:color w:val="231F20"/>
                <w:sz w:val="16"/>
              </w:rPr>
              <w:t>eye</w:t>
            </w:r>
            <w:r>
              <w:rPr>
                <w:color w:val="231F20"/>
                <w:spacing w:val="11"/>
                <w:sz w:val="16"/>
              </w:rPr>
              <w:t> </w:t>
            </w:r>
            <w:r>
              <w:rPr>
                <w:color w:val="231F20"/>
                <w:sz w:val="16"/>
              </w:rPr>
              <w:t>retina</w:t>
            </w:r>
            <w:r>
              <w:rPr>
                <w:color w:val="231F20"/>
                <w:spacing w:val="12"/>
                <w:sz w:val="16"/>
              </w:rPr>
              <w:t> </w:t>
            </w:r>
            <w:r>
              <w:rPr>
                <w:color w:val="231F20"/>
                <w:spacing w:val="-2"/>
                <w:sz w:val="16"/>
              </w:rPr>
              <w:t>thickness</w:t>
            </w:r>
          </w:p>
        </w:tc>
      </w:tr>
      <w:tr>
        <w:trPr>
          <w:trHeight w:val="245" w:hRule="atLeast"/>
        </w:trPr>
        <w:tc>
          <w:tcPr>
            <w:tcW w:w="2019" w:type="dxa"/>
            <w:tcBorders>
              <w:bottom w:val="single" w:sz="4" w:space="0" w:color="231F20"/>
            </w:tcBorders>
          </w:tcPr>
          <w:p>
            <w:pPr>
              <w:pStyle w:val="TableParagraph"/>
              <w:rPr>
                <w:sz w:val="16"/>
              </w:rPr>
            </w:pPr>
          </w:p>
        </w:tc>
        <w:tc>
          <w:tcPr>
            <w:tcW w:w="5115" w:type="dxa"/>
            <w:tcBorders>
              <w:bottom w:val="single" w:sz="4" w:space="0" w:color="231F20"/>
            </w:tcBorders>
          </w:tcPr>
          <w:p>
            <w:pPr>
              <w:pStyle w:val="TableParagraph"/>
              <w:spacing w:line="170" w:lineRule="exact"/>
              <w:ind w:left="1509"/>
              <w:rPr>
                <w:sz w:val="16"/>
              </w:rPr>
            </w:pPr>
            <w:r>
              <w:rPr>
                <w:color w:val="231F20"/>
                <w:w w:val="105"/>
                <w:sz w:val="16"/>
              </w:rPr>
              <w:t>(lm)</w:t>
            </w:r>
            <w:r>
              <w:rPr>
                <w:color w:val="231F20"/>
                <w:spacing w:val="7"/>
                <w:w w:val="105"/>
                <w:sz w:val="16"/>
              </w:rPr>
              <w:t> </w:t>
            </w:r>
            <w:r>
              <w:rPr>
                <w:color w:val="231F20"/>
                <w:w w:val="105"/>
                <w:sz w:val="16"/>
              </w:rPr>
              <w:t>mean</w:t>
            </w:r>
            <w:r>
              <w:rPr>
                <w:color w:val="231F20"/>
                <w:spacing w:val="7"/>
                <w:w w:val="105"/>
                <w:sz w:val="16"/>
              </w:rPr>
              <w:t> </w:t>
            </w:r>
            <w:r>
              <w:rPr>
                <w:color w:val="231F20"/>
                <w:w w:val="105"/>
                <w:sz w:val="16"/>
              </w:rPr>
              <w:t>(SD)</w:t>
            </w:r>
            <w:r>
              <w:rPr>
                <w:color w:val="231F20"/>
                <w:spacing w:val="6"/>
                <w:w w:val="105"/>
                <w:sz w:val="16"/>
              </w:rPr>
              <w:t> </w:t>
            </w:r>
            <w:r>
              <w:rPr>
                <w:color w:val="231F20"/>
                <w:spacing w:val="-2"/>
                <w:w w:val="105"/>
                <w:sz w:val="16"/>
              </w:rPr>
              <w:t>[Range]</w:t>
            </w:r>
          </w:p>
        </w:tc>
        <w:tc>
          <w:tcPr>
            <w:tcW w:w="2469" w:type="dxa"/>
            <w:tcBorders>
              <w:bottom w:val="single" w:sz="4" w:space="0" w:color="231F20"/>
            </w:tcBorders>
          </w:tcPr>
          <w:p>
            <w:pPr>
              <w:pStyle w:val="TableParagraph"/>
              <w:spacing w:line="170" w:lineRule="exact"/>
              <w:ind w:left="244"/>
              <w:jc w:val="center"/>
              <w:rPr>
                <w:sz w:val="16"/>
              </w:rPr>
            </w:pPr>
            <w:r>
              <w:rPr>
                <w:color w:val="231F20"/>
                <w:w w:val="105"/>
                <w:sz w:val="16"/>
              </w:rPr>
              <w:t>(lm)</w:t>
            </w:r>
            <w:r>
              <w:rPr>
                <w:color w:val="231F20"/>
                <w:spacing w:val="11"/>
                <w:w w:val="105"/>
                <w:sz w:val="16"/>
              </w:rPr>
              <w:t> </w:t>
            </w:r>
            <w:r>
              <w:rPr>
                <w:color w:val="231F20"/>
                <w:w w:val="105"/>
                <w:sz w:val="16"/>
              </w:rPr>
              <w:t>median</w:t>
            </w:r>
            <w:r>
              <w:rPr>
                <w:color w:val="231F20"/>
                <w:spacing w:val="11"/>
                <w:w w:val="105"/>
                <w:sz w:val="16"/>
              </w:rPr>
              <w:t> </w:t>
            </w:r>
            <w:r>
              <w:rPr>
                <w:color w:val="231F20"/>
                <w:spacing w:val="-2"/>
                <w:w w:val="105"/>
                <w:sz w:val="16"/>
              </w:rPr>
              <w:t>range)</w:t>
            </w:r>
          </w:p>
        </w:tc>
      </w:tr>
      <w:tr>
        <w:trPr>
          <w:trHeight w:val="226" w:hRule="atLeast"/>
        </w:trPr>
        <w:tc>
          <w:tcPr>
            <w:tcW w:w="2019" w:type="dxa"/>
            <w:tcBorders>
              <w:top w:val="single" w:sz="4" w:space="0" w:color="231F20"/>
            </w:tcBorders>
          </w:tcPr>
          <w:p>
            <w:pPr>
              <w:pStyle w:val="TableParagraph"/>
              <w:spacing w:line="176" w:lineRule="exact" w:before="30"/>
              <w:ind w:left="-1"/>
              <w:rPr>
                <w:sz w:val="16"/>
              </w:rPr>
            </w:pPr>
            <w:r>
              <w:rPr>
                <w:color w:val="231F20"/>
                <w:w w:val="110"/>
                <w:sz w:val="16"/>
              </w:rPr>
              <w:t>Controls</w:t>
            </w:r>
            <w:r>
              <w:rPr>
                <w:color w:val="231F20"/>
                <w:spacing w:val="-9"/>
                <w:w w:val="110"/>
                <w:sz w:val="16"/>
              </w:rPr>
              <w:t> </w:t>
            </w:r>
            <w:r>
              <w:rPr>
                <w:color w:val="231F20"/>
                <w:w w:val="110"/>
                <w:sz w:val="16"/>
              </w:rPr>
              <w:t>(n</w:t>
            </w:r>
            <w:r>
              <w:rPr>
                <w:color w:val="231F20"/>
                <w:spacing w:val="-6"/>
                <w:w w:val="110"/>
                <w:sz w:val="16"/>
              </w:rPr>
              <w:t> </w:t>
            </w:r>
            <w:r>
              <w:rPr>
                <w:rFonts w:ascii="Arial"/>
                <w:color w:val="231F20"/>
                <w:w w:val="115"/>
                <w:sz w:val="16"/>
              </w:rPr>
              <w:t>5</w:t>
            </w:r>
            <w:r>
              <w:rPr>
                <w:rFonts w:ascii="Arial"/>
                <w:color w:val="231F20"/>
                <w:spacing w:val="-13"/>
                <w:w w:val="115"/>
                <w:sz w:val="16"/>
              </w:rPr>
              <w:t> </w:t>
            </w:r>
            <w:r>
              <w:rPr>
                <w:color w:val="231F20"/>
                <w:spacing w:val="-7"/>
                <w:w w:val="110"/>
                <w:sz w:val="16"/>
              </w:rPr>
              <w:t>9)</w:t>
            </w:r>
          </w:p>
        </w:tc>
        <w:tc>
          <w:tcPr>
            <w:tcW w:w="5115" w:type="dxa"/>
            <w:tcBorders>
              <w:top w:val="single" w:sz="4" w:space="0" w:color="231F20"/>
            </w:tcBorders>
          </w:tcPr>
          <w:p>
            <w:pPr>
              <w:pStyle w:val="TableParagraph"/>
              <w:spacing w:line="175" w:lineRule="exact" w:before="31"/>
              <w:ind w:left="1464"/>
              <w:rPr>
                <w:sz w:val="16"/>
              </w:rPr>
            </w:pPr>
            <w:r>
              <w:rPr>
                <w:color w:val="231F20"/>
                <w:sz w:val="16"/>
              </w:rPr>
              <w:t>218.9</w:t>
            </w:r>
            <w:r>
              <w:rPr>
                <w:color w:val="231F20"/>
                <w:spacing w:val="5"/>
                <w:sz w:val="16"/>
              </w:rPr>
              <w:t> </w:t>
            </w:r>
            <w:r>
              <w:rPr>
                <w:color w:val="231F20"/>
                <w:sz w:val="16"/>
              </w:rPr>
              <w:t>(15.3)</w:t>
            </w:r>
            <w:r>
              <w:rPr>
                <w:color w:val="231F20"/>
                <w:spacing w:val="7"/>
                <w:sz w:val="16"/>
              </w:rPr>
              <w:t> </w:t>
            </w:r>
            <w:r>
              <w:rPr>
                <w:color w:val="231F20"/>
                <w:sz w:val="16"/>
              </w:rPr>
              <w:t>[189-</w:t>
            </w:r>
            <w:r>
              <w:rPr>
                <w:color w:val="231F20"/>
                <w:spacing w:val="-4"/>
                <w:sz w:val="16"/>
              </w:rPr>
              <w:t>238]</w:t>
            </w:r>
          </w:p>
        </w:tc>
        <w:tc>
          <w:tcPr>
            <w:tcW w:w="2469" w:type="dxa"/>
            <w:tcBorders>
              <w:top w:val="single" w:sz="4" w:space="0" w:color="231F20"/>
            </w:tcBorders>
          </w:tcPr>
          <w:p>
            <w:pPr>
              <w:pStyle w:val="TableParagraph"/>
              <w:spacing w:line="175" w:lineRule="exact" w:before="31"/>
              <w:ind w:left="245"/>
              <w:jc w:val="center"/>
              <w:rPr>
                <w:sz w:val="16"/>
              </w:rPr>
            </w:pPr>
            <w:r>
              <w:rPr>
                <w:color w:val="231F20"/>
                <w:sz w:val="16"/>
              </w:rPr>
              <w:t>221</w:t>
            </w:r>
            <w:r>
              <w:rPr>
                <w:color w:val="231F20"/>
                <w:spacing w:val="5"/>
                <w:sz w:val="16"/>
              </w:rPr>
              <w:t> </w:t>
            </w:r>
            <w:r>
              <w:rPr>
                <w:color w:val="231F20"/>
                <w:sz w:val="16"/>
              </w:rPr>
              <w:t>(194–235)/221</w:t>
            </w:r>
            <w:r>
              <w:rPr>
                <w:color w:val="231F20"/>
                <w:spacing w:val="5"/>
                <w:sz w:val="16"/>
              </w:rPr>
              <w:t> </w:t>
            </w:r>
            <w:r>
              <w:rPr>
                <w:color w:val="231F20"/>
                <w:spacing w:val="-2"/>
                <w:sz w:val="16"/>
              </w:rPr>
              <w:t>(182–252)</w:t>
            </w:r>
          </w:p>
        </w:tc>
      </w:tr>
      <w:tr>
        <w:trPr>
          <w:trHeight w:val="176" w:hRule="atLeast"/>
        </w:trPr>
        <w:tc>
          <w:tcPr>
            <w:tcW w:w="2019" w:type="dxa"/>
          </w:tcPr>
          <w:p>
            <w:pPr>
              <w:pStyle w:val="TableParagraph"/>
              <w:spacing w:line="156" w:lineRule="exact"/>
              <w:ind w:left="-1"/>
              <w:rPr>
                <w:sz w:val="16"/>
              </w:rPr>
            </w:pPr>
            <w:r>
              <w:rPr>
                <w:color w:val="231F20"/>
                <w:sz w:val="16"/>
              </w:rPr>
              <w:t>Parkinson’s</w:t>
            </w:r>
            <w:r>
              <w:rPr>
                <w:color w:val="231F20"/>
                <w:spacing w:val="1"/>
                <w:sz w:val="16"/>
              </w:rPr>
              <w:t> </w:t>
            </w:r>
            <w:r>
              <w:rPr>
                <w:color w:val="231F20"/>
                <w:spacing w:val="-2"/>
                <w:sz w:val="16"/>
              </w:rPr>
              <w:t>disease</w:t>
            </w:r>
          </w:p>
        </w:tc>
        <w:tc>
          <w:tcPr>
            <w:tcW w:w="5115" w:type="dxa"/>
          </w:tcPr>
          <w:p>
            <w:pPr>
              <w:pStyle w:val="TableParagraph"/>
              <w:spacing w:line="156" w:lineRule="exact"/>
              <w:ind w:left="1464"/>
              <w:rPr>
                <w:sz w:val="16"/>
              </w:rPr>
            </w:pPr>
            <w:r>
              <w:rPr>
                <w:color w:val="231F20"/>
                <w:sz w:val="16"/>
              </w:rPr>
              <w:t>202.2</w:t>
            </w:r>
            <w:r>
              <w:rPr>
                <w:color w:val="231F20"/>
                <w:spacing w:val="5"/>
                <w:sz w:val="16"/>
              </w:rPr>
              <w:t> </w:t>
            </w:r>
            <w:r>
              <w:rPr>
                <w:color w:val="231F20"/>
                <w:sz w:val="16"/>
              </w:rPr>
              <w:t>(27.8)</w:t>
            </w:r>
            <w:r>
              <w:rPr>
                <w:color w:val="231F20"/>
                <w:spacing w:val="7"/>
                <w:sz w:val="16"/>
              </w:rPr>
              <w:t> </w:t>
            </w:r>
            <w:r>
              <w:rPr>
                <w:color w:val="231F20"/>
                <w:sz w:val="16"/>
              </w:rPr>
              <w:t>[154-</w:t>
            </w:r>
            <w:r>
              <w:rPr>
                <w:color w:val="231F20"/>
                <w:spacing w:val="-2"/>
                <w:sz w:val="16"/>
              </w:rPr>
              <w:t>227.5]</w:t>
            </w:r>
          </w:p>
        </w:tc>
        <w:tc>
          <w:tcPr>
            <w:tcW w:w="2469" w:type="dxa"/>
          </w:tcPr>
          <w:p>
            <w:pPr>
              <w:pStyle w:val="TableParagraph"/>
              <w:spacing w:line="156" w:lineRule="exact"/>
              <w:ind w:left="245"/>
              <w:jc w:val="center"/>
              <w:rPr>
                <w:sz w:val="16"/>
              </w:rPr>
            </w:pPr>
            <w:r>
              <w:rPr>
                <w:color w:val="231F20"/>
                <w:sz w:val="16"/>
              </w:rPr>
              <w:t>207</w:t>
            </w:r>
            <w:r>
              <w:rPr>
                <w:color w:val="231F20"/>
                <w:spacing w:val="5"/>
                <w:sz w:val="16"/>
              </w:rPr>
              <w:t> </w:t>
            </w:r>
            <w:r>
              <w:rPr>
                <w:color w:val="231F20"/>
                <w:sz w:val="16"/>
              </w:rPr>
              <w:t>(117–248)/214</w:t>
            </w:r>
            <w:r>
              <w:rPr>
                <w:color w:val="231F20"/>
                <w:spacing w:val="5"/>
                <w:sz w:val="16"/>
              </w:rPr>
              <w:t> </w:t>
            </w:r>
            <w:r>
              <w:rPr>
                <w:color w:val="231F20"/>
                <w:spacing w:val="-2"/>
                <w:sz w:val="16"/>
              </w:rPr>
              <w:t>(148–257)</w:t>
            </w:r>
          </w:p>
        </w:tc>
      </w:tr>
      <w:tr>
        <w:trPr>
          <w:trHeight w:val="180" w:hRule="atLeast"/>
        </w:trPr>
        <w:tc>
          <w:tcPr>
            <w:tcW w:w="2019" w:type="dxa"/>
          </w:tcPr>
          <w:p>
            <w:pPr>
              <w:pStyle w:val="TableParagraph"/>
              <w:spacing w:line="160" w:lineRule="exact"/>
              <w:ind w:right="691"/>
              <w:jc w:val="right"/>
              <w:rPr>
                <w:sz w:val="16"/>
              </w:rPr>
            </w:pPr>
            <w:r>
              <w:rPr>
                <w:color w:val="231F20"/>
                <w:w w:val="110"/>
                <w:sz w:val="16"/>
              </w:rPr>
              <w:t>Right</w:t>
            </w:r>
            <w:r>
              <w:rPr>
                <w:color w:val="231F20"/>
                <w:spacing w:val="-5"/>
                <w:w w:val="110"/>
                <w:sz w:val="16"/>
              </w:rPr>
              <w:t> </w:t>
            </w:r>
            <w:r>
              <w:rPr>
                <w:color w:val="231F20"/>
                <w:w w:val="110"/>
                <w:sz w:val="16"/>
              </w:rPr>
              <w:t>PD</w:t>
            </w:r>
            <w:r>
              <w:rPr>
                <w:color w:val="231F20"/>
                <w:spacing w:val="-6"/>
                <w:w w:val="110"/>
                <w:sz w:val="16"/>
              </w:rPr>
              <w:t> </w:t>
            </w:r>
            <w:r>
              <w:rPr>
                <w:color w:val="231F20"/>
                <w:w w:val="110"/>
                <w:sz w:val="16"/>
              </w:rPr>
              <w:t>(n</w:t>
            </w:r>
            <w:r>
              <w:rPr>
                <w:color w:val="231F20"/>
                <w:spacing w:val="-5"/>
                <w:w w:val="110"/>
                <w:sz w:val="16"/>
              </w:rPr>
              <w:t> </w:t>
            </w:r>
            <w:r>
              <w:rPr>
                <w:rFonts w:ascii="Arial"/>
                <w:color w:val="231F20"/>
                <w:w w:val="120"/>
                <w:sz w:val="16"/>
              </w:rPr>
              <w:t>5</w:t>
            </w:r>
            <w:r>
              <w:rPr>
                <w:rFonts w:ascii="Arial"/>
                <w:color w:val="231F20"/>
                <w:spacing w:val="-13"/>
                <w:w w:val="120"/>
                <w:sz w:val="16"/>
              </w:rPr>
              <w:t> </w:t>
            </w:r>
            <w:r>
              <w:rPr>
                <w:color w:val="231F20"/>
                <w:spacing w:val="-7"/>
                <w:w w:val="110"/>
                <w:sz w:val="16"/>
              </w:rPr>
              <w:t>5)</w:t>
            </w:r>
          </w:p>
        </w:tc>
        <w:tc>
          <w:tcPr>
            <w:tcW w:w="5115" w:type="dxa"/>
          </w:tcPr>
          <w:p>
            <w:pPr>
              <w:pStyle w:val="TableParagraph"/>
              <w:spacing w:line="160" w:lineRule="exact"/>
              <w:ind w:left="1464"/>
              <w:rPr>
                <w:sz w:val="16"/>
              </w:rPr>
            </w:pPr>
            <w:r>
              <w:rPr>
                <w:color w:val="231F20"/>
                <w:sz w:val="16"/>
              </w:rPr>
              <w:t>203.4</w:t>
            </w:r>
            <w:r>
              <w:rPr>
                <w:color w:val="231F20"/>
                <w:spacing w:val="5"/>
                <w:sz w:val="16"/>
              </w:rPr>
              <w:t> </w:t>
            </w:r>
            <w:r>
              <w:rPr>
                <w:color w:val="231F20"/>
                <w:sz w:val="16"/>
              </w:rPr>
              <w:t>(28.7)</w:t>
            </w:r>
            <w:r>
              <w:rPr>
                <w:color w:val="231F20"/>
                <w:spacing w:val="7"/>
                <w:sz w:val="16"/>
              </w:rPr>
              <w:t> </w:t>
            </w:r>
            <w:r>
              <w:rPr>
                <w:color w:val="231F20"/>
                <w:sz w:val="16"/>
              </w:rPr>
              <w:t>[154-</w:t>
            </w:r>
            <w:r>
              <w:rPr>
                <w:color w:val="231F20"/>
                <w:spacing w:val="-4"/>
                <w:sz w:val="16"/>
              </w:rPr>
              <w:t>227]</w:t>
            </w:r>
          </w:p>
        </w:tc>
        <w:tc>
          <w:tcPr>
            <w:tcW w:w="2469" w:type="dxa"/>
          </w:tcPr>
          <w:p>
            <w:pPr>
              <w:pStyle w:val="TableParagraph"/>
              <w:spacing w:line="160" w:lineRule="exact"/>
              <w:ind w:left="245"/>
              <w:jc w:val="center"/>
              <w:rPr>
                <w:sz w:val="16"/>
              </w:rPr>
            </w:pPr>
            <w:r>
              <w:rPr>
                <w:color w:val="231F20"/>
                <w:sz w:val="16"/>
              </w:rPr>
              <w:t>214</w:t>
            </w:r>
            <w:r>
              <w:rPr>
                <w:color w:val="231F20"/>
                <w:spacing w:val="5"/>
                <w:sz w:val="16"/>
              </w:rPr>
              <w:t> </w:t>
            </w:r>
            <w:r>
              <w:rPr>
                <w:color w:val="231F20"/>
                <w:sz w:val="16"/>
              </w:rPr>
              <w:t>(154–248)/207</w:t>
            </w:r>
            <w:r>
              <w:rPr>
                <w:color w:val="231F20"/>
                <w:spacing w:val="5"/>
                <w:sz w:val="16"/>
              </w:rPr>
              <w:t> </w:t>
            </w:r>
            <w:r>
              <w:rPr>
                <w:color w:val="231F20"/>
                <w:spacing w:val="-2"/>
                <w:sz w:val="16"/>
              </w:rPr>
              <w:t>(148–257)</w:t>
            </w:r>
          </w:p>
        </w:tc>
      </w:tr>
      <w:tr>
        <w:trPr>
          <w:trHeight w:val="181" w:hRule="atLeast"/>
        </w:trPr>
        <w:tc>
          <w:tcPr>
            <w:tcW w:w="2019" w:type="dxa"/>
          </w:tcPr>
          <w:p>
            <w:pPr>
              <w:pStyle w:val="TableParagraph"/>
              <w:spacing w:line="162" w:lineRule="exact"/>
              <w:ind w:left="158"/>
              <w:rPr>
                <w:sz w:val="16"/>
              </w:rPr>
            </w:pPr>
            <w:r>
              <w:rPr>
                <w:color w:val="231F20"/>
                <w:w w:val="110"/>
                <w:sz w:val="16"/>
              </w:rPr>
              <w:t>Left</w:t>
            </w:r>
            <w:r>
              <w:rPr>
                <w:color w:val="231F20"/>
                <w:spacing w:val="-2"/>
                <w:w w:val="110"/>
                <w:sz w:val="16"/>
              </w:rPr>
              <w:t> </w:t>
            </w:r>
            <w:r>
              <w:rPr>
                <w:color w:val="231F20"/>
                <w:w w:val="110"/>
                <w:sz w:val="16"/>
              </w:rPr>
              <w:t>PD</w:t>
            </w:r>
            <w:r>
              <w:rPr>
                <w:color w:val="231F20"/>
                <w:spacing w:val="-2"/>
                <w:w w:val="110"/>
                <w:sz w:val="16"/>
              </w:rPr>
              <w:t> </w:t>
            </w:r>
            <w:r>
              <w:rPr>
                <w:color w:val="231F20"/>
                <w:w w:val="110"/>
                <w:sz w:val="16"/>
              </w:rPr>
              <w:t>(n</w:t>
            </w:r>
            <w:r>
              <w:rPr>
                <w:color w:val="231F20"/>
                <w:spacing w:val="-2"/>
                <w:w w:val="110"/>
                <w:sz w:val="16"/>
              </w:rPr>
              <w:t> </w:t>
            </w:r>
            <w:r>
              <w:rPr>
                <w:rFonts w:ascii="Arial"/>
                <w:color w:val="231F20"/>
                <w:w w:val="120"/>
                <w:sz w:val="16"/>
              </w:rPr>
              <w:t>5</w:t>
            </w:r>
            <w:r>
              <w:rPr>
                <w:rFonts w:ascii="Arial"/>
                <w:color w:val="231F20"/>
                <w:spacing w:val="-11"/>
                <w:w w:val="120"/>
                <w:sz w:val="16"/>
              </w:rPr>
              <w:t> </w:t>
            </w:r>
            <w:r>
              <w:rPr>
                <w:color w:val="231F20"/>
                <w:spacing w:val="-7"/>
                <w:w w:val="110"/>
                <w:sz w:val="16"/>
              </w:rPr>
              <w:t>4)</w:t>
            </w:r>
          </w:p>
        </w:tc>
        <w:tc>
          <w:tcPr>
            <w:tcW w:w="5115" w:type="dxa"/>
          </w:tcPr>
          <w:p>
            <w:pPr>
              <w:pStyle w:val="TableParagraph"/>
              <w:spacing w:line="162" w:lineRule="exact"/>
              <w:ind w:left="1464"/>
              <w:rPr>
                <w:sz w:val="16"/>
              </w:rPr>
            </w:pPr>
            <w:r>
              <w:rPr>
                <w:color w:val="231F20"/>
                <w:sz w:val="16"/>
              </w:rPr>
              <w:t>200.7</w:t>
            </w:r>
            <w:r>
              <w:rPr>
                <w:color w:val="231F20"/>
                <w:spacing w:val="5"/>
                <w:sz w:val="16"/>
              </w:rPr>
              <w:t> </w:t>
            </w:r>
            <w:r>
              <w:rPr>
                <w:color w:val="231F20"/>
                <w:sz w:val="16"/>
              </w:rPr>
              <w:t>(30.7)</w:t>
            </w:r>
            <w:r>
              <w:rPr>
                <w:color w:val="231F20"/>
                <w:spacing w:val="7"/>
                <w:sz w:val="16"/>
              </w:rPr>
              <w:t> </w:t>
            </w:r>
            <w:r>
              <w:rPr>
                <w:color w:val="231F20"/>
                <w:sz w:val="16"/>
              </w:rPr>
              <w:t>[155-</w:t>
            </w:r>
            <w:r>
              <w:rPr>
                <w:color w:val="231F20"/>
                <w:spacing w:val="-4"/>
                <w:sz w:val="16"/>
              </w:rPr>
              <w:t>229]</w:t>
            </w:r>
          </w:p>
        </w:tc>
        <w:tc>
          <w:tcPr>
            <w:tcW w:w="2469" w:type="dxa"/>
          </w:tcPr>
          <w:p>
            <w:pPr>
              <w:pStyle w:val="TableParagraph"/>
              <w:spacing w:line="162" w:lineRule="exact"/>
              <w:ind w:left="190"/>
              <w:jc w:val="center"/>
              <w:rPr>
                <w:sz w:val="16"/>
              </w:rPr>
            </w:pPr>
            <w:r>
              <w:rPr>
                <w:color w:val="231F20"/>
                <w:sz w:val="16"/>
              </w:rPr>
              <w:t>202</w:t>
            </w:r>
            <w:r>
              <w:rPr>
                <w:color w:val="231F20"/>
                <w:spacing w:val="5"/>
                <w:sz w:val="16"/>
              </w:rPr>
              <w:t> </w:t>
            </w:r>
            <w:r>
              <w:rPr>
                <w:color w:val="231F20"/>
                <w:sz w:val="16"/>
              </w:rPr>
              <w:t>(117–222)/219</w:t>
            </w:r>
            <w:r>
              <w:rPr>
                <w:color w:val="231F20"/>
                <w:spacing w:val="5"/>
                <w:sz w:val="16"/>
              </w:rPr>
              <w:t> </w:t>
            </w:r>
            <w:r>
              <w:rPr>
                <w:color w:val="231F20"/>
                <w:spacing w:val="-2"/>
                <w:sz w:val="16"/>
              </w:rPr>
              <w:t>193–232)</w:t>
            </w:r>
          </w:p>
        </w:tc>
      </w:tr>
      <w:tr>
        <w:trPr>
          <w:trHeight w:val="175" w:hRule="atLeast"/>
        </w:trPr>
        <w:tc>
          <w:tcPr>
            <w:tcW w:w="2019" w:type="dxa"/>
          </w:tcPr>
          <w:p>
            <w:pPr>
              <w:pStyle w:val="TableParagraph"/>
              <w:spacing w:line="156" w:lineRule="exact"/>
              <w:ind w:left="-1"/>
              <w:rPr>
                <w:sz w:val="16"/>
              </w:rPr>
            </w:pPr>
            <w:r>
              <w:rPr>
                <w:color w:val="231F20"/>
                <w:sz w:val="16"/>
              </w:rPr>
              <w:t>Essential</w:t>
            </w:r>
            <w:r>
              <w:rPr>
                <w:color w:val="231F20"/>
                <w:spacing w:val="6"/>
                <w:sz w:val="16"/>
              </w:rPr>
              <w:t> </w:t>
            </w:r>
            <w:r>
              <w:rPr>
                <w:color w:val="231F20"/>
                <w:spacing w:val="-2"/>
                <w:sz w:val="16"/>
              </w:rPr>
              <w:t>tremor</w:t>
            </w:r>
          </w:p>
        </w:tc>
        <w:tc>
          <w:tcPr>
            <w:tcW w:w="5115" w:type="dxa"/>
          </w:tcPr>
          <w:p>
            <w:pPr>
              <w:pStyle w:val="TableParagraph"/>
              <w:spacing w:line="156" w:lineRule="exact"/>
              <w:ind w:left="1464"/>
              <w:rPr>
                <w:sz w:val="16"/>
              </w:rPr>
            </w:pPr>
            <w:r>
              <w:rPr>
                <w:color w:val="231F20"/>
                <w:sz w:val="16"/>
              </w:rPr>
              <w:t>207.3</w:t>
            </w:r>
            <w:r>
              <w:rPr>
                <w:color w:val="231F20"/>
                <w:spacing w:val="4"/>
                <w:sz w:val="16"/>
              </w:rPr>
              <w:t> </w:t>
            </w:r>
            <w:r>
              <w:rPr>
                <w:color w:val="231F20"/>
                <w:sz w:val="16"/>
              </w:rPr>
              <w:t>(27.3)</w:t>
            </w:r>
            <w:r>
              <w:rPr>
                <w:color w:val="231F20"/>
                <w:spacing w:val="6"/>
                <w:sz w:val="16"/>
              </w:rPr>
              <w:t> </w:t>
            </w:r>
            <w:r>
              <w:rPr>
                <w:color w:val="231F20"/>
                <w:sz w:val="16"/>
              </w:rPr>
              <w:t>[174-5-</w:t>
            </w:r>
            <w:r>
              <w:rPr>
                <w:color w:val="231F20"/>
                <w:spacing w:val="-2"/>
                <w:sz w:val="16"/>
              </w:rPr>
              <w:t>242.5]</w:t>
            </w:r>
          </w:p>
        </w:tc>
        <w:tc>
          <w:tcPr>
            <w:tcW w:w="2469" w:type="dxa"/>
          </w:tcPr>
          <w:p>
            <w:pPr>
              <w:pStyle w:val="TableParagraph"/>
              <w:spacing w:line="156" w:lineRule="exact"/>
              <w:ind w:left="245"/>
              <w:jc w:val="center"/>
              <w:rPr>
                <w:sz w:val="16"/>
              </w:rPr>
            </w:pPr>
            <w:r>
              <w:rPr>
                <w:color w:val="231F20"/>
                <w:sz w:val="16"/>
              </w:rPr>
              <w:t>220</w:t>
            </w:r>
            <w:r>
              <w:rPr>
                <w:color w:val="231F20"/>
                <w:spacing w:val="5"/>
                <w:sz w:val="16"/>
              </w:rPr>
              <w:t> </w:t>
            </w:r>
            <w:r>
              <w:rPr>
                <w:color w:val="231F20"/>
                <w:sz w:val="16"/>
              </w:rPr>
              <w:t>(177–228)/196</w:t>
            </w:r>
            <w:r>
              <w:rPr>
                <w:color w:val="231F20"/>
                <w:spacing w:val="5"/>
                <w:sz w:val="16"/>
              </w:rPr>
              <w:t> </w:t>
            </w:r>
            <w:r>
              <w:rPr>
                <w:color w:val="231F20"/>
                <w:spacing w:val="-2"/>
                <w:sz w:val="16"/>
              </w:rPr>
              <w:t>(152–257)</w:t>
            </w:r>
          </w:p>
        </w:tc>
      </w:tr>
      <w:tr>
        <w:trPr>
          <w:trHeight w:val="179" w:hRule="atLeast"/>
        </w:trPr>
        <w:tc>
          <w:tcPr>
            <w:tcW w:w="2019" w:type="dxa"/>
          </w:tcPr>
          <w:p>
            <w:pPr>
              <w:pStyle w:val="TableParagraph"/>
              <w:spacing w:line="160" w:lineRule="exact"/>
              <w:ind w:right="698"/>
              <w:jc w:val="right"/>
              <w:rPr>
                <w:sz w:val="16"/>
              </w:rPr>
            </w:pPr>
            <w:r>
              <w:rPr>
                <w:color w:val="231F20"/>
                <w:w w:val="110"/>
                <w:sz w:val="16"/>
              </w:rPr>
              <w:t>Right</w:t>
            </w:r>
            <w:r>
              <w:rPr>
                <w:color w:val="231F20"/>
                <w:spacing w:val="-4"/>
                <w:w w:val="110"/>
                <w:sz w:val="16"/>
              </w:rPr>
              <w:t> </w:t>
            </w:r>
            <w:r>
              <w:rPr>
                <w:color w:val="231F20"/>
                <w:w w:val="110"/>
                <w:sz w:val="16"/>
              </w:rPr>
              <w:t>ET</w:t>
            </w:r>
            <w:r>
              <w:rPr>
                <w:color w:val="231F20"/>
                <w:spacing w:val="-3"/>
                <w:w w:val="110"/>
                <w:sz w:val="16"/>
              </w:rPr>
              <w:t> </w:t>
            </w:r>
            <w:r>
              <w:rPr>
                <w:color w:val="231F20"/>
                <w:w w:val="110"/>
                <w:sz w:val="16"/>
              </w:rPr>
              <w:t>(n</w:t>
            </w:r>
            <w:r>
              <w:rPr>
                <w:color w:val="231F20"/>
                <w:spacing w:val="-4"/>
                <w:w w:val="110"/>
                <w:sz w:val="16"/>
              </w:rPr>
              <w:t> </w:t>
            </w:r>
            <w:r>
              <w:rPr>
                <w:rFonts w:ascii="Arial"/>
                <w:color w:val="231F20"/>
                <w:w w:val="120"/>
                <w:sz w:val="16"/>
              </w:rPr>
              <w:t>5</w:t>
            </w:r>
            <w:r>
              <w:rPr>
                <w:rFonts w:ascii="Arial"/>
                <w:color w:val="231F20"/>
                <w:spacing w:val="-13"/>
                <w:w w:val="120"/>
                <w:sz w:val="16"/>
              </w:rPr>
              <w:t> </w:t>
            </w:r>
            <w:r>
              <w:rPr>
                <w:color w:val="231F20"/>
                <w:spacing w:val="-5"/>
                <w:w w:val="110"/>
                <w:sz w:val="16"/>
              </w:rPr>
              <w:t>3)</w:t>
            </w:r>
          </w:p>
        </w:tc>
        <w:tc>
          <w:tcPr>
            <w:tcW w:w="5115" w:type="dxa"/>
          </w:tcPr>
          <w:p>
            <w:pPr>
              <w:pStyle w:val="TableParagraph"/>
              <w:spacing w:line="160" w:lineRule="exact"/>
              <w:ind w:left="1464"/>
              <w:rPr>
                <w:sz w:val="16"/>
              </w:rPr>
            </w:pPr>
            <w:r>
              <w:rPr>
                <w:color w:val="231F20"/>
                <w:sz w:val="16"/>
              </w:rPr>
              <w:t>198.6</w:t>
            </w:r>
            <w:r>
              <w:rPr>
                <w:color w:val="231F20"/>
                <w:spacing w:val="5"/>
                <w:sz w:val="16"/>
              </w:rPr>
              <w:t> </w:t>
            </w:r>
            <w:r>
              <w:rPr>
                <w:color w:val="231F20"/>
                <w:sz w:val="16"/>
              </w:rPr>
              <w:t>(13.8)</w:t>
            </w:r>
            <w:r>
              <w:rPr>
                <w:color w:val="231F20"/>
                <w:spacing w:val="7"/>
                <w:sz w:val="16"/>
              </w:rPr>
              <w:t> </w:t>
            </w:r>
            <w:r>
              <w:rPr>
                <w:color w:val="231F20"/>
                <w:sz w:val="16"/>
              </w:rPr>
              <w:t>[186-</w:t>
            </w:r>
            <w:r>
              <w:rPr>
                <w:color w:val="231F20"/>
                <w:spacing w:val="-2"/>
                <w:sz w:val="16"/>
              </w:rPr>
              <w:t>213.5]</w:t>
            </w:r>
          </w:p>
        </w:tc>
        <w:tc>
          <w:tcPr>
            <w:tcW w:w="2469" w:type="dxa"/>
          </w:tcPr>
          <w:p>
            <w:pPr>
              <w:pStyle w:val="TableParagraph"/>
              <w:spacing w:line="160" w:lineRule="exact"/>
              <w:ind w:left="245"/>
              <w:jc w:val="center"/>
              <w:rPr>
                <w:sz w:val="16"/>
              </w:rPr>
            </w:pPr>
            <w:r>
              <w:rPr>
                <w:color w:val="231F20"/>
                <w:sz w:val="16"/>
              </w:rPr>
              <w:t>220</w:t>
            </w:r>
            <w:r>
              <w:rPr>
                <w:color w:val="231F20"/>
                <w:spacing w:val="5"/>
                <w:sz w:val="16"/>
              </w:rPr>
              <w:t> </w:t>
            </w:r>
            <w:r>
              <w:rPr>
                <w:color w:val="231F20"/>
                <w:sz w:val="16"/>
              </w:rPr>
              <w:t>(220–224)/169</w:t>
            </w:r>
            <w:r>
              <w:rPr>
                <w:color w:val="231F20"/>
                <w:spacing w:val="5"/>
                <w:sz w:val="16"/>
              </w:rPr>
              <w:t> </w:t>
            </w:r>
            <w:r>
              <w:rPr>
                <w:color w:val="231F20"/>
                <w:spacing w:val="-2"/>
                <w:sz w:val="16"/>
              </w:rPr>
              <w:t>(152–207)</w:t>
            </w:r>
          </w:p>
        </w:tc>
      </w:tr>
      <w:tr>
        <w:trPr>
          <w:trHeight w:val="245" w:hRule="atLeast"/>
        </w:trPr>
        <w:tc>
          <w:tcPr>
            <w:tcW w:w="2019" w:type="dxa"/>
            <w:tcBorders>
              <w:bottom w:val="single" w:sz="8" w:space="0" w:color="231F20"/>
            </w:tcBorders>
          </w:tcPr>
          <w:p>
            <w:pPr>
              <w:pStyle w:val="TableParagraph"/>
              <w:spacing w:line="171" w:lineRule="exact"/>
              <w:ind w:left="158"/>
              <w:rPr>
                <w:sz w:val="16"/>
              </w:rPr>
            </w:pPr>
            <w:r>
              <w:rPr>
                <w:color w:val="231F20"/>
                <w:w w:val="110"/>
                <w:sz w:val="16"/>
              </w:rPr>
              <w:t>Left</w:t>
            </w:r>
            <w:r>
              <w:rPr>
                <w:color w:val="231F20"/>
                <w:spacing w:val="-1"/>
                <w:w w:val="110"/>
                <w:sz w:val="16"/>
              </w:rPr>
              <w:t> </w:t>
            </w:r>
            <w:r>
              <w:rPr>
                <w:color w:val="231F20"/>
                <w:w w:val="110"/>
                <w:sz w:val="16"/>
              </w:rPr>
              <w:t>ET</w:t>
            </w:r>
            <w:r>
              <w:rPr>
                <w:color w:val="231F20"/>
                <w:spacing w:val="-1"/>
                <w:w w:val="110"/>
                <w:sz w:val="16"/>
              </w:rPr>
              <w:t> </w:t>
            </w:r>
            <w:r>
              <w:rPr>
                <w:color w:val="231F20"/>
                <w:w w:val="110"/>
                <w:sz w:val="16"/>
              </w:rPr>
              <w:t>(n</w:t>
            </w:r>
            <w:r>
              <w:rPr>
                <w:color w:val="231F20"/>
                <w:spacing w:val="-4"/>
                <w:w w:val="120"/>
                <w:sz w:val="16"/>
              </w:rPr>
              <w:t> </w:t>
            </w:r>
            <w:r>
              <w:rPr>
                <w:rFonts w:ascii="Arial"/>
                <w:color w:val="231F20"/>
                <w:w w:val="120"/>
                <w:sz w:val="16"/>
              </w:rPr>
              <w:t>5</w:t>
            </w:r>
            <w:r>
              <w:rPr>
                <w:rFonts w:ascii="Arial"/>
                <w:color w:val="231F20"/>
                <w:spacing w:val="-9"/>
                <w:w w:val="120"/>
                <w:sz w:val="16"/>
              </w:rPr>
              <w:t> </w:t>
            </w:r>
            <w:r>
              <w:rPr>
                <w:color w:val="231F20"/>
                <w:spacing w:val="-5"/>
                <w:w w:val="110"/>
                <w:sz w:val="16"/>
              </w:rPr>
              <w:t>5)</w:t>
            </w:r>
          </w:p>
        </w:tc>
        <w:tc>
          <w:tcPr>
            <w:tcW w:w="5115" w:type="dxa"/>
            <w:tcBorders>
              <w:bottom w:val="single" w:sz="8" w:space="0" w:color="231F20"/>
            </w:tcBorders>
          </w:tcPr>
          <w:p>
            <w:pPr>
              <w:pStyle w:val="TableParagraph"/>
              <w:spacing w:line="171" w:lineRule="exact"/>
              <w:ind w:left="1464"/>
              <w:rPr>
                <w:sz w:val="16"/>
              </w:rPr>
            </w:pPr>
            <w:r>
              <w:rPr>
                <w:color w:val="231F20"/>
                <w:sz w:val="16"/>
              </w:rPr>
              <w:t>212.6</w:t>
            </w:r>
            <w:r>
              <w:rPr>
                <w:color w:val="231F20"/>
                <w:spacing w:val="3"/>
                <w:sz w:val="16"/>
              </w:rPr>
              <w:t> </w:t>
            </w:r>
            <w:r>
              <w:rPr>
                <w:color w:val="231F20"/>
                <w:sz w:val="16"/>
              </w:rPr>
              <w:t>(28.2)</w:t>
            </w:r>
            <w:r>
              <w:rPr>
                <w:color w:val="231F20"/>
                <w:spacing w:val="4"/>
                <w:sz w:val="16"/>
              </w:rPr>
              <w:t> </w:t>
            </w:r>
            <w:r>
              <w:rPr>
                <w:color w:val="231F20"/>
                <w:sz w:val="16"/>
              </w:rPr>
              <w:t>[174.5-242-</w:t>
            </w:r>
            <w:r>
              <w:rPr>
                <w:color w:val="231F20"/>
                <w:spacing w:val="-5"/>
                <w:sz w:val="16"/>
              </w:rPr>
              <w:t>5]</w:t>
            </w:r>
          </w:p>
        </w:tc>
        <w:tc>
          <w:tcPr>
            <w:tcW w:w="2469" w:type="dxa"/>
            <w:tcBorders>
              <w:bottom w:val="single" w:sz="8" w:space="0" w:color="231F20"/>
            </w:tcBorders>
          </w:tcPr>
          <w:p>
            <w:pPr>
              <w:pStyle w:val="TableParagraph"/>
              <w:spacing w:line="171" w:lineRule="exact"/>
              <w:ind w:left="245"/>
              <w:jc w:val="center"/>
              <w:rPr>
                <w:sz w:val="16"/>
              </w:rPr>
            </w:pPr>
            <w:r>
              <w:rPr>
                <w:color w:val="231F20"/>
                <w:sz w:val="16"/>
              </w:rPr>
              <w:t>220</w:t>
            </w:r>
            <w:r>
              <w:rPr>
                <w:color w:val="231F20"/>
                <w:spacing w:val="5"/>
                <w:sz w:val="16"/>
              </w:rPr>
              <w:t> </w:t>
            </w:r>
            <w:r>
              <w:rPr>
                <w:color w:val="231F20"/>
                <w:sz w:val="16"/>
              </w:rPr>
              <w:t>(177–228)/226</w:t>
            </w:r>
            <w:r>
              <w:rPr>
                <w:color w:val="231F20"/>
                <w:spacing w:val="5"/>
                <w:sz w:val="16"/>
              </w:rPr>
              <w:t> </w:t>
            </w:r>
            <w:r>
              <w:rPr>
                <w:color w:val="231F20"/>
                <w:spacing w:val="-2"/>
                <w:sz w:val="16"/>
              </w:rPr>
              <w:t>(172–257)</w:t>
            </w:r>
          </w:p>
        </w:tc>
      </w:tr>
    </w:tbl>
    <w:p>
      <w:pPr>
        <w:pStyle w:val="BodyText"/>
        <w:rPr>
          <w:i/>
          <w:sz w:val="20"/>
        </w:rPr>
      </w:pPr>
    </w:p>
    <w:p>
      <w:pPr>
        <w:pStyle w:val="BodyText"/>
        <w:spacing w:before="6"/>
        <w:rPr>
          <w:i/>
          <w:sz w:val="20"/>
        </w:rPr>
      </w:pPr>
    </w:p>
    <w:p>
      <w:pPr>
        <w:pStyle w:val="BodyText"/>
        <w:spacing w:after="0"/>
        <w:rPr>
          <w:i/>
          <w:sz w:val="20"/>
        </w:rPr>
        <w:sectPr>
          <w:pgSz w:w="12240" w:h="16200"/>
          <w:pgMar w:top="1060" w:bottom="280" w:left="1080" w:right="1080"/>
        </w:sectPr>
      </w:pPr>
    </w:p>
    <w:p>
      <w:pPr>
        <w:pStyle w:val="BodyText"/>
        <w:spacing w:line="228" w:lineRule="auto" w:before="80"/>
        <w:ind w:left="256" w:right="38"/>
        <w:jc w:val="both"/>
      </w:pPr>
      <w:r>
        <w:rPr>
          <w:color w:val="231F20"/>
        </w:rPr>
        <w:t>Fox, FIS, Sacyl. Prieto Tedejo R—None. Rodriguez </w:t>
      </w:r>
      <w:r>
        <w:rPr>
          <w:color w:val="231F20"/>
        </w:rPr>
        <w:t>Mendez V—None. Lo</w:t>
      </w:r>
      <w:r>
        <w:rPr>
          <w:color w:val="231F20"/>
          <w:position w:val="1"/>
        </w:rPr>
        <w:t>´</w:t>
      </w:r>
      <w:r>
        <w:rPr>
          <w:color w:val="231F20"/>
        </w:rPr>
        <w:t>pez Pueyo MJ—None. Trejo Gabriel y Gala</w:t>
      </w:r>
      <w:r>
        <w:rPr>
          <w:color w:val="231F20"/>
          <w:position w:val="1"/>
        </w:rPr>
        <w:t>´</w:t>
      </w:r>
      <w:r>
        <w:rPr>
          <w:color w:val="231F20"/>
        </w:rPr>
        <w:t>n JM—Honoraria: Pﬁzer, Grants: Servier, Sanoﬁ, Esteve, Sacyl, Michael J Fox.</w:t>
      </w:r>
    </w:p>
    <w:p>
      <w:pPr>
        <w:pStyle w:val="BodyText"/>
        <w:spacing w:line="228" w:lineRule="auto" w:before="1"/>
        <w:ind w:left="256" w:right="38" w:firstLine="199"/>
        <w:jc w:val="both"/>
      </w:pPr>
      <w:r>
        <w:rPr>
          <w:color w:val="231F20"/>
        </w:rPr>
        <w:t>Author Roles: Cubo E—Research project: conception </w:t>
      </w:r>
      <w:r>
        <w:rPr>
          <w:color w:val="231F20"/>
        </w:rPr>
        <w:t>and organization; Statistical Analysis: design and execution; writ- ing of the ﬁrst draft of the manuscript. Prieto Tedejo R— research project: organization and execution. Rodriguez Men- dez V—research project: organization; Lo</w:t>
      </w:r>
      <w:r>
        <w:rPr>
          <w:color w:val="231F20"/>
          <w:position w:val="1"/>
        </w:rPr>
        <w:t>´</w:t>
      </w:r>
      <w:r>
        <w:rPr>
          <w:color w:val="231F20"/>
        </w:rPr>
        <w:t>pez Pueyo MJ— review and critique of statistical analysis and manuscript.</w:t>
      </w:r>
      <w:r>
        <w:rPr>
          <w:color w:val="231F20"/>
          <w:spacing w:val="80"/>
        </w:rPr>
        <w:t> </w:t>
      </w:r>
      <w:r>
        <w:rPr>
          <w:color w:val="231F20"/>
        </w:rPr>
        <w:t>Trejo Gabriel y Gala</w:t>
      </w:r>
      <w:r>
        <w:rPr>
          <w:color w:val="231F20"/>
          <w:position w:val="1"/>
        </w:rPr>
        <w:t>´</w:t>
      </w:r>
      <w:r>
        <w:rPr>
          <w:color w:val="231F20"/>
        </w:rPr>
        <w:t>n JM—review and critique of statistical analysis and manuscript.</w:t>
      </w:r>
    </w:p>
    <w:p>
      <w:pPr>
        <w:spacing w:line="232" w:lineRule="auto" w:before="196"/>
        <w:ind w:left="3046" w:right="38" w:hanging="38"/>
        <w:jc w:val="right"/>
        <w:rPr>
          <w:i/>
          <w:sz w:val="18"/>
        </w:rPr>
      </w:pPr>
      <w:r>
        <w:rPr>
          <w:color w:val="231F20"/>
          <w:sz w:val="18"/>
        </w:rPr>
        <w:t>Esther Cubo,</w:t>
      </w:r>
      <w:r>
        <w:rPr>
          <w:color w:val="231F20"/>
          <w:spacing w:val="-2"/>
          <w:sz w:val="18"/>
        </w:rPr>
        <w:t> </w:t>
      </w:r>
      <w:r>
        <w:rPr>
          <w:color w:val="231F20"/>
          <w:sz w:val="18"/>
        </w:rPr>
        <w:t>MD, </w:t>
      </w:r>
      <w:r>
        <w:rPr>
          <w:color w:val="231F20"/>
          <w:sz w:val="18"/>
        </w:rPr>
        <w:t>PhD* Rosa Prieto Tedejo </w:t>
      </w:r>
      <w:r>
        <w:rPr>
          <w:i/>
          <w:color w:val="231F20"/>
          <w:sz w:val="18"/>
        </w:rPr>
        <w:t>Neurology Department Hospital</w:t>
      </w:r>
      <w:r>
        <w:rPr>
          <w:i/>
          <w:color w:val="231F20"/>
          <w:spacing w:val="7"/>
          <w:sz w:val="18"/>
        </w:rPr>
        <w:t> </w:t>
      </w:r>
      <w:r>
        <w:rPr>
          <w:i/>
          <w:color w:val="231F20"/>
          <w:sz w:val="18"/>
        </w:rPr>
        <w:t>General</w:t>
      </w:r>
      <w:r>
        <w:rPr>
          <w:i/>
          <w:color w:val="231F20"/>
          <w:spacing w:val="8"/>
          <w:sz w:val="18"/>
        </w:rPr>
        <w:t> </w:t>
      </w:r>
      <w:r>
        <w:rPr>
          <w:i/>
          <w:color w:val="231F20"/>
          <w:spacing w:val="-11"/>
          <w:sz w:val="18"/>
        </w:rPr>
        <w:t>Yagu¨e</w:t>
      </w:r>
    </w:p>
    <w:p>
      <w:pPr>
        <w:spacing w:line="192" w:lineRule="exact" w:before="0"/>
        <w:ind w:left="0" w:right="38" w:firstLine="0"/>
        <w:jc w:val="right"/>
        <w:rPr>
          <w:i/>
          <w:sz w:val="18"/>
        </w:rPr>
      </w:pPr>
      <w:r>
        <w:rPr>
          <w:i/>
          <w:color w:val="231F20"/>
          <w:sz w:val="18"/>
        </w:rPr>
        <w:t>Burgos,</w:t>
      </w:r>
      <w:r>
        <w:rPr>
          <w:i/>
          <w:color w:val="231F20"/>
          <w:spacing w:val="9"/>
          <w:sz w:val="18"/>
        </w:rPr>
        <w:t> </w:t>
      </w:r>
      <w:r>
        <w:rPr>
          <w:i/>
          <w:color w:val="231F20"/>
          <w:spacing w:val="-4"/>
          <w:sz w:val="18"/>
        </w:rPr>
        <w:t>Spain</w:t>
      </w:r>
    </w:p>
    <w:p>
      <w:pPr>
        <w:spacing w:line="203" w:lineRule="exact" w:before="0"/>
        <w:ind w:left="0" w:right="39" w:firstLine="0"/>
        <w:jc w:val="right"/>
        <w:rPr>
          <w:i/>
          <w:sz w:val="18"/>
        </w:rPr>
      </w:pPr>
      <w:r>
        <w:rPr>
          <w:i/>
          <w:color w:val="231F20"/>
          <w:sz w:val="18"/>
        </w:rPr>
        <w:t>*E-mail:</w:t>
      </w:r>
      <w:r>
        <w:rPr>
          <w:i/>
          <w:color w:val="231F20"/>
          <w:spacing w:val="9"/>
          <w:sz w:val="18"/>
        </w:rPr>
        <w:t> </w:t>
      </w:r>
      <w:hyperlink r:id="rId5">
        <w:r>
          <w:rPr>
            <w:i/>
            <w:color w:val="231F20"/>
            <w:spacing w:val="-2"/>
            <w:sz w:val="18"/>
          </w:rPr>
          <w:t>esthercubo@gmail.com</w:t>
        </w:r>
      </w:hyperlink>
    </w:p>
    <w:p>
      <w:pPr>
        <w:spacing w:line="228" w:lineRule="auto" w:before="190"/>
        <w:ind w:left="2220" w:right="38" w:firstLine="99"/>
        <w:jc w:val="right"/>
        <w:rPr>
          <w:i/>
          <w:sz w:val="18"/>
        </w:rPr>
      </w:pPr>
      <w:r>
        <w:rPr>
          <w:color w:val="231F20"/>
          <w:spacing w:val="-2"/>
          <w:sz w:val="18"/>
        </w:rPr>
        <w:t>Vero</w:t>
      </w:r>
      <w:r>
        <w:rPr>
          <w:color w:val="231F20"/>
          <w:spacing w:val="-2"/>
          <w:position w:val="1"/>
          <w:sz w:val="18"/>
        </w:rPr>
        <w:t>´</w:t>
      </w:r>
      <w:r>
        <w:rPr>
          <w:color w:val="231F20"/>
          <w:spacing w:val="-2"/>
          <w:sz w:val="18"/>
        </w:rPr>
        <w:t>nica Rodriguez Mendez, </w:t>
      </w:r>
      <w:r>
        <w:rPr>
          <w:color w:val="231F20"/>
          <w:spacing w:val="-2"/>
          <w:sz w:val="18"/>
        </w:rPr>
        <w:t>MD </w:t>
      </w:r>
      <w:r>
        <w:rPr>
          <w:color w:val="231F20"/>
          <w:spacing w:val="-6"/>
          <w:sz w:val="18"/>
        </w:rPr>
        <w:t>Mar</w:t>
      </w:r>
      <w:r>
        <w:rPr>
          <w:color w:val="231F20"/>
          <w:spacing w:val="-6"/>
          <w:position w:val="1"/>
          <w:sz w:val="18"/>
        </w:rPr>
        <w:t>´</w:t>
      </w:r>
      <w:r>
        <w:rPr>
          <w:color w:val="231F20"/>
          <w:spacing w:val="-6"/>
          <w:sz w:val="18"/>
        </w:rPr>
        <w:t>ıa Jesu</w:t>
      </w:r>
      <w:r>
        <w:rPr>
          <w:color w:val="231F20"/>
          <w:spacing w:val="-6"/>
          <w:position w:val="1"/>
          <w:sz w:val="18"/>
        </w:rPr>
        <w:t>´</w:t>
      </w:r>
      <w:r>
        <w:rPr>
          <w:color w:val="231F20"/>
          <w:spacing w:val="-6"/>
          <w:sz w:val="18"/>
        </w:rPr>
        <w:t>s</w:t>
      </w:r>
      <w:r>
        <w:rPr>
          <w:color w:val="231F20"/>
          <w:spacing w:val="-5"/>
          <w:sz w:val="18"/>
        </w:rPr>
        <w:t> </w:t>
      </w:r>
      <w:r>
        <w:rPr>
          <w:color w:val="231F20"/>
          <w:spacing w:val="-6"/>
          <w:sz w:val="18"/>
        </w:rPr>
        <w:t>Lo</w:t>
      </w:r>
      <w:r>
        <w:rPr>
          <w:color w:val="231F20"/>
          <w:spacing w:val="-6"/>
          <w:position w:val="1"/>
          <w:sz w:val="18"/>
        </w:rPr>
        <w:t>´</w:t>
      </w:r>
      <w:r>
        <w:rPr>
          <w:color w:val="231F20"/>
          <w:spacing w:val="-6"/>
          <w:sz w:val="18"/>
        </w:rPr>
        <w:t>pez</w:t>
      </w:r>
      <w:r>
        <w:rPr>
          <w:color w:val="231F20"/>
          <w:spacing w:val="-5"/>
          <w:sz w:val="18"/>
        </w:rPr>
        <w:t> </w:t>
      </w:r>
      <w:r>
        <w:rPr>
          <w:color w:val="231F20"/>
          <w:spacing w:val="-6"/>
          <w:sz w:val="18"/>
        </w:rPr>
        <w:t>Pen˜a,</w:t>
      </w:r>
      <w:r>
        <w:rPr>
          <w:color w:val="231F20"/>
          <w:spacing w:val="-5"/>
          <w:sz w:val="18"/>
        </w:rPr>
        <w:t> </w:t>
      </w:r>
      <w:r>
        <w:rPr>
          <w:color w:val="231F20"/>
          <w:spacing w:val="-6"/>
          <w:sz w:val="18"/>
        </w:rPr>
        <w:t>MD, PhD</w:t>
      </w:r>
      <w:r>
        <w:rPr>
          <w:color w:val="231F20"/>
          <w:sz w:val="18"/>
        </w:rPr>
        <w:t> </w:t>
      </w:r>
      <w:r>
        <w:rPr>
          <w:i/>
          <w:color w:val="231F20"/>
          <w:sz w:val="18"/>
        </w:rPr>
        <w:t>Ophthalmology Department Hospital General Yagu¨e</w:t>
      </w:r>
    </w:p>
    <w:p>
      <w:pPr>
        <w:spacing w:line="198" w:lineRule="exact" w:before="0"/>
        <w:ind w:left="0" w:right="38" w:firstLine="0"/>
        <w:jc w:val="right"/>
        <w:rPr>
          <w:i/>
          <w:sz w:val="18"/>
        </w:rPr>
      </w:pPr>
      <w:r>
        <w:rPr>
          <w:i/>
          <w:color w:val="231F20"/>
          <w:sz w:val="18"/>
        </w:rPr>
        <w:t>Burgos,</w:t>
      </w:r>
      <w:r>
        <w:rPr>
          <w:i/>
          <w:color w:val="231F20"/>
          <w:spacing w:val="9"/>
          <w:sz w:val="18"/>
        </w:rPr>
        <w:t> </w:t>
      </w:r>
      <w:r>
        <w:rPr>
          <w:i/>
          <w:color w:val="231F20"/>
          <w:spacing w:val="-4"/>
          <w:sz w:val="18"/>
        </w:rPr>
        <w:t>Spain</w:t>
      </w:r>
    </w:p>
    <w:p>
      <w:pPr>
        <w:pStyle w:val="BodyText"/>
        <w:spacing w:line="213" w:lineRule="exact" w:before="182"/>
        <w:ind w:right="39"/>
        <w:jc w:val="right"/>
      </w:pPr>
      <w:r>
        <w:rPr>
          <w:color w:val="231F20"/>
          <w:spacing w:val="-2"/>
        </w:rPr>
        <w:t>Jose</w:t>
      </w:r>
      <w:r>
        <w:rPr>
          <w:color w:val="231F20"/>
          <w:spacing w:val="-2"/>
          <w:position w:val="1"/>
        </w:rPr>
        <w:t>´</w:t>
      </w:r>
      <w:r>
        <w:rPr>
          <w:color w:val="231F20"/>
          <w:spacing w:val="-1"/>
          <w:position w:val="1"/>
        </w:rPr>
        <w:t> </w:t>
      </w:r>
      <w:r>
        <w:rPr>
          <w:color w:val="231F20"/>
          <w:spacing w:val="-2"/>
        </w:rPr>
        <w:t>Mar</w:t>
      </w:r>
      <w:r>
        <w:rPr>
          <w:color w:val="231F20"/>
          <w:spacing w:val="-2"/>
          <w:position w:val="1"/>
        </w:rPr>
        <w:t>´</w:t>
      </w:r>
      <w:r>
        <w:rPr>
          <w:color w:val="231F20"/>
          <w:spacing w:val="-2"/>
        </w:rPr>
        <w:t>ıa</w:t>
      </w:r>
      <w:r>
        <w:rPr>
          <w:color w:val="231F20"/>
          <w:spacing w:val="-5"/>
        </w:rPr>
        <w:t> </w:t>
      </w:r>
      <w:r>
        <w:rPr>
          <w:color w:val="231F20"/>
          <w:spacing w:val="-2"/>
        </w:rPr>
        <w:t>Trejo</w:t>
      </w:r>
      <w:r>
        <w:rPr>
          <w:color w:val="231F20"/>
          <w:spacing w:val="-6"/>
        </w:rPr>
        <w:t> </w:t>
      </w:r>
      <w:r>
        <w:rPr>
          <w:color w:val="231F20"/>
          <w:spacing w:val="-2"/>
        </w:rPr>
        <w:t>Gabriel</w:t>
      </w:r>
      <w:r>
        <w:rPr>
          <w:color w:val="231F20"/>
          <w:spacing w:val="-5"/>
        </w:rPr>
        <w:t> </w:t>
      </w:r>
      <w:r>
        <w:rPr>
          <w:color w:val="231F20"/>
          <w:spacing w:val="-2"/>
        </w:rPr>
        <w:t>y</w:t>
      </w:r>
      <w:r>
        <w:rPr>
          <w:color w:val="231F20"/>
          <w:spacing w:val="-7"/>
        </w:rPr>
        <w:t> </w:t>
      </w:r>
      <w:r>
        <w:rPr>
          <w:color w:val="231F20"/>
          <w:spacing w:val="-2"/>
        </w:rPr>
        <w:t>Gala</w:t>
      </w:r>
      <w:r>
        <w:rPr>
          <w:color w:val="231F20"/>
          <w:spacing w:val="-2"/>
          <w:position w:val="1"/>
        </w:rPr>
        <w:t>´</w:t>
      </w:r>
      <w:r>
        <w:rPr>
          <w:color w:val="231F20"/>
          <w:spacing w:val="-2"/>
        </w:rPr>
        <w:t>n,</w:t>
      </w:r>
      <w:r>
        <w:rPr>
          <w:color w:val="231F20"/>
          <w:spacing w:val="-6"/>
        </w:rPr>
        <w:t> </w:t>
      </w:r>
      <w:r>
        <w:rPr>
          <w:color w:val="231F20"/>
          <w:spacing w:val="-2"/>
        </w:rPr>
        <w:t>MD,</w:t>
      </w:r>
      <w:r>
        <w:rPr>
          <w:color w:val="231F20"/>
          <w:spacing w:val="-5"/>
        </w:rPr>
        <w:t> PhD</w:t>
      </w:r>
    </w:p>
    <w:p>
      <w:pPr>
        <w:spacing w:line="232" w:lineRule="auto" w:before="2"/>
        <w:ind w:left="3046" w:right="38" w:firstLine="98"/>
        <w:jc w:val="right"/>
        <w:rPr>
          <w:i/>
          <w:sz w:val="18"/>
        </w:rPr>
      </w:pPr>
      <w:r>
        <w:rPr>
          <w:i/>
          <w:color w:val="231F20"/>
          <w:sz w:val="18"/>
        </w:rPr>
        <w:t>Neurology</w:t>
      </w:r>
      <w:r>
        <w:rPr>
          <w:i/>
          <w:color w:val="231F20"/>
          <w:spacing w:val="-7"/>
          <w:sz w:val="18"/>
        </w:rPr>
        <w:t> </w:t>
      </w:r>
      <w:r>
        <w:rPr>
          <w:i/>
          <w:color w:val="231F20"/>
          <w:sz w:val="18"/>
        </w:rPr>
        <w:t>Department Hospital</w:t>
      </w:r>
      <w:r>
        <w:rPr>
          <w:i/>
          <w:color w:val="231F20"/>
          <w:spacing w:val="7"/>
          <w:sz w:val="18"/>
        </w:rPr>
        <w:t> </w:t>
      </w:r>
      <w:r>
        <w:rPr>
          <w:i/>
          <w:color w:val="231F20"/>
          <w:sz w:val="18"/>
        </w:rPr>
        <w:t>General</w:t>
      </w:r>
      <w:r>
        <w:rPr>
          <w:i/>
          <w:color w:val="231F20"/>
          <w:spacing w:val="8"/>
          <w:sz w:val="18"/>
        </w:rPr>
        <w:t> </w:t>
      </w:r>
      <w:r>
        <w:rPr>
          <w:i/>
          <w:color w:val="231F20"/>
          <w:spacing w:val="-11"/>
          <w:sz w:val="18"/>
        </w:rPr>
        <w:t>Yagu¨e</w:t>
      </w:r>
    </w:p>
    <w:p>
      <w:pPr>
        <w:spacing w:line="198" w:lineRule="exact" w:before="0"/>
        <w:ind w:left="0" w:right="38" w:firstLine="0"/>
        <w:jc w:val="right"/>
        <w:rPr>
          <w:i/>
          <w:sz w:val="18"/>
        </w:rPr>
      </w:pPr>
      <w:r>
        <w:rPr>
          <w:i/>
          <w:color w:val="231F20"/>
          <w:sz w:val="18"/>
        </w:rPr>
        <w:t>Burgos,</w:t>
      </w:r>
      <w:r>
        <w:rPr>
          <w:i/>
          <w:color w:val="231F20"/>
          <w:spacing w:val="9"/>
          <w:sz w:val="18"/>
        </w:rPr>
        <w:t> </w:t>
      </w:r>
      <w:r>
        <w:rPr>
          <w:i/>
          <w:color w:val="231F20"/>
          <w:spacing w:val="-4"/>
          <w:sz w:val="18"/>
        </w:rPr>
        <w:t>Spain</w:t>
      </w:r>
    </w:p>
    <w:p>
      <w:pPr>
        <w:pStyle w:val="Heading2"/>
        <w:spacing w:before="123"/>
      </w:pPr>
      <w:r>
        <w:rPr>
          <w:color w:val="231F20"/>
          <w:spacing w:val="-2"/>
          <w:w w:val="105"/>
        </w:rPr>
        <w:t>References</w:t>
      </w:r>
    </w:p>
    <w:p>
      <w:pPr>
        <w:pStyle w:val="BodyText"/>
        <w:spacing w:before="82"/>
        <w:rPr>
          <w:sz w:val="20"/>
        </w:rPr>
      </w:pPr>
    </w:p>
    <w:p>
      <w:pPr>
        <w:pStyle w:val="ListParagraph"/>
        <w:numPr>
          <w:ilvl w:val="0"/>
          <w:numId w:val="1"/>
        </w:numPr>
        <w:tabs>
          <w:tab w:pos="502" w:val="left" w:leader="none"/>
          <w:tab w:pos="504" w:val="left" w:leader="none"/>
        </w:tabs>
        <w:spacing w:line="232" w:lineRule="auto" w:before="0" w:after="0"/>
        <w:ind w:left="504" w:right="38" w:hanging="248"/>
        <w:jc w:val="both"/>
        <w:rPr>
          <w:sz w:val="16"/>
        </w:rPr>
      </w:pPr>
      <w:r>
        <w:rPr>
          <w:color w:val="231F20"/>
          <w:sz w:val="16"/>
        </w:rPr>
        <w:t>Harnois</w:t>
      </w:r>
      <w:r>
        <w:rPr>
          <w:color w:val="231F20"/>
          <w:spacing w:val="-6"/>
          <w:sz w:val="16"/>
        </w:rPr>
        <w:t> </w:t>
      </w:r>
      <w:r>
        <w:rPr>
          <w:color w:val="231F20"/>
          <w:sz w:val="16"/>
        </w:rPr>
        <w:t>C,</w:t>
      </w:r>
      <w:r>
        <w:rPr>
          <w:color w:val="231F20"/>
          <w:spacing w:val="-5"/>
          <w:sz w:val="16"/>
        </w:rPr>
        <w:t> </w:t>
      </w:r>
      <w:r>
        <w:rPr>
          <w:color w:val="231F20"/>
          <w:sz w:val="16"/>
        </w:rPr>
        <w:t>DiPaolo</w:t>
      </w:r>
      <w:r>
        <w:rPr>
          <w:color w:val="231F20"/>
          <w:spacing w:val="-5"/>
          <w:sz w:val="16"/>
        </w:rPr>
        <w:t> </w:t>
      </w:r>
      <w:r>
        <w:rPr>
          <w:color w:val="231F20"/>
          <w:sz w:val="16"/>
        </w:rPr>
        <w:t>T.</w:t>
      </w:r>
      <w:r>
        <w:rPr>
          <w:color w:val="231F20"/>
          <w:spacing w:val="-5"/>
          <w:sz w:val="16"/>
        </w:rPr>
        <w:t> </w:t>
      </w:r>
      <w:r>
        <w:rPr>
          <w:color w:val="231F20"/>
          <w:sz w:val="16"/>
        </w:rPr>
        <w:t>Decreased</w:t>
      </w:r>
      <w:r>
        <w:rPr>
          <w:color w:val="231F20"/>
          <w:spacing w:val="-5"/>
          <w:sz w:val="16"/>
        </w:rPr>
        <w:t> </w:t>
      </w:r>
      <w:r>
        <w:rPr>
          <w:color w:val="231F20"/>
          <w:sz w:val="16"/>
        </w:rPr>
        <w:t>dopamine</w:t>
      </w:r>
      <w:r>
        <w:rPr>
          <w:color w:val="231F20"/>
          <w:spacing w:val="-6"/>
          <w:sz w:val="16"/>
        </w:rPr>
        <w:t> </w:t>
      </w:r>
      <w:r>
        <w:rPr>
          <w:color w:val="231F20"/>
          <w:sz w:val="16"/>
        </w:rPr>
        <w:t>in</w:t>
      </w:r>
      <w:r>
        <w:rPr>
          <w:color w:val="231F20"/>
          <w:spacing w:val="-5"/>
          <w:sz w:val="16"/>
        </w:rPr>
        <w:t> </w:t>
      </w:r>
      <w:r>
        <w:rPr>
          <w:color w:val="231F20"/>
          <w:sz w:val="16"/>
        </w:rPr>
        <w:t>the</w:t>
      </w:r>
      <w:r>
        <w:rPr>
          <w:color w:val="231F20"/>
          <w:spacing w:val="-4"/>
          <w:sz w:val="16"/>
        </w:rPr>
        <w:t> </w:t>
      </w:r>
      <w:r>
        <w:rPr>
          <w:color w:val="231F20"/>
          <w:sz w:val="16"/>
        </w:rPr>
        <w:t>retina</w:t>
      </w:r>
      <w:r>
        <w:rPr>
          <w:color w:val="231F20"/>
          <w:spacing w:val="-5"/>
          <w:sz w:val="16"/>
        </w:rPr>
        <w:t> </w:t>
      </w:r>
      <w:r>
        <w:rPr>
          <w:color w:val="231F20"/>
          <w:sz w:val="16"/>
        </w:rPr>
        <w:t>of</w:t>
      </w:r>
      <w:r>
        <w:rPr>
          <w:color w:val="231F20"/>
          <w:spacing w:val="-5"/>
          <w:sz w:val="16"/>
        </w:rPr>
        <w:t> </w:t>
      </w:r>
      <w:r>
        <w:rPr>
          <w:color w:val="231F20"/>
          <w:sz w:val="16"/>
        </w:rPr>
        <w:t>patients</w:t>
      </w:r>
      <w:r>
        <w:rPr>
          <w:color w:val="231F20"/>
          <w:spacing w:val="40"/>
          <w:sz w:val="16"/>
        </w:rPr>
        <w:t> </w:t>
      </w:r>
      <w:r>
        <w:rPr>
          <w:color w:val="231F20"/>
          <w:sz w:val="16"/>
        </w:rPr>
        <w:t>with Parkinson’s disease. Invest Ophthalmol 1990;31: 2473–2475.</w:t>
      </w:r>
    </w:p>
    <w:p>
      <w:pPr>
        <w:pStyle w:val="ListParagraph"/>
        <w:numPr>
          <w:ilvl w:val="0"/>
          <w:numId w:val="1"/>
        </w:numPr>
        <w:tabs>
          <w:tab w:pos="502" w:val="left" w:leader="none"/>
          <w:tab w:pos="504" w:val="left" w:leader="none"/>
        </w:tabs>
        <w:spacing w:line="232" w:lineRule="auto" w:before="2" w:after="0"/>
        <w:ind w:left="504" w:right="38" w:hanging="248"/>
        <w:jc w:val="both"/>
        <w:rPr>
          <w:sz w:val="16"/>
        </w:rPr>
      </w:pPr>
      <w:r>
        <w:rPr>
          <w:color w:val="231F20"/>
          <w:sz w:val="16"/>
        </w:rPr>
        <w:t>Bodis-Wollner I. Retinopathy in Parkinson’s disease. J </w:t>
      </w:r>
      <w:r>
        <w:rPr>
          <w:color w:val="231F20"/>
          <w:sz w:val="16"/>
        </w:rPr>
        <w:t>Neural</w:t>
      </w:r>
      <w:r>
        <w:rPr>
          <w:color w:val="231F20"/>
          <w:spacing w:val="40"/>
          <w:sz w:val="16"/>
        </w:rPr>
        <w:t> </w:t>
      </w:r>
      <w:r>
        <w:rPr>
          <w:color w:val="231F20"/>
          <w:sz w:val="16"/>
        </w:rPr>
        <w:t>Transm</w:t>
      </w:r>
      <w:r>
        <w:rPr>
          <w:color w:val="231F20"/>
          <w:spacing w:val="-5"/>
          <w:sz w:val="16"/>
        </w:rPr>
        <w:t> </w:t>
      </w:r>
      <w:r>
        <w:rPr>
          <w:color w:val="231F20"/>
          <w:sz w:val="16"/>
        </w:rPr>
        <w:t>2009;116:1493–1501.</w:t>
      </w:r>
    </w:p>
    <w:p>
      <w:pPr>
        <w:pStyle w:val="ListParagraph"/>
        <w:numPr>
          <w:ilvl w:val="0"/>
          <w:numId w:val="1"/>
        </w:numPr>
        <w:tabs>
          <w:tab w:pos="502" w:val="left" w:leader="none"/>
          <w:tab w:pos="504" w:val="left" w:leader="none"/>
        </w:tabs>
        <w:spacing w:line="235" w:lineRule="auto" w:before="0" w:after="0"/>
        <w:ind w:left="504" w:right="38" w:hanging="248"/>
        <w:jc w:val="both"/>
        <w:rPr>
          <w:sz w:val="16"/>
        </w:rPr>
      </w:pPr>
      <w:r>
        <w:rPr>
          <w:color w:val="231F20"/>
          <w:sz w:val="16"/>
        </w:rPr>
        <w:t>Hajee</w:t>
      </w:r>
      <w:r>
        <w:rPr>
          <w:color w:val="231F20"/>
          <w:spacing w:val="-6"/>
          <w:sz w:val="16"/>
        </w:rPr>
        <w:t> </w:t>
      </w:r>
      <w:r>
        <w:rPr>
          <w:color w:val="231F20"/>
          <w:sz w:val="16"/>
        </w:rPr>
        <w:t>ME,</w:t>
      </w:r>
      <w:r>
        <w:rPr>
          <w:color w:val="231F20"/>
          <w:spacing w:val="-6"/>
          <w:sz w:val="16"/>
        </w:rPr>
        <w:t> </w:t>
      </w:r>
      <w:r>
        <w:rPr>
          <w:color w:val="231F20"/>
          <w:sz w:val="16"/>
        </w:rPr>
        <w:t>March</w:t>
      </w:r>
      <w:r>
        <w:rPr>
          <w:color w:val="231F20"/>
          <w:spacing w:val="-6"/>
          <w:sz w:val="16"/>
        </w:rPr>
        <w:t> </w:t>
      </w:r>
      <w:r>
        <w:rPr>
          <w:color w:val="231F20"/>
          <w:sz w:val="16"/>
        </w:rPr>
        <w:t>WF,</w:t>
      </w:r>
      <w:r>
        <w:rPr>
          <w:color w:val="231F20"/>
          <w:spacing w:val="-6"/>
          <w:sz w:val="16"/>
        </w:rPr>
        <w:t> </w:t>
      </w:r>
      <w:r>
        <w:rPr>
          <w:color w:val="231F20"/>
          <w:sz w:val="16"/>
        </w:rPr>
        <w:t>Lazzaro</w:t>
      </w:r>
      <w:r>
        <w:rPr>
          <w:color w:val="231F20"/>
          <w:spacing w:val="-6"/>
          <w:sz w:val="16"/>
        </w:rPr>
        <w:t> </w:t>
      </w:r>
      <w:r>
        <w:rPr>
          <w:color w:val="231F20"/>
          <w:sz w:val="16"/>
        </w:rPr>
        <w:t>DR,</w:t>
      </w:r>
      <w:r>
        <w:rPr>
          <w:color w:val="231F20"/>
          <w:spacing w:val="-7"/>
          <w:sz w:val="16"/>
        </w:rPr>
        <w:t> </w:t>
      </w:r>
      <w:r>
        <w:rPr>
          <w:color w:val="231F20"/>
          <w:sz w:val="16"/>
        </w:rPr>
        <w:t>Wolintz</w:t>
      </w:r>
      <w:r>
        <w:rPr>
          <w:color w:val="231F20"/>
          <w:spacing w:val="-6"/>
          <w:sz w:val="16"/>
        </w:rPr>
        <w:t> </w:t>
      </w:r>
      <w:r>
        <w:rPr>
          <w:color w:val="231F20"/>
          <w:sz w:val="16"/>
        </w:rPr>
        <w:t>AH,</w:t>
      </w:r>
      <w:r>
        <w:rPr>
          <w:color w:val="231F20"/>
          <w:spacing w:val="-6"/>
          <w:sz w:val="16"/>
        </w:rPr>
        <w:t> </w:t>
      </w:r>
      <w:r>
        <w:rPr>
          <w:color w:val="231F20"/>
          <w:sz w:val="16"/>
        </w:rPr>
        <w:t>Shrier</w:t>
      </w:r>
      <w:r>
        <w:rPr>
          <w:color w:val="231F20"/>
          <w:spacing w:val="-6"/>
          <w:sz w:val="16"/>
        </w:rPr>
        <w:t> </w:t>
      </w:r>
      <w:r>
        <w:rPr>
          <w:color w:val="231F20"/>
          <w:sz w:val="16"/>
        </w:rPr>
        <w:t>EM,</w:t>
      </w:r>
      <w:r>
        <w:rPr>
          <w:color w:val="231F20"/>
          <w:spacing w:val="-6"/>
          <w:sz w:val="16"/>
        </w:rPr>
        <w:t> </w:t>
      </w:r>
      <w:r>
        <w:rPr>
          <w:color w:val="231F20"/>
          <w:sz w:val="16"/>
        </w:rPr>
        <w:t>Glaz-</w:t>
      </w:r>
      <w:r>
        <w:rPr>
          <w:color w:val="231F20"/>
          <w:spacing w:val="40"/>
          <w:sz w:val="16"/>
        </w:rPr>
        <w:t> </w:t>
      </w:r>
      <w:r>
        <w:rPr>
          <w:color w:val="231F20"/>
          <w:sz w:val="16"/>
        </w:rPr>
        <w:t>man</w:t>
      </w:r>
      <w:r>
        <w:rPr>
          <w:color w:val="231F20"/>
          <w:spacing w:val="-2"/>
          <w:sz w:val="16"/>
        </w:rPr>
        <w:t> </w:t>
      </w:r>
      <w:r>
        <w:rPr>
          <w:color w:val="231F20"/>
          <w:sz w:val="16"/>
        </w:rPr>
        <w:t>S,</w:t>
      </w:r>
      <w:r>
        <w:rPr>
          <w:color w:val="231F20"/>
          <w:spacing w:val="-1"/>
          <w:sz w:val="16"/>
        </w:rPr>
        <w:t> </w:t>
      </w:r>
      <w:r>
        <w:rPr>
          <w:color w:val="231F20"/>
          <w:sz w:val="16"/>
        </w:rPr>
        <w:t>Bodis-Wollner IG.</w:t>
      </w:r>
      <w:r>
        <w:rPr>
          <w:color w:val="231F20"/>
          <w:spacing w:val="-1"/>
          <w:sz w:val="16"/>
        </w:rPr>
        <w:t> </w:t>
      </w:r>
      <w:r>
        <w:rPr>
          <w:color w:val="231F20"/>
          <w:sz w:val="16"/>
        </w:rPr>
        <w:t>Inner</w:t>
      </w:r>
      <w:r>
        <w:rPr>
          <w:color w:val="231F20"/>
          <w:spacing w:val="-1"/>
          <w:sz w:val="16"/>
        </w:rPr>
        <w:t> </w:t>
      </w:r>
      <w:r>
        <w:rPr>
          <w:color w:val="231F20"/>
          <w:sz w:val="16"/>
        </w:rPr>
        <w:t>retinal</w:t>
      </w:r>
      <w:r>
        <w:rPr>
          <w:color w:val="231F20"/>
          <w:spacing w:val="-2"/>
          <w:sz w:val="16"/>
        </w:rPr>
        <w:t> </w:t>
      </w:r>
      <w:r>
        <w:rPr>
          <w:color w:val="231F20"/>
          <w:sz w:val="16"/>
        </w:rPr>
        <w:t>layer</w:t>
      </w:r>
      <w:r>
        <w:rPr>
          <w:color w:val="231F20"/>
          <w:spacing w:val="-2"/>
          <w:sz w:val="16"/>
        </w:rPr>
        <w:t> </w:t>
      </w:r>
      <w:r>
        <w:rPr>
          <w:color w:val="231F20"/>
          <w:sz w:val="16"/>
        </w:rPr>
        <w:t>thinning</w:t>
      </w:r>
      <w:r>
        <w:rPr>
          <w:color w:val="231F20"/>
          <w:spacing w:val="-2"/>
          <w:sz w:val="16"/>
        </w:rPr>
        <w:t> </w:t>
      </w:r>
      <w:r>
        <w:rPr>
          <w:color w:val="231F20"/>
          <w:sz w:val="16"/>
        </w:rPr>
        <w:t>in Parkinson</w:t>
      </w:r>
      <w:r>
        <w:rPr>
          <w:color w:val="231F20"/>
          <w:spacing w:val="40"/>
          <w:sz w:val="16"/>
        </w:rPr>
        <w:t> </w:t>
      </w:r>
      <w:r>
        <w:rPr>
          <w:color w:val="231F20"/>
          <w:sz w:val="16"/>
        </w:rPr>
        <w:t>disease. Arch Ophthalmol 2009;127:737–741.</w:t>
      </w:r>
    </w:p>
    <w:p>
      <w:pPr>
        <w:pStyle w:val="ListParagraph"/>
        <w:numPr>
          <w:ilvl w:val="0"/>
          <w:numId w:val="1"/>
        </w:numPr>
        <w:tabs>
          <w:tab w:pos="502" w:val="left" w:leader="none"/>
          <w:tab w:pos="504" w:val="left" w:leader="none"/>
        </w:tabs>
        <w:spacing w:line="180" w:lineRule="exact" w:before="0" w:after="0"/>
        <w:ind w:left="504" w:right="38" w:hanging="248"/>
        <w:jc w:val="both"/>
        <w:rPr>
          <w:sz w:val="16"/>
        </w:rPr>
      </w:pPr>
      <w:r>
        <w:rPr>
          <w:color w:val="231F20"/>
          <w:spacing w:val="-2"/>
          <w:sz w:val="16"/>
        </w:rPr>
        <w:t>Altintas</w:t>
      </w:r>
      <w:r>
        <w:rPr>
          <w:rFonts w:ascii="Arial" w:hAnsi="Arial"/>
          <w:color w:val="231F20"/>
          <w:spacing w:val="-2"/>
          <w:sz w:val="16"/>
        </w:rPr>
        <w:t>¸</w:t>
      </w:r>
      <w:r>
        <w:rPr>
          <w:rFonts w:ascii="Arial" w:hAnsi="Arial"/>
          <w:color w:val="231F20"/>
          <w:spacing w:val="-6"/>
          <w:sz w:val="16"/>
        </w:rPr>
        <w:t> </w:t>
      </w:r>
      <w:r>
        <w:rPr>
          <w:color w:val="231F20"/>
          <w:spacing w:val="-2"/>
          <w:sz w:val="16"/>
        </w:rPr>
        <w:t>O,</w:t>
      </w:r>
      <w:r>
        <w:rPr>
          <w:color w:val="231F20"/>
          <w:spacing w:val="-6"/>
          <w:sz w:val="16"/>
        </w:rPr>
        <w:t> </w:t>
      </w:r>
      <w:r>
        <w:rPr>
          <w:color w:val="231F20"/>
          <w:spacing w:val="-2"/>
          <w:sz w:val="16"/>
        </w:rPr>
        <w:t>Is</w:t>
      </w:r>
      <w:r>
        <w:rPr>
          <w:rFonts w:ascii="Arial" w:hAnsi="Arial"/>
          <w:color w:val="231F20"/>
          <w:spacing w:val="-2"/>
          <w:sz w:val="16"/>
        </w:rPr>
        <w:t>¸</w:t>
      </w:r>
      <w:r>
        <w:rPr>
          <w:color w:val="231F20"/>
          <w:spacing w:val="-2"/>
          <w:sz w:val="16"/>
        </w:rPr>
        <w:t>eri</w:t>
      </w:r>
      <w:r>
        <w:rPr>
          <w:color w:val="231F20"/>
          <w:spacing w:val="-6"/>
          <w:sz w:val="16"/>
        </w:rPr>
        <w:t> </w:t>
      </w:r>
      <w:r>
        <w:rPr>
          <w:color w:val="231F20"/>
          <w:spacing w:val="-2"/>
          <w:sz w:val="16"/>
        </w:rPr>
        <w:t>P,</w:t>
      </w:r>
      <w:r>
        <w:rPr>
          <w:color w:val="231F20"/>
          <w:spacing w:val="-6"/>
          <w:sz w:val="16"/>
        </w:rPr>
        <w:t> </w:t>
      </w:r>
      <w:r>
        <w:rPr>
          <w:color w:val="231F20"/>
          <w:spacing w:val="-2"/>
          <w:sz w:val="16"/>
        </w:rPr>
        <w:t>Ozkan</w:t>
      </w:r>
      <w:r>
        <w:rPr>
          <w:color w:val="231F20"/>
          <w:spacing w:val="-7"/>
          <w:sz w:val="16"/>
        </w:rPr>
        <w:t> </w:t>
      </w:r>
      <w:r>
        <w:rPr>
          <w:color w:val="231F20"/>
          <w:spacing w:val="-2"/>
          <w:sz w:val="16"/>
        </w:rPr>
        <w:t>B,</w:t>
      </w:r>
      <w:r>
        <w:rPr>
          <w:color w:val="231F20"/>
          <w:spacing w:val="-6"/>
          <w:sz w:val="16"/>
        </w:rPr>
        <w:t> </w:t>
      </w:r>
      <w:r>
        <w:rPr>
          <w:color w:val="231F20"/>
          <w:spacing w:val="-2"/>
          <w:sz w:val="16"/>
        </w:rPr>
        <w:t>Cag</w:t>
      </w:r>
      <w:r>
        <w:rPr>
          <w:color w:val="231F20"/>
          <w:spacing w:val="-2"/>
          <w:position w:val="1"/>
          <w:sz w:val="16"/>
        </w:rPr>
        <w:t>˘</w:t>
      </w:r>
      <w:r>
        <w:rPr>
          <w:color w:val="231F20"/>
          <w:spacing w:val="-2"/>
          <w:sz w:val="16"/>
        </w:rPr>
        <w:t>lar</w:t>
      </w:r>
      <w:r>
        <w:rPr>
          <w:color w:val="231F20"/>
          <w:spacing w:val="-6"/>
          <w:sz w:val="16"/>
        </w:rPr>
        <w:t> </w:t>
      </w:r>
      <w:r>
        <w:rPr>
          <w:color w:val="231F20"/>
          <w:spacing w:val="-2"/>
          <w:sz w:val="16"/>
        </w:rPr>
        <w:t>Y.</w:t>
      </w:r>
      <w:r>
        <w:rPr>
          <w:color w:val="231F20"/>
          <w:spacing w:val="-6"/>
          <w:sz w:val="16"/>
        </w:rPr>
        <w:t> </w:t>
      </w:r>
      <w:r>
        <w:rPr>
          <w:color w:val="231F20"/>
          <w:spacing w:val="-2"/>
          <w:sz w:val="16"/>
        </w:rPr>
        <w:t>Correlation</w:t>
      </w:r>
      <w:r>
        <w:rPr>
          <w:color w:val="231F20"/>
          <w:spacing w:val="-6"/>
          <w:sz w:val="16"/>
        </w:rPr>
        <w:t> </w:t>
      </w:r>
      <w:r>
        <w:rPr>
          <w:color w:val="231F20"/>
          <w:spacing w:val="-2"/>
          <w:sz w:val="16"/>
        </w:rPr>
        <w:t>between</w:t>
      </w:r>
      <w:r>
        <w:rPr>
          <w:color w:val="231F20"/>
          <w:spacing w:val="-7"/>
          <w:sz w:val="16"/>
        </w:rPr>
        <w:t> </w:t>
      </w:r>
      <w:r>
        <w:rPr>
          <w:color w:val="231F20"/>
          <w:spacing w:val="-2"/>
          <w:sz w:val="16"/>
        </w:rPr>
        <w:t>retinal</w:t>
      </w:r>
      <w:r>
        <w:rPr>
          <w:color w:val="231F20"/>
          <w:spacing w:val="40"/>
          <w:sz w:val="16"/>
        </w:rPr>
        <w:t> </w:t>
      </w:r>
      <w:r>
        <w:rPr>
          <w:color w:val="231F20"/>
          <w:sz w:val="16"/>
        </w:rPr>
        <w:t>morphological and functional ﬁndings and clinical severity in </w:t>
      </w:r>
      <w:r>
        <w:rPr>
          <w:color w:val="231F20"/>
          <w:sz w:val="16"/>
        </w:rPr>
        <w:t>Par-</w:t>
      </w:r>
      <w:r>
        <w:rPr>
          <w:color w:val="231F20"/>
          <w:spacing w:val="40"/>
          <w:sz w:val="16"/>
        </w:rPr>
        <w:t> </w:t>
      </w:r>
      <w:r>
        <w:rPr>
          <w:color w:val="231F20"/>
          <w:sz w:val="16"/>
        </w:rPr>
        <w:t>kinson’s disease. Doc Ophthalmol 2008;116:137–146.</w:t>
      </w:r>
    </w:p>
    <w:p>
      <w:pPr>
        <w:pStyle w:val="ListParagraph"/>
        <w:numPr>
          <w:ilvl w:val="0"/>
          <w:numId w:val="1"/>
        </w:numPr>
        <w:tabs>
          <w:tab w:pos="502" w:val="left" w:leader="none"/>
        </w:tabs>
        <w:spacing w:line="176" w:lineRule="exact" w:before="0" w:after="0"/>
        <w:ind w:left="502" w:right="0" w:hanging="246"/>
        <w:jc w:val="both"/>
        <w:rPr>
          <w:sz w:val="16"/>
        </w:rPr>
      </w:pPr>
      <w:r>
        <w:rPr>
          <w:color w:val="231F20"/>
          <w:sz w:val="16"/>
        </w:rPr>
        <w:t>Inzelberg</w:t>
      </w:r>
      <w:r>
        <w:rPr>
          <w:color w:val="231F20"/>
          <w:spacing w:val="-4"/>
          <w:sz w:val="16"/>
        </w:rPr>
        <w:t> </w:t>
      </w:r>
      <w:r>
        <w:rPr>
          <w:color w:val="231F20"/>
          <w:sz w:val="16"/>
        </w:rPr>
        <w:t>R,</w:t>
      </w:r>
      <w:r>
        <w:rPr>
          <w:color w:val="231F20"/>
          <w:spacing w:val="-4"/>
          <w:sz w:val="16"/>
        </w:rPr>
        <w:t> </w:t>
      </w:r>
      <w:r>
        <w:rPr>
          <w:color w:val="231F20"/>
          <w:sz w:val="16"/>
        </w:rPr>
        <w:t>Ramirez</w:t>
      </w:r>
      <w:r>
        <w:rPr>
          <w:color w:val="231F20"/>
          <w:spacing w:val="-2"/>
          <w:sz w:val="16"/>
        </w:rPr>
        <w:t> </w:t>
      </w:r>
      <w:r>
        <w:rPr>
          <w:color w:val="231F20"/>
          <w:sz w:val="16"/>
        </w:rPr>
        <w:t>JA,</w:t>
      </w:r>
      <w:r>
        <w:rPr>
          <w:color w:val="231F20"/>
          <w:spacing w:val="-4"/>
          <w:sz w:val="16"/>
        </w:rPr>
        <w:t> </w:t>
      </w:r>
      <w:r>
        <w:rPr>
          <w:color w:val="231F20"/>
          <w:sz w:val="16"/>
        </w:rPr>
        <w:t>Nisipeanu</w:t>
      </w:r>
      <w:r>
        <w:rPr>
          <w:color w:val="231F20"/>
          <w:spacing w:val="-5"/>
          <w:sz w:val="16"/>
        </w:rPr>
        <w:t> </w:t>
      </w:r>
      <w:r>
        <w:rPr>
          <w:color w:val="231F20"/>
          <w:sz w:val="16"/>
        </w:rPr>
        <w:t>P,</w:t>
      </w:r>
      <w:r>
        <w:rPr>
          <w:color w:val="231F20"/>
          <w:spacing w:val="-3"/>
          <w:sz w:val="16"/>
        </w:rPr>
        <w:t> </w:t>
      </w:r>
      <w:r>
        <w:rPr>
          <w:color w:val="231F20"/>
          <w:sz w:val="16"/>
        </w:rPr>
        <w:t>Ophir</w:t>
      </w:r>
      <w:r>
        <w:rPr>
          <w:color w:val="231F20"/>
          <w:spacing w:val="-4"/>
          <w:sz w:val="16"/>
        </w:rPr>
        <w:t> </w:t>
      </w:r>
      <w:r>
        <w:rPr>
          <w:color w:val="231F20"/>
          <w:sz w:val="16"/>
        </w:rPr>
        <w:t>A.</w:t>
      </w:r>
      <w:r>
        <w:rPr>
          <w:color w:val="231F20"/>
          <w:spacing w:val="-3"/>
          <w:sz w:val="16"/>
        </w:rPr>
        <w:t> </w:t>
      </w:r>
      <w:r>
        <w:rPr>
          <w:color w:val="231F20"/>
          <w:sz w:val="16"/>
        </w:rPr>
        <w:t>Retinal</w:t>
      </w:r>
      <w:r>
        <w:rPr>
          <w:color w:val="231F20"/>
          <w:spacing w:val="-3"/>
          <w:sz w:val="16"/>
        </w:rPr>
        <w:t> </w:t>
      </w:r>
      <w:r>
        <w:rPr>
          <w:color w:val="231F20"/>
          <w:sz w:val="16"/>
        </w:rPr>
        <w:t>nerve</w:t>
      </w:r>
      <w:r>
        <w:rPr>
          <w:color w:val="231F20"/>
          <w:spacing w:val="-4"/>
          <w:sz w:val="16"/>
        </w:rPr>
        <w:t> ﬁber</w:t>
      </w:r>
    </w:p>
    <w:p>
      <w:pPr>
        <w:pStyle w:val="ListParagraph"/>
        <w:numPr>
          <w:ilvl w:val="0"/>
          <w:numId w:val="2"/>
        </w:numPr>
        <w:tabs>
          <w:tab w:pos="502" w:val="left" w:leader="none"/>
          <w:tab w:pos="504" w:val="left" w:leader="none"/>
        </w:tabs>
        <w:spacing w:line="232" w:lineRule="auto" w:before="81" w:after="0"/>
        <w:ind w:left="504" w:right="215" w:hanging="248"/>
        <w:jc w:val="both"/>
        <w:rPr>
          <w:sz w:val="16"/>
        </w:rPr>
      </w:pPr>
      <w:r>
        <w:rPr/>
        <w:br w:type="column"/>
      </w:r>
      <w:r>
        <w:rPr>
          <w:color w:val="231F20"/>
          <w:sz w:val="16"/>
        </w:rPr>
        <w:t>Berisha</w:t>
      </w:r>
      <w:r>
        <w:rPr>
          <w:color w:val="231F20"/>
          <w:spacing w:val="-1"/>
          <w:sz w:val="16"/>
        </w:rPr>
        <w:t> </w:t>
      </w:r>
      <w:r>
        <w:rPr>
          <w:color w:val="231F20"/>
          <w:sz w:val="16"/>
        </w:rPr>
        <w:t>F, Feke</w:t>
      </w:r>
      <w:r>
        <w:rPr>
          <w:color w:val="231F20"/>
          <w:spacing w:val="-1"/>
          <w:sz w:val="16"/>
        </w:rPr>
        <w:t> </w:t>
      </w:r>
      <w:r>
        <w:rPr>
          <w:color w:val="231F20"/>
          <w:sz w:val="16"/>
        </w:rPr>
        <w:t>GT, Trempe</w:t>
      </w:r>
      <w:r>
        <w:rPr>
          <w:color w:val="231F20"/>
          <w:spacing w:val="-1"/>
          <w:sz w:val="16"/>
        </w:rPr>
        <w:t> </w:t>
      </w:r>
      <w:r>
        <w:rPr>
          <w:color w:val="231F20"/>
          <w:sz w:val="16"/>
        </w:rPr>
        <w:t>CL, McMeel</w:t>
      </w:r>
      <w:r>
        <w:rPr>
          <w:color w:val="231F20"/>
          <w:spacing w:val="-1"/>
          <w:sz w:val="16"/>
        </w:rPr>
        <w:t> </w:t>
      </w:r>
      <w:r>
        <w:rPr>
          <w:color w:val="231F20"/>
          <w:sz w:val="16"/>
        </w:rPr>
        <w:t>JW,</w:t>
      </w:r>
      <w:r>
        <w:rPr>
          <w:color w:val="231F20"/>
          <w:spacing w:val="-1"/>
          <w:sz w:val="16"/>
        </w:rPr>
        <w:t> </w:t>
      </w:r>
      <w:r>
        <w:rPr>
          <w:color w:val="231F20"/>
          <w:sz w:val="16"/>
        </w:rPr>
        <w:t>Schepens CL.</w:t>
      </w:r>
      <w:r>
        <w:rPr>
          <w:color w:val="231F20"/>
          <w:spacing w:val="-2"/>
          <w:sz w:val="16"/>
        </w:rPr>
        <w:t> </w:t>
      </w:r>
      <w:r>
        <w:rPr>
          <w:color w:val="231F20"/>
          <w:sz w:val="16"/>
        </w:rPr>
        <w:t>Reti-</w:t>
      </w:r>
      <w:r>
        <w:rPr>
          <w:color w:val="231F20"/>
          <w:spacing w:val="40"/>
          <w:sz w:val="16"/>
        </w:rPr>
        <w:t> </w:t>
      </w:r>
      <w:r>
        <w:rPr>
          <w:color w:val="231F20"/>
          <w:sz w:val="16"/>
        </w:rPr>
        <w:t>nal abnormalities in early Alzheimer’s disease. Invest Ophthalmol</w:t>
      </w:r>
      <w:r>
        <w:rPr>
          <w:color w:val="231F20"/>
          <w:spacing w:val="40"/>
          <w:sz w:val="16"/>
        </w:rPr>
        <w:t> </w:t>
      </w:r>
      <w:r>
        <w:rPr>
          <w:color w:val="231F20"/>
          <w:sz w:val="16"/>
        </w:rPr>
        <w:t>Vis Sci 2007;48:2285–2289.</w:t>
      </w:r>
    </w:p>
    <w:p>
      <w:pPr>
        <w:pStyle w:val="ListParagraph"/>
        <w:numPr>
          <w:ilvl w:val="0"/>
          <w:numId w:val="2"/>
        </w:numPr>
        <w:tabs>
          <w:tab w:pos="502" w:val="left" w:leader="none"/>
          <w:tab w:pos="504" w:val="left" w:leader="none"/>
        </w:tabs>
        <w:spacing w:line="232" w:lineRule="auto" w:before="3" w:after="0"/>
        <w:ind w:left="504" w:right="216" w:hanging="248"/>
        <w:jc w:val="both"/>
        <w:rPr>
          <w:sz w:val="16"/>
        </w:rPr>
      </w:pPr>
      <w:r>
        <w:rPr>
          <w:color w:val="231F20"/>
          <w:sz w:val="16"/>
        </w:rPr>
        <w:t>Lamirel</w:t>
      </w:r>
      <w:r>
        <w:rPr>
          <w:color w:val="231F20"/>
          <w:spacing w:val="-7"/>
          <w:sz w:val="16"/>
        </w:rPr>
        <w:t> </w:t>
      </w:r>
      <w:r>
        <w:rPr>
          <w:color w:val="231F20"/>
          <w:sz w:val="16"/>
        </w:rPr>
        <w:t>C,</w:t>
      </w:r>
      <w:r>
        <w:rPr>
          <w:color w:val="231F20"/>
          <w:spacing w:val="-7"/>
          <w:sz w:val="16"/>
        </w:rPr>
        <w:t> </w:t>
      </w:r>
      <w:r>
        <w:rPr>
          <w:color w:val="231F20"/>
          <w:sz w:val="16"/>
        </w:rPr>
        <w:t>Newman</w:t>
      </w:r>
      <w:r>
        <w:rPr>
          <w:color w:val="231F20"/>
          <w:spacing w:val="-7"/>
          <w:sz w:val="16"/>
        </w:rPr>
        <w:t> </w:t>
      </w:r>
      <w:r>
        <w:rPr>
          <w:color w:val="231F20"/>
          <w:sz w:val="16"/>
        </w:rPr>
        <w:t>N,</w:t>
      </w:r>
      <w:r>
        <w:rPr>
          <w:color w:val="231F20"/>
          <w:spacing w:val="-6"/>
          <w:sz w:val="16"/>
        </w:rPr>
        <w:t> </w:t>
      </w:r>
      <w:r>
        <w:rPr>
          <w:color w:val="231F20"/>
          <w:sz w:val="16"/>
        </w:rPr>
        <w:t>Biousse</w:t>
      </w:r>
      <w:r>
        <w:rPr>
          <w:color w:val="231F20"/>
          <w:spacing w:val="-7"/>
          <w:sz w:val="16"/>
        </w:rPr>
        <w:t> </w:t>
      </w:r>
      <w:r>
        <w:rPr>
          <w:color w:val="231F20"/>
          <w:sz w:val="16"/>
        </w:rPr>
        <w:t>V.</w:t>
      </w:r>
      <w:r>
        <w:rPr>
          <w:color w:val="231F20"/>
          <w:spacing w:val="-6"/>
          <w:sz w:val="16"/>
        </w:rPr>
        <w:t> </w:t>
      </w:r>
      <w:r>
        <w:rPr>
          <w:color w:val="231F20"/>
          <w:sz w:val="16"/>
        </w:rPr>
        <w:t>The</w:t>
      </w:r>
      <w:r>
        <w:rPr>
          <w:color w:val="231F20"/>
          <w:spacing w:val="-6"/>
          <w:sz w:val="16"/>
        </w:rPr>
        <w:t> </w:t>
      </w:r>
      <w:r>
        <w:rPr>
          <w:color w:val="231F20"/>
          <w:sz w:val="16"/>
        </w:rPr>
        <w:t>use</w:t>
      </w:r>
      <w:r>
        <w:rPr>
          <w:color w:val="231F20"/>
          <w:spacing w:val="-6"/>
          <w:sz w:val="16"/>
        </w:rPr>
        <w:t> </w:t>
      </w:r>
      <w:r>
        <w:rPr>
          <w:color w:val="231F20"/>
          <w:sz w:val="16"/>
        </w:rPr>
        <w:t>of</w:t>
      </w:r>
      <w:r>
        <w:rPr>
          <w:color w:val="231F20"/>
          <w:spacing w:val="-6"/>
          <w:sz w:val="16"/>
        </w:rPr>
        <w:t> </w:t>
      </w:r>
      <w:r>
        <w:rPr>
          <w:color w:val="231F20"/>
          <w:sz w:val="16"/>
        </w:rPr>
        <w:t>optical</w:t>
      </w:r>
      <w:r>
        <w:rPr>
          <w:color w:val="231F20"/>
          <w:spacing w:val="-7"/>
          <w:sz w:val="16"/>
        </w:rPr>
        <w:t> </w:t>
      </w:r>
      <w:r>
        <w:rPr>
          <w:color w:val="231F20"/>
          <w:sz w:val="16"/>
        </w:rPr>
        <w:t>coherence</w:t>
      </w:r>
      <w:r>
        <w:rPr>
          <w:color w:val="231F20"/>
          <w:spacing w:val="-7"/>
          <w:sz w:val="16"/>
        </w:rPr>
        <w:t> </w:t>
      </w:r>
      <w:r>
        <w:rPr>
          <w:color w:val="231F20"/>
          <w:sz w:val="16"/>
        </w:rPr>
        <w:t>to-</w:t>
      </w:r>
      <w:r>
        <w:rPr>
          <w:color w:val="231F20"/>
          <w:spacing w:val="40"/>
          <w:sz w:val="16"/>
        </w:rPr>
        <w:t> </w:t>
      </w:r>
      <w:r>
        <w:rPr>
          <w:color w:val="231F20"/>
          <w:sz w:val="16"/>
        </w:rPr>
        <w:t>mography in neurology. Rev Neurol Dis 2009;6:105–120.</w:t>
      </w:r>
    </w:p>
    <w:p>
      <w:pPr>
        <w:pStyle w:val="BodyText"/>
        <w:spacing w:before="68"/>
        <w:rPr>
          <w:sz w:val="16"/>
        </w:rPr>
      </w:pPr>
    </w:p>
    <w:p>
      <w:pPr>
        <w:pStyle w:val="Heading1"/>
        <w:spacing w:line="244" w:lineRule="auto"/>
        <w:ind w:left="1413" w:right="204" w:hanging="1069"/>
        <w:jc w:val="left"/>
      </w:pPr>
      <w:r>
        <w:rPr>
          <w:color w:val="231F20"/>
          <w:w w:val="105"/>
        </w:rPr>
        <w:t>Acute Renal Failure in Patients with </w:t>
      </w:r>
      <w:r>
        <w:rPr>
          <w:color w:val="231F20"/>
          <w:w w:val="105"/>
        </w:rPr>
        <w:t>Bilateral Deep Brain Stimulation</w:t>
      </w:r>
    </w:p>
    <w:p>
      <w:pPr>
        <w:pStyle w:val="BodyText"/>
        <w:spacing w:line="230" w:lineRule="auto" w:before="148"/>
        <w:ind w:left="256" w:right="216" w:firstLine="199"/>
        <w:jc w:val="both"/>
      </w:pPr>
      <w:r>
        <w:rPr>
          <w:color w:val="231F20"/>
        </w:rPr>
        <w:t>The management of Parkinson’s disease is mainly </w:t>
      </w:r>
      <w:r>
        <w:rPr>
          <w:color w:val="231F20"/>
        </w:rPr>
        <w:t>pharma- cological with levodopa but in recent years, surgery [deep</w:t>
      </w:r>
      <w:r>
        <w:rPr>
          <w:color w:val="231F20"/>
          <w:spacing w:val="40"/>
        </w:rPr>
        <w:t> </w:t>
      </w:r>
      <w:r>
        <w:rPr>
          <w:color w:val="231F20"/>
        </w:rPr>
        <w:t>brain stimulation of the subthalamic nucleus (STN-DBS)] has been revitalized for the treatment of patients with uncontrol- lable motor complications.</w:t>
      </w:r>
      <w:r>
        <w:rPr>
          <w:color w:val="231F20"/>
          <w:vertAlign w:val="superscript"/>
        </w:rPr>
        <w:t>1</w:t>
      </w:r>
    </w:p>
    <w:p>
      <w:pPr>
        <w:pStyle w:val="BodyText"/>
        <w:spacing w:line="230" w:lineRule="auto" w:before="3"/>
        <w:ind w:left="256" w:right="217" w:firstLine="199"/>
        <w:jc w:val="both"/>
      </w:pPr>
      <w:r>
        <w:rPr>
          <w:color w:val="231F20"/>
        </w:rPr>
        <w:t>A large proportion of patients suffering from </w:t>
      </w:r>
      <w:r>
        <w:rPr>
          <w:color w:val="231F20"/>
        </w:rPr>
        <w:t>Parkinson’s disease presents with urinary dysfunction described as</w:t>
      </w:r>
      <w:r>
        <w:rPr>
          <w:color w:val="231F20"/>
          <w:spacing w:val="40"/>
        </w:rPr>
        <w:t> </w:t>
      </w:r>
      <w:r>
        <w:rPr>
          <w:color w:val="231F20"/>
        </w:rPr>
        <w:t>urgency, increased frequency or incontinence as predominant symptoms</w:t>
      </w:r>
      <w:r>
        <w:rPr>
          <w:color w:val="231F20"/>
          <w:vertAlign w:val="superscript"/>
        </w:rPr>
        <w:t>2,3</w:t>
      </w:r>
      <w:r>
        <w:rPr>
          <w:color w:val="231F20"/>
          <w:vertAlign w:val="baseline"/>
        </w:rPr>
        <w:t> and also STN-DBS has proven to improve uri- nary function.</w:t>
      </w:r>
      <w:r>
        <w:rPr>
          <w:color w:val="231F20"/>
          <w:vertAlign w:val="superscript"/>
        </w:rPr>
        <w:t>4</w:t>
      </w:r>
      <w:r>
        <w:rPr>
          <w:color w:val="231F20"/>
          <w:vertAlign w:val="baseline"/>
        </w:rPr>
        <w:t> Data from experimental urodynamic measures in men and animal models have demonstrated a signiﬁcant inﬂuence</w:t>
      </w:r>
      <w:r>
        <w:rPr>
          <w:color w:val="231F20"/>
          <w:spacing w:val="40"/>
          <w:vertAlign w:val="baseline"/>
        </w:rPr>
        <w:t> </w:t>
      </w:r>
      <w:r>
        <w:rPr>
          <w:color w:val="231F20"/>
          <w:vertAlign w:val="baseline"/>
        </w:rPr>
        <w:t>of</w:t>
      </w:r>
      <w:r>
        <w:rPr>
          <w:color w:val="231F20"/>
          <w:spacing w:val="40"/>
          <w:vertAlign w:val="baseline"/>
        </w:rPr>
        <w:t> </w:t>
      </w:r>
      <w:r>
        <w:rPr>
          <w:color w:val="231F20"/>
          <w:vertAlign w:val="baseline"/>
        </w:rPr>
        <w:t>STN-DBS</w:t>
      </w:r>
      <w:r>
        <w:rPr>
          <w:color w:val="231F20"/>
          <w:spacing w:val="40"/>
          <w:vertAlign w:val="baseline"/>
        </w:rPr>
        <w:t> </w:t>
      </w:r>
      <w:r>
        <w:rPr>
          <w:color w:val="231F20"/>
          <w:vertAlign w:val="baseline"/>
        </w:rPr>
        <w:t>on</w:t>
      </w:r>
      <w:r>
        <w:rPr>
          <w:color w:val="231F20"/>
          <w:spacing w:val="40"/>
          <w:vertAlign w:val="baseline"/>
        </w:rPr>
        <w:t> </w:t>
      </w:r>
      <w:r>
        <w:rPr>
          <w:color w:val="231F20"/>
          <w:vertAlign w:val="baseline"/>
        </w:rPr>
        <w:t>urinary</w:t>
      </w:r>
      <w:r>
        <w:rPr>
          <w:color w:val="231F20"/>
          <w:spacing w:val="40"/>
          <w:vertAlign w:val="baseline"/>
        </w:rPr>
        <w:t> </w:t>
      </w:r>
      <w:r>
        <w:rPr>
          <w:color w:val="231F20"/>
          <w:vertAlign w:val="baseline"/>
        </w:rPr>
        <w:t>bladder</w:t>
      </w:r>
      <w:r>
        <w:rPr>
          <w:color w:val="231F20"/>
          <w:spacing w:val="40"/>
          <w:vertAlign w:val="baseline"/>
        </w:rPr>
        <w:t> </w:t>
      </w:r>
      <w:r>
        <w:rPr>
          <w:color w:val="231F20"/>
          <w:vertAlign w:val="baseline"/>
        </w:rPr>
        <w:t>function.</w:t>
      </w:r>
      <w:r>
        <w:rPr>
          <w:color w:val="231F20"/>
          <w:vertAlign w:val="superscript"/>
        </w:rPr>
        <w:t>5,6</w:t>
      </w:r>
      <w:r>
        <w:rPr>
          <w:color w:val="231F20"/>
          <w:spacing w:val="40"/>
          <w:vertAlign w:val="baseline"/>
        </w:rPr>
        <w:t> </w:t>
      </w:r>
      <w:r>
        <w:rPr>
          <w:color w:val="231F20"/>
          <w:vertAlign w:val="baseline"/>
        </w:rPr>
        <w:t>In these studies, the main effect of STN-DBS appeared to be a normalization of urodynamic parameters but there is no data reported about kidney function in these patients.</w:t>
      </w:r>
      <w:r>
        <w:rPr>
          <w:color w:val="231F20"/>
          <w:vertAlign w:val="superscript"/>
        </w:rPr>
        <w:t>7</w:t>
      </w:r>
      <w:r>
        <w:rPr>
          <w:color w:val="231F20"/>
          <w:vertAlign w:val="baseline"/>
        </w:rPr>
        <w:t> Despite its clinical efﬁcacy, the manifold physiological consequences of STN-DBS are to date poorly understood.</w:t>
      </w:r>
    </w:p>
    <w:p>
      <w:pPr>
        <w:pStyle w:val="BodyText"/>
        <w:spacing w:line="230" w:lineRule="auto" w:before="7"/>
        <w:ind w:left="256" w:right="217" w:firstLine="199"/>
        <w:jc w:val="both"/>
      </w:pPr>
      <w:r>
        <w:rPr>
          <w:color w:val="231F20"/>
        </w:rPr>
        <w:t>Acute renal failure (ARF) deﬁned as an abrupt or </w:t>
      </w:r>
      <w:r>
        <w:rPr>
          <w:color w:val="231F20"/>
        </w:rPr>
        <w:t>rapid decline in renal ﬁltration function and creatinine clearance (CC) is used to estimate the glomerular ﬁltration rate (GFR). The</w:t>
      </w:r>
      <w:r>
        <w:rPr>
          <w:color w:val="231F20"/>
          <w:spacing w:val="35"/>
        </w:rPr>
        <w:t> </w:t>
      </w:r>
      <w:r>
        <w:rPr>
          <w:color w:val="231F20"/>
        </w:rPr>
        <w:t>CC</w:t>
      </w:r>
      <w:r>
        <w:rPr>
          <w:color w:val="231F20"/>
          <w:spacing w:val="36"/>
        </w:rPr>
        <w:t> </w:t>
      </w:r>
      <w:r>
        <w:rPr>
          <w:color w:val="231F20"/>
        </w:rPr>
        <w:t>test</w:t>
      </w:r>
      <w:r>
        <w:rPr>
          <w:color w:val="231F20"/>
          <w:spacing w:val="35"/>
        </w:rPr>
        <w:t> </w:t>
      </w:r>
      <w:r>
        <w:rPr>
          <w:color w:val="231F20"/>
        </w:rPr>
        <w:t>compares</w:t>
      </w:r>
      <w:r>
        <w:rPr>
          <w:color w:val="231F20"/>
          <w:spacing w:val="35"/>
        </w:rPr>
        <w:t> </w:t>
      </w:r>
      <w:r>
        <w:rPr>
          <w:color w:val="231F20"/>
        </w:rPr>
        <w:t>the</w:t>
      </w:r>
      <w:r>
        <w:rPr>
          <w:color w:val="231F20"/>
          <w:spacing w:val="34"/>
        </w:rPr>
        <w:t> </w:t>
      </w:r>
      <w:r>
        <w:rPr>
          <w:color w:val="231F20"/>
        </w:rPr>
        <w:t>level</w:t>
      </w:r>
      <w:r>
        <w:rPr>
          <w:color w:val="231F20"/>
          <w:spacing w:val="35"/>
        </w:rPr>
        <w:t> </w:t>
      </w:r>
      <w:r>
        <w:rPr>
          <w:color w:val="231F20"/>
        </w:rPr>
        <w:t>of</w:t>
      </w:r>
      <w:r>
        <w:rPr>
          <w:color w:val="231F20"/>
          <w:spacing w:val="35"/>
        </w:rPr>
        <w:t> </w:t>
      </w:r>
      <w:r>
        <w:rPr>
          <w:color w:val="231F20"/>
        </w:rPr>
        <w:t>creatinine</w:t>
      </w:r>
      <w:r>
        <w:rPr>
          <w:color w:val="231F20"/>
          <w:spacing w:val="36"/>
        </w:rPr>
        <w:t> </w:t>
      </w:r>
      <w:r>
        <w:rPr>
          <w:color w:val="231F20"/>
        </w:rPr>
        <w:t>in</w:t>
      </w:r>
      <w:r>
        <w:rPr>
          <w:color w:val="231F20"/>
          <w:spacing w:val="35"/>
        </w:rPr>
        <w:t> </w:t>
      </w:r>
      <w:r>
        <w:rPr>
          <w:color w:val="231F20"/>
        </w:rPr>
        <w:t>urine</w:t>
      </w:r>
      <w:r>
        <w:rPr>
          <w:color w:val="231F20"/>
          <w:spacing w:val="34"/>
        </w:rPr>
        <w:t> </w:t>
      </w:r>
      <w:r>
        <w:rPr>
          <w:color w:val="231F20"/>
        </w:rPr>
        <w:t>with the creatinine level in the blood, usually based on measure- ments of a 24-hour urine sample. GFR has never been stud-</w:t>
      </w:r>
      <w:r>
        <w:rPr>
          <w:color w:val="231F20"/>
          <w:spacing w:val="80"/>
        </w:rPr>
        <w:t> </w:t>
      </w:r>
      <w:r>
        <w:rPr>
          <w:color w:val="231F20"/>
        </w:rPr>
        <w:t>ied in Parkinson patients with normal preoperative renal function immediately after STN-DBS. Here, we report a decline in renal ﬁltration function after STN-DBS.</w:t>
      </w:r>
    </w:p>
    <w:p>
      <w:pPr>
        <w:pStyle w:val="BodyText"/>
        <w:spacing w:line="230" w:lineRule="auto" w:before="4"/>
        <w:ind w:left="256" w:right="216" w:firstLine="199"/>
        <w:jc w:val="both"/>
      </w:pPr>
      <w:r>
        <w:rPr>
          <w:color w:val="231F20"/>
        </w:rPr>
        <w:t>Nineteen patients (15 men and four women) with a </w:t>
      </w:r>
      <w:r>
        <w:rPr>
          <w:color w:val="231F20"/>
        </w:rPr>
        <w:t>mean (</w:t>
      </w:r>
      <w:r>
        <w:rPr>
          <w:rFonts w:ascii="Arial" w:hAnsi="Arial"/>
          <w:color w:val="231F20"/>
        </w:rPr>
        <w:t>6</w:t>
      </w:r>
      <w:r>
        <w:rPr>
          <w:color w:val="231F20"/>
        </w:rPr>
        <w:t>SD)</w:t>
      </w:r>
      <w:r>
        <w:rPr>
          <w:color w:val="231F20"/>
          <w:spacing w:val="40"/>
        </w:rPr>
        <w:t> </w:t>
      </w:r>
      <w:r>
        <w:rPr>
          <w:color w:val="231F20"/>
        </w:rPr>
        <w:t>age</w:t>
      </w:r>
      <w:r>
        <w:rPr>
          <w:color w:val="231F20"/>
          <w:spacing w:val="40"/>
        </w:rPr>
        <w:t> </w:t>
      </w:r>
      <w:r>
        <w:rPr>
          <w:color w:val="231F20"/>
        </w:rPr>
        <w:t>of</w:t>
      </w:r>
      <w:r>
        <w:rPr>
          <w:color w:val="231F20"/>
          <w:spacing w:val="40"/>
        </w:rPr>
        <w:t> </w:t>
      </w:r>
      <w:r>
        <w:rPr>
          <w:color w:val="231F20"/>
        </w:rPr>
        <w:t>63</w:t>
      </w:r>
      <w:r>
        <w:rPr>
          <w:color w:val="231F20"/>
          <w:spacing w:val="38"/>
          <w:w w:val="120"/>
        </w:rPr>
        <w:t> </w:t>
      </w:r>
      <w:r>
        <w:rPr>
          <w:rFonts w:ascii="Arial" w:hAnsi="Arial"/>
          <w:color w:val="231F20"/>
          <w:w w:val="120"/>
        </w:rPr>
        <w:t>6</w:t>
      </w:r>
      <w:r>
        <w:rPr>
          <w:rFonts w:ascii="Arial" w:hAnsi="Arial"/>
          <w:color w:val="231F20"/>
          <w:w w:val="120"/>
        </w:rPr>
        <w:t> </w:t>
      </w:r>
      <w:r>
        <w:rPr>
          <w:color w:val="231F20"/>
        </w:rPr>
        <w:t>7</w:t>
      </w:r>
      <w:r>
        <w:rPr>
          <w:color w:val="231F20"/>
          <w:spacing w:val="40"/>
        </w:rPr>
        <w:t> </w:t>
      </w:r>
      <w:r>
        <w:rPr>
          <w:color w:val="231F20"/>
        </w:rPr>
        <w:t>years</w:t>
      </w:r>
      <w:r>
        <w:rPr>
          <w:color w:val="231F20"/>
          <w:spacing w:val="40"/>
        </w:rPr>
        <w:t> </w:t>
      </w:r>
      <w:r>
        <w:rPr>
          <w:color w:val="231F20"/>
        </w:rPr>
        <w:t>at</w:t>
      </w:r>
      <w:r>
        <w:rPr>
          <w:color w:val="231F20"/>
          <w:spacing w:val="40"/>
        </w:rPr>
        <w:t> </w:t>
      </w:r>
      <w:r>
        <w:rPr>
          <w:color w:val="231F20"/>
        </w:rPr>
        <w:t>the</w:t>
      </w:r>
      <w:r>
        <w:rPr>
          <w:color w:val="231F20"/>
          <w:spacing w:val="40"/>
        </w:rPr>
        <w:t> </w:t>
      </w:r>
      <w:r>
        <w:rPr>
          <w:color w:val="231F20"/>
        </w:rPr>
        <w:t>time</w:t>
      </w:r>
      <w:r>
        <w:rPr>
          <w:color w:val="231F20"/>
          <w:spacing w:val="40"/>
        </w:rPr>
        <w:t> </w:t>
      </w:r>
      <w:r>
        <w:rPr>
          <w:color w:val="231F20"/>
        </w:rPr>
        <w:t>of</w:t>
      </w:r>
      <w:r>
        <w:rPr>
          <w:color w:val="231F20"/>
          <w:spacing w:val="40"/>
        </w:rPr>
        <w:t> </w:t>
      </w:r>
      <w:r>
        <w:rPr>
          <w:color w:val="231F20"/>
        </w:rPr>
        <w:t>surgery</w:t>
      </w:r>
      <w:r>
        <w:rPr>
          <w:color w:val="231F20"/>
          <w:spacing w:val="40"/>
        </w:rPr>
        <w:t> </w:t>
      </w:r>
      <w:r>
        <w:rPr>
          <w:color w:val="231F20"/>
        </w:rPr>
        <w:t>and</w:t>
      </w:r>
      <w:r>
        <w:rPr>
          <w:color w:val="231F20"/>
          <w:spacing w:val="40"/>
        </w:rPr>
        <w:t> </w:t>
      </w:r>
      <w:r>
        <w:rPr>
          <w:color w:val="231F20"/>
        </w:rPr>
        <w:t>a mean duration of disease of 16 </w:t>
      </w:r>
      <w:r>
        <w:rPr>
          <w:rFonts w:ascii="Arial" w:hAnsi="Arial"/>
          <w:color w:val="231F20"/>
          <w:w w:val="120"/>
        </w:rPr>
        <w:t>6</w:t>
      </w:r>
      <w:r>
        <w:rPr>
          <w:rFonts w:ascii="Arial" w:hAnsi="Arial"/>
          <w:color w:val="231F20"/>
          <w:w w:val="120"/>
        </w:rPr>
        <w:t> </w:t>
      </w:r>
      <w:r>
        <w:rPr>
          <w:color w:val="231F20"/>
        </w:rPr>
        <w:t>9 years were selected for implantation of electrodes in the STN. The selection criteria were clinically diagnosed Parkinson’s disease, severe levo- dopa-related motor complications despite optimal adjustment of</w:t>
      </w:r>
      <w:r>
        <w:rPr>
          <w:color w:val="231F20"/>
          <w:spacing w:val="45"/>
        </w:rPr>
        <w:t> </w:t>
      </w:r>
      <w:r>
        <w:rPr>
          <w:color w:val="231F20"/>
        </w:rPr>
        <w:t>antiparkinsonian</w:t>
      </w:r>
      <w:r>
        <w:rPr>
          <w:color w:val="231F20"/>
          <w:spacing w:val="47"/>
        </w:rPr>
        <w:t> </w:t>
      </w:r>
      <w:r>
        <w:rPr>
          <w:color w:val="231F20"/>
        </w:rPr>
        <w:t>medication,</w:t>
      </w:r>
      <w:r>
        <w:rPr>
          <w:color w:val="231F20"/>
          <w:spacing w:val="47"/>
        </w:rPr>
        <w:t> </w:t>
      </w:r>
      <w:r>
        <w:rPr>
          <w:color w:val="231F20"/>
        </w:rPr>
        <w:t>an</w:t>
      </w:r>
      <w:r>
        <w:rPr>
          <w:color w:val="231F20"/>
          <w:spacing w:val="46"/>
        </w:rPr>
        <w:t> </w:t>
      </w:r>
      <w:r>
        <w:rPr>
          <w:color w:val="231F20"/>
        </w:rPr>
        <w:t>age</w:t>
      </w:r>
      <w:r>
        <w:rPr>
          <w:color w:val="231F20"/>
          <w:spacing w:val="46"/>
        </w:rPr>
        <w:t> </w:t>
      </w:r>
      <w:r>
        <w:rPr>
          <w:color w:val="231F20"/>
        </w:rPr>
        <w:t>under</w:t>
      </w:r>
      <w:r>
        <w:rPr>
          <w:color w:val="231F20"/>
          <w:spacing w:val="46"/>
        </w:rPr>
        <w:t> </w:t>
      </w:r>
      <w:r>
        <w:rPr>
          <w:color w:val="231F20"/>
        </w:rPr>
        <w:t>70</w:t>
      </w:r>
      <w:r>
        <w:rPr>
          <w:color w:val="231F20"/>
          <w:spacing w:val="46"/>
        </w:rPr>
        <w:t> </w:t>
      </w:r>
      <w:r>
        <w:rPr>
          <w:color w:val="231F20"/>
        </w:rPr>
        <w:t>years,</w:t>
      </w:r>
      <w:r>
        <w:rPr>
          <w:color w:val="231F20"/>
          <w:spacing w:val="46"/>
        </w:rPr>
        <w:t> </w:t>
      </w:r>
      <w:r>
        <w:rPr>
          <w:color w:val="231F20"/>
          <w:spacing w:val="-5"/>
        </w:rPr>
        <w:t>no</w:t>
      </w:r>
    </w:p>
    <w:p>
      <w:pPr>
        <w:pStyle w:val="BodyText"/>
        <w:spacing w:after="0" w:line="230" w:lineRule="auto"/>
        <w:jc w:val="both"/>
        <w:sectPr>
          <w:type w:val="continuous"/>
          <w:pgSz w:w="12240" w:h="16200"/>
          <w:pgMar w:top="1060" w:bottom="280" w:left="1080" w:right="1080"/>
          <w:cols w:num="2" w:equalWidth="0">
            <w:col w:w="4861" w:space="180"/>
            <w:col w:w="5039"/>
          </w:cols>
        </w:sectPr>
      </w:pPr>
    </w:p>
    <w:p>
      <w:pPr>
        <w:tabs>
          <w:tab w:pos="5297" w:val="left" w:leader="none"/>
          <w:tab w:pos="9860" w:val="left" w:leader="none"/>
        </w:tabs>
        <w:spacing w:line="180" w:lineRule="exact" w:before="0"/>
        <w:ind w:left="504" w:right="0" w:firstLine="0"/>
        <w:jc w:val="left"/>
        <w:rPr>
          <w:sz w:val="16"/>
        </w:rPr>
      </w:pPr>
      <w:r>
        <w:rPr>
          <w:color w:val="231F20"/>
          <w:sz w:val="16"/>
        </w:rPr>
        <w:t>layer</w:t>
      </w:r>
      <w:r>
        <w:rPr>
          <w:color w:val="231F20"/>
          <w:spacing w:val="27"/>
          <w:sz w:val="16"/>
        </w:rPr>
        <w:t> </w:t>
      </w:r>
      <w:r>
        <w:rPr>
          <w:color w:val="231F20"/>
          <w:sz w:val="16"/>
        </w:rPr>
        <w:t>thinning</w:t>
      </w:r>
      <w:r>
        <w:rPr>
          <w:color w:val="231F20"/>
          <w:spacing w:val="27"/>
          <w:sz w:val="16"/>
        </w:rPr>
        <w:t> </w:t>
      </w:r>
      <w:r>
        <w:rPr>
          <w:color w:val="231F20"/>
          <w:sz w:val="16"/>
        </w:rPr>
        <w:t>in</w:t>
      </w:r>
      <w:r>
        <w:rPr>
          <w:color w:val="231F20"/>
          <w:spacing w:val="28"/>
          <w:sz w:val="16"/>
        </w:rPr>
        <w:t> </w:t>
      </w:r>
      <w:r>
        <w:rPr>
          <w:color w:val="231F20"/>
          <w:sz w:val="16"/>
        </w:rPr>
        <w:t>Parkinson</w:t>
      </w:r>
      <w:r>
        <w:rPr>
          <w:color w:val="231F20"/>
          <w:spacing w:val="27"/>
          <w:sz w:val="16"/>
        </w:rPr>
        <w:t> </w:t>
      </w:r>
      <w:r>
        <w:rPr>
          <w:color w:val="231F20"/>
          <w:sz w:val="16"/>
        </w:rPr>
        <w:t>disease.</w:t>
      </w:r>
      <w:r>
        <w:rPr>
          <w:color w:val="231F20"/>
          <w:spacing w:val="27"/>
          <w:sz w:val="16"/>
        </w:rPr>
        <w:t> </w:t>
      </w:r>
      <w:r>
        <w:rPr>
          <w:color w:val="231F20"/>
          <w:sz w:val="16"/>
        </w:rPr>
        <w:t>Vision</w:t>
      </w:r>
      <w:r>
        <w:rPr>
          <w:color w:val="231F20"/>
          <w:spacing w:val="27"/>
          <w:sz w:val="16"/>
        </w:rPr>
        <w:t> </w:t>
      </w:r>
      <w:r>
        <w:rPr>
          <w:color w:val="231F20"/>
          <w:sz w:val="16"/>
        </w:rPr>
        <w:t>Res</w:t>
      </w:r>
      <w:r>
        <w:rPr>
          <w:color w:val="231F20"/>
          <w:spacing w:val="27"/>
          <w:sz w:val="16"/>
        </w:rPr>
        <w:t> </w:t>
      </w:r>
      <w:r>
        <w:rPr>
          <w:color w:val="231F20"/>
          <w:sz w:val="16"/>
        </w:rPr>
        <w:t>2004;44:</w:t>
      </w:r>
      <w:r>
        <w:rPr>
          <w:color w:val="231F20"/>
          <w:spacing w:val="27"/>
          <w:sz w:val="16"/>
        </w:rPr>
        <w:t> </w:t>
      </w:r>
      <w:r>
        <w:rPr>
          <w:color w:val="231F20"/>
          <w:spacing w:val="-2"/>
          <w:sz w:val="16"/>
        </w:rPr>
        <w:t>2793–</w:t>
      </w:r>
      <w:r>
        <w:rPr>
          <w:color w:val="231F20"/>
          <w:sz w:val="16"/>
        </w:rPr>
        <w:tab/>
      </w:r>
      <w:r>
        <w:rPr>
          <w:color w:val="231F20"/>
          <w:sz w:val="16"/>
          <w:u w:val="single" w:color="231F20"/>
        </w:rPr>
        <w:tab/>
      </w:r>
    </w:p>
    <w:p>
      <w:pPr>
        <w:spacing w:after="0" w:line="180" w:lineRule="exact"/>
        <w:jc w:val="left"/>
        <w:rPr>
          <w:sz w:val="16"/>
        </w:rPr>
        <w:sectPr>
          <w:type w:val="continuous"/>
          <w:pgSz w:w="12240" w:h="16200"/>
          <w:pgMar w:top="1060" w:bottom="280" w:left="1080" w:right="1080"/>
        </w:sectPr>
      </w:pPr>
    </w:p>
    <w:p>
      <w:pPr>
        <w:spacing w:line="177" w:lineRule="exact" w:before="0"/>
        <w:ind w:left="504" w:right="0" w:firstLine="0"/>
        <w:jc w:val="left"/>
        <w:rPr>
          <w:sz w:val="16"/>
        </w:rPr>
      </w:pPr>
      <w:r>
        <w:rPr>
          <w:color w:val="231F20"/>
          <w:spacing w:val="-2"/>
          <w:sz w:val="16"/>
        </w:rPr>
        <w:t>2797.</w:t>
      </w:r>
    </w:p>
    <w:p>
      <w:pPr>
        <w:pStyle w:val="ListParagraph"/>
        <w:numPr>
          <w:ilvl w:val="0"/>
          <w:numId w:val="1"/>
        </w:numPr>
        <w:tabs>
          <w:tab w:pos="502" w:val="left" w:leader="none"/>
          <w:tab w:pos="504" w:val="left" w:leader="none"/>
        </w:tabs>
        <w:spacing w:line="232" w:lineRule="auto" w:before="2" w:after="0"/>
        <w:ind w:left="504" w:right="38" w:hanging="248"/>
        <w:jc w:val="both"/>
        <w:rPr>
          <w:sz w:val="16"/>
        </w:rPr>
      </w:pPr>
      <w:r>
        <w:rPr>
          <w:color w:val="231F20"/>
          <w:sz w:val="16"/>
        </w:rPr>
        <w:t>El-Ashry M, Hegde V, James P, Pagliarini S. Analysis of </w:t>
      </w:r>
      <w:r>
        <w:rPr>
          <w:color w:val="231F20"/>
          <w:sz w:val="16"/>
        </w:rPr>
        <w:t>macular</w:t>
      </w:r>
      <w:r>
        <w:rPr>
          <w:color w:val="231F20"/>
          <w:spacing w:val="40"/>
          <w:sz w:val="16"/>
        </w:rPr>
        <w:t> </w:t>
      </w:r>
      <w:r>
        <w:rPr>
          <w:color w:val="231F20"/>
          <w:sz w:val="16"/>
        </w:rPr>
        <w:t>thickness</w:t>
      </w:r>
      <w:r>
        <w:rPr>
          <w:color w:val="231F20"/>
          <w:spacing w:val="-7"/>
          <w:sz w:val="16"/>
        </w:rPr>
        <w:t> </w:t>
      </w:r>
      <w:r>
        <w:rPr>
          <w:color w:val="231F20"/>
          <w:sz w:val="16"/>
        </w:rPr>
        <w:t>in</w:t>
      </w:r>
      <w:r>
        <w:rPr>
          <w:color w:val="231F20"/>
          <w:spacing w:val="-7"/>
          <w:sz w:val="16"/>
        </w:rPr>
        <w:t> </w:t>
      </w:r>
      <w:r>
        <w:rPr>
          <w:color w:val="231F20"/>
          <w:sz w:val="16"/>
        </w:rPr>
        <w:t>British</w:t>
      </w:r>
      <w:r>
        <w:rPr>
          <w:color w:val="231F20"/>
          <w:spacing w:val="-6"/>
          <w:sz w:val="16"/>
        </w:rPr>
        <w:t> </w:t>
      </w:r>
      <w:r>
        <w:rPr>
          <w:color w:val="231F20"/>
          <w:sz w:val="16"/>
        </w:rPr>
        <w:t>population</w:t>
      </w:r>
      <w:r>
        <w:rPr>
          <w:color w:val="231F20"/>
          <w:spacing w:val="-6"/>
          <w:sz w:val="16"/>
        </w:rPr>
        <w:t> </w:t>
      </w:r>
      <w:r>
        <w:rPr>
          <w:color w:val="231F20"/>
          <w:sz w:val="16"/>
        </w:rPr>
        <w:t>using</w:t>
      </w:r>
      <w:r>
        <w:rPr>
          <w:color w:val="231F20"/>
          <w:spacing w:val="-6"/>
          <w:sz w:val="16"/>
        </w:rPr>
        <w:t> </w:t>
      </w:r>
      <w:r>
        <w:rPr>
          <w:color w:val="231F20"/>
          <w:sz w:val="16"/>
        </w:rPr>
        <w:t>optical</w:t>
      </w:r>
      <w:r>
        <w:rPr>
          <w:color w:val="231F20"/>
          <w:spacing w:val="-7"/>
          <w:sz w:val="16"/>
        </w:rPr>
        <w:t> </w:t>
      </w:r>
      <w:r>
        <w:rPr>
          <w:color w:val="231F20"/>
          <w:sz w:val="16"/>
        </w:rPr>
        <w:t>coherence</w:t>
      </w:r>
      <w:r>
        <w:rPr>
          <w:color w:val="231F20"/>
          <w:spacing w:val="-7"/>
          <w:sz w:val="16"/>
        </w:rPr>
        <w:t> </w:t>
      </w:r>
      <w:r>
        <w:rPr>
          <w:color w:val="231F20"/>
          <w:sz w:val="16"/>
        </w:rPr>
        <w:t>tomography</w:t>
      </w:r>
      <w:r>
        <w:rPr>
          <w:color w:val="231F20"/>
          <w:spacing w:val="40"/>
          <w:sz w:val="16"/>
        </w:rPr>
        <w:t> </w:t>
      </w:r>
      <w:r>
        <w:rPr>
          <w:color w:val="231F20"/>
          <w:sz w:val="16"/>
        </w:rPr>
        <w:t>(OCT): an emphasis on interocular symmetry. Curr Eye Res</w:t>
      </w:r>
      <w:r>
        <w:rPr>
          <w:color w:val="231F20"/>
          <w:spacing w:val="40"/>
          <w:sz w:val="16"/>
        </w:rPr>
        <w:t> </w:t>
      </w:r>
      <w:r>
        <w:rPr>
          <w:color w:val="231F20"/>
          <w:spacing w:val="-2"/>
          <w:sz w:val="16"/>
        </w:rPr>
        <w:t>2008;33:693–699.</w:t>
      </w:r>
    </w:p>
    <w:p>
      <w:pPr>
        <w:spacing w:line="232" w:lineRule="auto" w:before="0"/>
        <w:ind w:left="256" w:right="216" w:firstLine="159"/>
        <w:jc w:val="both"/>
        <w:rPr>
          <w:sz w:val="16"/>
        </w:rPr>
      </w:pPr>
      <w:r>
        <w:rPr/>
        <w:br w:type="column"/>
      </w:r>
      <w:r>
        <w:rPr>
          <w:color w:val="231F20"/>
          <w:sz w:val="16"/>
        </w:rPr>
        <w:t>Potential conﬂict of interest: There is no potential conﬂicts of</w:t>
      </w:r>
      <w:r>
        <w:rPr>
          <w:color w:val="231F20"/>
          <w:spacing w:val="40"/>
          <w:sz w:val="16"/>
        </w:rPr>
        <w:t> </w:t>
      </w:r>
      <w:r>
        <w:rPr>
          <w:color w:val="231F20"/>
          <w:sz w:val="16"/>
        </w:rPr>
        <w:t>interest from each author that relate to the research covered in the</w:t>
      </w:r>
      <w:r>
        <w:rPr>
          <w:color w:val="231F20"/>
          <w:spacing w:val="40"/>
          <w:sz w:val="16"/>
        </w:rPr>
        <w:t> </w:t>
      </w:r>
      <w:r>
        <w:rPr>
          <w:color w:val="231F20"/>
          <w:sz w:val="16"/>
        </w:rPr>
        <w:t>article submitted.</w:t>
      </w:r>
    </w:p>
    <w:p>
      <w:pPr>
        <w:spacing w:line="232" w:lineRule="auto" w:before="1"/>
        <w:ind w:left="256" w:right="216" w:firstLine="159"/>
        <w:jc w:val="both"/>
        <w:rPr>
          <w:sz w:val="16"/>
        </w:rPr>
      </w:pPr>
      <w:r>
        <w:rPr>
          <w:color w:val="231F20"/>
          <w:w w:val="105"/>
          <w:sz w:val="16"/>
        </w:rPr>
        <w:t>Published</w:t>
      </w:r>
      <w:r>
        <w:rPr>
          <w:color w:val="231F20"/>
          <w:w w:val="105"/>
          <w:sz w:val="16"/>
        </w:rPr>
        <w:t> online</w:t>
      </w:r>
      <w:r>
        <w:rPr>
          <w:color w:val="231F20"/>
          <w:w w:val="105"/>
          <w:sz w:val="16"/>
        </w:rPr>
        <w:t> 28</w:t>
      </w:r>
      <w:r>
        <w:rPr>
          <w:color w:val="231F20"/>
          <w:w w:val="105"/>
          <w:sz w:val="16"/>
        </w:rPr>
        <w:t> July</w:t>
      </w:r>
      <w:r>
        <w:rPr>
          <w:color w:val="231F20"/>
          <w:w w:val="105"/>
          <w:sz w:val="16"/>
        </w:rPr>
        <w:t> 2010</w:t>
      </w:r>
      <w:r>
        <w:rPr>
          <w:color w:val="231F20"/>
          <w:w w:val="105"/>
          <w:sz w:val="16"/>
        </w:rPr>
        <w:t> in</w:t>
      </w:r>
      <w:r>
        <w:rPr>
          <w:color w:val="231F20"/>
          <w:w w:val="105"/>
          <w:sz w:val="16"/>
        </w:rPr>
        <w:t> Wiley</w:t>
      </w:r>
      <w:r>
        <w:rPr>
          <w:color w:val="231F20"/>
          <w:w w:val="105"/>
          <w:sz w:val="16"/>
        </w:rPr>
        <w:t> Online</w:t>
      </w:r>
      <w:r>
        <w:rPr>
          <w:color w:val="231F20"/>
          <w:w w:val="105"/>
          <w:sz w:val="16"/>
        </w:rPr>
        <w:t> </w:t>
      </w:r>
      <w:r>
        <w:rPr>
          <w:color w:val="231F20"/>
          <w:w w:val="105"/>
          <w:sz w:val="16"/>
        </w:rPr>
        <w:t>Library (wileyonlinelibrary.com).</w:t>
      </w:r>
      <w:r>
        <w:rPr>
          <w:color w:val="231F20"/>
          <w:spacing w:val="40"/>
          <w:w w:val="105"/>
          <w:sz w:val="16"/>
        </w:rPr>
        <w:t> </w:t>
      </w:r>
      <w:r>
        <w:rPr>
          <w:color w:val="231F20"/>
          <w:w w:val="105"/>
          <w:sz w:val="16"/>
        </w:rPr>
        <w:t>DOI: 10.1002/mds.23228</w:t>
      </w:r>
    </w:p>
    <w:p>
      <w:pPr>
        <w:spacing w:after="0" w:line="232" w:lineRule="auto"/>
        <w:jc w:val="both"/>
        <w:rPr>
          <w:sz w:val="16"/>
        </w:rPr>
        <w:sectPr>
          <w:type w:val="continuous"/>
          <w:pgSz w:w="12240" w:h="16200"/>
          <w:pgMar w:top="1060" w:bottom="280" w:left="1080" w:right="1080"/>
          <w:cols w:num="2" w:equalWidth="0">
            <w:col w:w="4862" w:space="179"/>
            <w:col w:w="5039"/>
          </w:cols>
        </w:sectPr>
      </w:pPr>
    </w:p>
    <w:p>
      <w:pPr>
        <w:pStyle w:val="BodyText"/>
        <w:rPr>
          <w:sz w:val="14"/>
        </w:rPr>
      </w:pPr>
      <w:r>
        <w:rPr>
          <w:sz w:val="14"/>
        </w:rPr>
        <mc:AlternateContent>
          <mc:Choice Requires="wps">
            <w:drawing>
              <wp:anchor distT="0" distB="0" distL="0" distR="0" allowOverlap="1" layoutInCell="1" locked="0" behindDoc="0" simplePos="0" relativeHeight="15729152">
                <wp:simplePos x="0" y="0"/>
                <wp:positionH relativeFrom="page">
                  <wp:posOffset>7555927</wp:posOffset>
                </wp:positionH>
                <wp:positionV relativeFrom="page">
                  <wp:posOffset>208819</wp:posOffset>
                </wp:positionV>
                <wp:extent cx="95885" cy="987552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95885" cy="9875520"/>
                        </a:xfrm>
                        <a:prstGeom prst="rect">
                          <a:avLst/>
                        </a:prstGeom>
                      </wps:spPr>
                      <wps:txbx>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wps:txbx>
                      <wps:bodyPr wrap="square" lIns="0" tIns="0" rIns="0" bIns="0" rtlCol="0" vert="vert">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94.954956pt;margin-top:16.442499pt;width:7.55pt;height:777.6pt;mso-position-horizontal-relative:page;mso-position-vertical-relative:page;z-index:15729152" type="#_x0000_t202" id="docshape2" filled="false" stroked="false">
                <v:textbox inset="0,0,0,0" style="layout-flow:vertical">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v:textbox>
                <w10:wrap type="none"/>
              </v:shape>
            </w:pict>
          </mc:Fallback>
        </mc:AlternateContent>
      </w:r>
    </w:p>
    <w:p>
      <w:pPr>
        <w:pStyle w:val="BodyText"/>
        <w:rPr>
          <w:sz w:val="14"/>
        </w:rPr>
      </w:pPr>
    </w:p>
    <w:p>
      <w:pPr>
        <w:pStyle w:val="BodyText"/>
        <w:rPr>
          <w:sz w:val="14"/>
        </w:rPr>
      </w:pPr>
    </w:p>
    <w:p>
      <w:pPr>
        <w:pStyle w:val="BodyText"/>
        <w:spacing w:before="40"/>
        <w:rPr>
          <w:sz w:val="14"/>
        </w:rPr>
      </w:pPr>
    </w:p>
    <w:p>
      <w:pPr>
        <w:spacing w:before="0"/>
        <w:ind w:left="256" w:right="0" w:firstLine="0"/>
        <w:jc w:val="left"/>
        <w:rPr>
          <w:i/>
          <w:sz w:val="14"/>
        </w:rPr>
      </w:pPr>
      <w:r>
        <w:rPr>
          <w:i/>
          <w:color w:val="231F20"/>
          <w:sz w:val="14"/>
        </w:rPr>
        <w:t>Movement</w:t>
      </w:r>
      <w:r>
        <w:rPr>
          <w:i/>
          <w:color w:val="231F20"/>
          <w:spacing w:val="8"/>
          <w:sz w:val="14"/>
        </w:rPr>
        <w:t> </w:t>
      </w:r>
      <w:r>
        <w:rPr>
          <w:i/>
          <w:color w:val="231F20"/>
          <w:sz w:val="14"/>
        </w:rPr>
        <w:t>Disorders,</w:t>
      </w:r>
      <w:r>
        <w:rPr>
          <w:i/>
          <w:color w:val="231F20"/>
          <w:spacing w:val="10"/>
          <w:sz w:val="14"/>
        </w:rPr>
        <w:t> </w:t>
      </w:r>
      <w:r>
        <w:rPr>
          <w:i/>
          <w:color w:val="231F20"/>
          <w:sz w:val="14"/>
        </w:rPr>
        <w:t>Vol.</w:t>
      </w:r>
      <w:r>
        <w:rPr>
          <w:i/>
          <w:color w:val="231F20"/>
          <w:spacing w:val="9"/>
          <w:sz w:val="14"/>
        </w:rPr>
        <w:t> </w:t>
      </w:r>
      <w:r>
        <w:rPr>
          <w:i/>
          <w:color w:val="231F20"/>
          <w:sz w:val="14"/>
        </w:rPr>
        <w:t>25,</w:t>
      </w:r>
      <w:r>
        <w:rPr>
          <w:i/>
          <w:color w:val="231F20"/>
          <w:spacing w:val="9"/>
          <w:sz w:val="14"/>
        </w:rPr>
        <w:t> </w:t>
      </w:r>
      <w:r>
        <w:rPr>
          <w:i/>
          <w:color w:val="231F20"/>
          <w:sz w:val="14"/>
        </w:rPr>
        <w:t>No.</w:t>
      </w:r>
      <w:r>
        <w:rPr>
          <w:i/>
          <w:color w:val="231F20"/>
          <w:spacing w:val="8"/>
          <w:sz w:val="14"/>
        </w:rPr>
        <w:t> </w:t>
      </w:r>
      <w:r>
        <w:rPr>
          <w:i/>
          <w:color w:val="231F20"/>
          <w:sz w:val="14"/>
        </w:rPr>
        <w:t>14,</w:t>
      </w:r>
      <w:r>
        <w:rPr>
          <w:i/>
          <w:color w:val="231F20"/>
          <w:spacing w:val="9"/>
          <w:sz w:val="14"/>
        </w:rPr>
        <w:t> </w:t>
      </w:r>
      <w:r>
        <w:rPr>
          <w:i/>
          <w:color w:val="231F20"/>
          <w:spacing w:val="-4"/>
          <w:sz w:val="14"/>
        </w:rPr>
        <w:t>2010</w:t>
      </w:r>
    </w:p>
    <w:p>
      <w:pPr>
        <w:spacing w:after="0"/>
        <w:jc w:val="left"/>
        <w:rPr>
          <w:i/>
          <w:sz w:val="14"/>
        </w:rPr>
        <w:sectPr>
          <w:type w:val="continuous"/>
          <w:pgSz w:w="12240" w:h="16200"/>
          <w:pgMar w:top="1060" w:bottom="280" w:left="1080" w:right="1080"/>
        </w:sectPr>
      </w:pPr>
    </w:p>
    <w:p>
      <w:pPr>
        <w:pStyle w:val="Heading3"/>
        <w:tabs>
          <w:tab w:pos="9859" w:val="right" w:leader="none"/>
        </w:tabs>
      </w:pPr>
      <w:r>
        <w:rPr>
          <w:color w:val="231F20"/>
        </w:rPr>
        <w:t>LETTERS</w:t>
      </w:r>
      <w:r>
        <w:rPr>
          <w:color w:val="231F20"/>
          <w:spacing w:val="12"/>
        </w:rPr>
        <w:t> </w:t>
      </w:r>
      <w:r>
        <w:rPr>
          <w:color w:val="231F20"/>
        </w:rPr>
        <w:t>TO</w:t>
      </w:r>
      <w:r>
        <w:rPr>
          <w:color w:val="231F20"/>
          <w:spacing w:val="10"/>
        </w:rPr>
        <w:t> </w:t>
      </w:r>
      <w:r>
        <w:rPr>
          <w:color w:val="231F20"/>
        </w:rPr>
        <w:t>THE</w:t>
      </w:r>
      <w:r>
        <w:rPr>
          <w:color w:val="231F20"/>
          <w:spacing w:val="11"/>
        </w:rPr>
        <w:t> </w:t>
      </w:r>
      <w:r>
        <w:rPr>
          <w:color w:val="231F20"/>
          <w:spacing w:val="-2"/>
        </w:rPr>
        <w:t>EDITOR</w:t>
      </w:r>
      <w:r>
        <w:rPr>
          <w:i w:val="0"/>
          <w:color w:val="231F20"/>
        </w:rPr>
        <w:tab/>
      </w:r>
      <w:r>
        <w:rPr>
          <w:color w:val="231F20"/>
          <w:spacing w:val="-4"/>
        </w:rPr>
        <w:t>2463</w:t>
      </w:r>
    </w:p>
    <w:p>
      <w:pPr>
        <w:pStyle w:val="Heading3"/>
        <w:spacing w:after="0"/>
        <w:sectPr>
          <w:pgSz w:w="12240" w:h="16200"/>
          <w:pgMar w:top="1040" w:bottom="280" w:left="1080" w:right="1080"/>
        </w:sectPr>
      </w:pPr>
    </w:p>
    <w:p>
      <w:pPr>
        <w:pStyle w:val="BodyText"/>
        <w:spacing w:before="199"/>
        <w:rPr>
          <w:i/>
          <w:sz w:val="20"/>
        </w:rPr>
      </w:pPr>
    </w:p>
    <w:p>
      <w:pPr>
        <w:pStyle w:val="BodyText"/>
        <w:ind w:left="277"/>
        <w:rPr>
          <w:sz w:val="20"/>
        </w:rPr>
      </w:pPr>
      <w:r>
        <w:rPr>
          <w:sz w:val="20"/>
        </w:rPr>
        <w:drawing>
          <wp:inline distT="0" distB="0" distL="0" distR="0">
            <wp:extent cx="2824922" cy="2459736"/>
            <wp:effectExtent l="0" t="0" r="0" b="0"/>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2824922" cy="2459736"/>
                    </a:xfrm>
                    <a:prstGeom prst="rect">
                      <a:avLst/>
                    </a:prstGeom>
                  </pic:spPr>
                </pic:pic>
              </a:graphicData>
            </a:graphic>
          </wp:inline>
        </w:drawing>
      </w:r>
      <w:r>
        <w:rPr>
          <w:sz w:val="20"/>
        </w:rPr>
      </w:r>
    </w:p>
    <w:p>
      <w:pPr>
        <w:spacing w:before="87"/>
        <w:ind w:left="662" w:right="0" w:firstLine="0"/>
        <w:jc w:val="left"/>
        <w:rPr>
          <w:sz w:val="16"/>
        </w:rPr>
      </w:pPr>
      <w:r>
        <w:rPr>
          <w:color w:val="231F20"/>
          <w:sz w:val="16"/>
        </w:rPr>
        <w:t>FIG.</w:t>
      </w:r>
      <w:r>
        <w:rPr>
          <w:color w:val="231F20"/>
          <w:spacing w:val="13"/>
          <w:sz w:val="16"/>
        </w:rPr>
        <w:t> </w:t>
      </w:r>
      <w:r>
        <w:rPr>
          <w:color w:val="231F20"/>
          <w:sz w:val="16"/>
        </w:rPr>
        <w:t>1.</w:t>
      </w:r>
      <w:r>
        <w:rPr>
          <w:color w:val="231F20"/>
          <w:spacing w:val="52"/>
          <w:sz w:val="16"/>
        </w:rPr>
        <w:t> </w:t>
      </w:r>
      <w:r>
        <w:rPr>
          <w:color w:val="231F20"/>
          <w:sz w:val="16"/>
        </w:rPr>
        <w:t>Creatinine</w:t>
      </w:r>
      <w:r>
        <w:rPr>
          <w:color w:val="231F20"/>
          <w:spacing w:val="14"/>
          <w:sz w:val="16"/>
        </w:rPr>
        <w:t> </w:t>
      </w:r>
      <w:r>
        <w:rPr>
          <w:color w:val="231F20"/>
          <w:sz w:val="16"/>
        </w:rPr>
        <w:t>clearance</w:t>
      </w:r>
      <w:r>
        <w:rPr>
          <w:color w:val="231F20"/>
          <w:spacing w:val="13"/>
          <w:sz w:val="16"/>
        </w:rPr>
        <w:t> </w:t>
      </w:r>
      <w:r>
        <w:rPr>
          <w:color w:val="231F20"/>
          <w:sz w:val="16"/>
        </w:rPr>
        <w:t>before</w:t>
      </w:r>
      <w:r>
        <w:rPr>
          <w:color w:val="231F20"/>
          <w:spacing w:val="14"/>
          <w:sz w:val="16"/>
        </w:rPr>
        <w:t> </w:t>
      </w:r>
      <w:r>
        <w:rPr>
          <w:color w:val="231F20"/>
          <w:sz w:val="16"/>
        </w:rPr>
        <w:t>and</w:t>
      </w:r>
      <w:r>
        <w:rPr>
          <w:color w:val="231F20"/>
          <w:spacing w:val="13"/>
          <w:sz w:val="16"/>
        </w:rPr>
        <w:t> </w:t>
      </w:r>
      <w:r>
        <w:rPr>
          <w:color w:val="231F20"/>
          <w:sz w:val="16"/>
        </w:rPr>
        <w:t>after</w:t>
      </w:r>
      <w:r>
        <w:rPr>
          <w:color w:val="231F20"/>
          <w:spacing w:val="14"/>
          <w:sz w:val="16"/>
        </w:rPr>
        <w:t> </w:t>
      </w:r>
      <w:r>
        <w:rPr>
          <w:color w:val="231F20"/>
          <w:sz w:val="16"/>
        </w:rPr>
        <w:t>STN-</w:t>
      </w:r>
      <w:r>
        <w:rPr>
          <w:color w:val="231F20"/>
          <w:spacing w:val="-4"/>
          <w:sz w:val="16"/>
        </w:rPr>
        <w:t>DBS.</w:t>
      </w:r>
    </w:p>
    <w:p>
      <w:pPr>
        <w:pStyle w:val="BodyText"/>
        <w:rPr>
          <w:sz w:val="16"/>
        </w:rPr>
      </w:pPr>
    </w:p>
    <w:p>
      <w:pPr>
        <w:pStyle w:val="BodyText"/>
        <w:spacing w:before="33"/>
        <w:rPr>
          <w:sz w:val="16"/>
        </w:rPr>
      </w:pPr>
    </w:p>
    <w:p>
      <w:pPr>
        <w:pStyle w:val="BodyText"/>
        <w:spacing w:line="230" w:lineRule="auto"/>
        <w:ind w:left="256" w:right="40"/>
        <w:jc w:val="both"/>
      </w:pPr>
      <w:r>
        <w:rPr>
          <w:color w:val="231F20"/>
        </w:rPr>
        <w:t>surgical contraindications, and no dementia or major </w:t>
      </w:r>
      <w:r>
        <w:rPr>
          <w:color w:val="231F20"/>
        </w:rPr>
        <w:t>ongoing psychiatric illness. Electrodes were implanted bilaterally</w:t>
      </w:r>
      <w:r>
        <w:rPr>
          <w:color w:val="231F20"/>
          <w:spacing w:val="80"/>
        </w:rPr>
        <w:t> </w:t>
      </w:r>
      <w:r>
        <w:rPr>
          <w:color w:val="231F20"/>
        </w:rPr>
        <w:t>under local anesthesia as described previously.</w:t>
      </w:r>
      <w:r>
        <w:rPr>
          <w:color w:val="231F20"/>
          <w:vertAlign w:val="superscript"/>
        </w:rPr>
        <w:t>8</w:t>
      </w:r>
    </w:p>
    <w:p>
      <w:pPr>
        <w:pStyle w:val="BodyText"/>
        <w:spacing w:line="230" w:lineRule="auto" w:before="2"/>
        <w:ind w:left="256" w:right="41" w:firstLine="199"/>
        <w:jc w:val="both"/>
      </w:pPr>
      <w:r>
        <w:rPr>
          <w:color w:val="231F20"/>
        </w:rPr>
        <w:t>Patients were evaluated preoperatively (1 week after </w:t>
      </w:r>
      <w:r>
        <w:rPr>
          <w:color w:val="231F20"/>
        </w:rPr>
        <w:t>sur- gery) and postoperatively (1 week after surgery). Evaluations included</w:t>
      </w:r>
      <w:r>
        <w:rPr>
          <w:color w:val="231F20"/>
        </w:rPr>
        <w:t> (1) the Uniﬁed Parkinson’s Disease Rating Scale (UPDRS)</w:t>
      </w:r>
      <w:r>
        <w:rPr>
          <w:color w:val="231F20"/>
          <w:spacing w:val="32"/>
        </w:rPr>
        <w:t> </w:t>
      </w:r>
      <w:r>
        <w:rPr>
          <w:color w:val="231F20"/>
        </w:rPr>
        <w:t>parts</w:t>
      </w:r>
      <w:r>
        <w:rPr>
          <w:color w:val="231F20"/>
          <w:spacing w:val="32"/>
        </w:rPr>
        <w:t> </w:t>
      </w:r>
      <w:r>
        <w:rPr>
          <w:color w:val="231F20"/>
        </w:rPr>
        <w:t>III</w:t>
      </w:r>
      <w:r>
        <w:rPr>
          <w:color w:val="231F20"/>
          <w:spacing w:val="31"/>
        </w:rPr>
        <w:t> </w:t>
      </w:r>
      <w:r>
        <w:rPr>
          <w:color w:val="231F20"/>
        </w:rPr>
        <w:t>(motor);</w:t>
      </w:r>
      <w:r>
        <w:rPr>
          <w:color w:val="231F20"/>
          <w:spacing w:val="31"/>
        </w:rPr>
        <w:t> </w:t>
      </w:r>
      <w:r>
        <w:rPr>
          <w:color w:val="231F20"/>
        </w:rPr>
        <w:t>(2)</w:t>
      </w:r>
      <w:r>
        <w:rPr>
          <w:color w:val="231F20"/>
          <w:spacing w:val="31"/>
        </w:rPr>
        <w:t> </w:t>
      </w:r>
      <w:r>
        <w:rPr>
          <w:color w:val="231F20"/>
        </w:rPr>
        <w:t>mean</w:t>
      </w:r>
      <w:r>
        <w:rPr>
          <w:color w:val="231F20"/>
          <w:spacing w:val="32"/>
        </w:rPr>
        <w:t> </w:t>
      </w:r>
      <w:r>
        <w:rPr>
          <w:color w:val="231F20"/>
        </w:rPr>
        <w:t>dose</w:t>
      </w:r>
      <w:r>
        <w:rPr>
          <w:color w:val="231F20"/>
          <w:spacing w:val="30"/>
        </w:rPr>
        <w:t> </w:t>
      </w:r>
      <w:r>
        <w:rPr>
          <w:color w:val="231F20"/>
        </w:rPr>
        <w:t>of</w:t>
      </w:r>
      <w:r>
        <w:rPr>
          <w:color w:val="231F20"/>
          <w:spacing w:val="32"/>
        </w:rPr>
        <w:t> </w:t>
      </w:r>
      <w:r>
        <w:rPr>
          <w:color w:val="231F20"/>
        </w:rPr>
        <w:t>levodopa;</w:t>
      </w:r>
      <w:r>
        <w:rPr>
          <w:color w:val="231F20"/>
          <w:spacing w:val="32"/>
        </w:rPr>
        <w:t> </w:t>
      </w:r>
      <w:r>
        <w:rPr>
          <w:color w:val="231F20"/>
        </w:rPr>
        <w:t>(3) all medical manifestations; (4) 24 hours urine; (5) urine iono- gram and biochemistry (6) blood ionogram; and (7) CC.</w:t>
      </w:r>
    </w:p>
    <w:p>
      <w:pPr>
        <w:pStyle w:val="BodyText"/>
        <w:spacing w:line="230" w:lineRule="auto" w:before="4"/>
        <w:ind w:left="256" w:right="38" w:firstLine="199"/>
        <w:jc w:val="both"/>
      </w:pPr>
      <w:r>
        <w:rPr>
          <w:color w:val="231F20"/>
        </w:rPr>
        <w:t>CC and fractional excretion of sodium, potassium, and phosphate were calculated as previously reported (5). Urea</w:t>
      </w:r>
      <w:r>
        <w:rPr>
          <w:color w:val="231F20"/>
          <w:spacing w:val="80"/>
        </w:rPr>
        <w:t> </w:t>
      </w:r>
      <w:r>
        <w:rPr>
          <w:color w:val="231F20"/>
        </w:rPr>
        <w:t>was measured by an enzymatic test and creatinine by the</w:t>
      </w:r>
      <w:r>
        <w:rPr>
          <w:color w:val="231F20"/>
          <w:spacing w:val="80"/>
        </w:rPr>
        <w:t> </w:t>
      </w:r>
      <w:r>
        <w:rPr>
          <w:color w:val="231F20"/>
        </w:rPr>
        <w:t>Jaffe</w:t>
      </w:r>
      <w:r>
        <w:rPr>
          <w:color w:val="231F20"/>
          <w:position w:val="1"/>
        </w:rPr>
        <w:t>´ </w:t>
      </w:r>
      <w:r>
        <w:rPr>
          <w:color w:val="231F20"/>
        </w:rPr>
        <w:t>method. Ion-selective electrodes performed the quan- tiﬁcations of sodium and potassium in urine samples. Phosphate was determined by a direct photometric method.</w:t>
      </w:r>
      <w:r>
        <w:rPr>
          <w:color w:val="231F20"/>
          <w:spacing w:val="80"/>
        </w:rPr>
        <w:t> </w:t>
      </w:r>
      <w:r>
        <w:rPr>
          <w:color w:val="231F20"/>
        </w:rPr>
        <w:t>All assays were performed</w:t>
      </w:r>
      <w:r>
        <w:rPr>
          <w:color w:val="231F20"/>
        </w:rPr>
        <w:t> by</w:t>
      </w:r>
      <w:r>
        <w:rPr>
          <w:color w:val="231F20"/>
          <w:spacing w:val="40"/>
        </w:rPr>
        <w:t> </w:t>
      </w:r>
      <w:r>
        <w:rPr>
          <w:color w:val="231F20"/>
        </w:rPr>
        <w:t>Cobas</w:t>
      </w:r>
      <w:r>
        <w:rPr>
          <w:color w:val="231F20"/>
          <w:spacing w:val="40"/>
        </w:rPr>
        <w:t> </w:t>
      </w:r>
      <w:r>
        <w:rPr>
          <w:color w:val="231F20"/>
        </w:rPr>
        <w:t>Mira</w:t>
      </w:r>
      <w:r>
        <w:rPr>
          <w:color w:val="231F20"/>
          <w:spacing w:val="40"/>
        </w:rPr>
        <w:t> </w:t>
      </w:r>
      <w:r>
        <w:rPr>
          <w:color w:val="231F20"/>
        </w:rPr>
        <w:t>Plus</w:t>
      </w:r>
      <w:r>
        <w:rPr>
          <w:color w:val="231F20"/>
          <w:spacing w:val="40"/>
        </w:rPr>
        <w:t> </w:t>
      </w:r>
      <w:r>
        <w:rPr>
          <w:color w:val="231F20"/>
        </w:rPr>
        <w:t>analyser (ABX</w:t>
      </w:r>
      <w:r>
        <w:rPr>
          <w:color w:val="231F20"/>
          <w:spacing w:val="40"/>
        </w:rPr>
        <w:t> </w:t>
      </w:r>
      <w:r>
        <w:rPr>
          <w:color w:val="231F20"/>
        </w:rPr>
        <w:t>Diagnostics,</w:t>
      </w:r>
      <w:r>
        <w:rPr>
          <w:color w:val="231F20"/>
          <w:spacing w:val="40"/>
        </w:rPr>
        <w:t> </w:t>
      </w:r>
      <w:r>
        <w:rPr>
          <w:color w:val="231F20"/>
        </w:rPr>
        <w:t>Geneva,</w:t>
      </w:r>
      <w:r>
        <w:rPr>
          <w:color w:val="231F20"/>
          <w:spacing w:val="40"/>
        </w:rPr>
        <w:t> </w:t>
      </w:r>
      <w:r>
        <w:rPr>
          <w:color w:val="231F20"/>
        </w:rPr>
        <w:t>Switzerland).</w:t>
      </w:r>
      <w:r>
        <w:rPr>
          <w:color w:val="231F20"/>
          <w:spacing w:val="40"/>
        </w:rPr>
        <w:t> </w:t>
      </w:r>
      <w:r>
        <w:rPr>
          <w:color w:val="231F20"/>
        </w:rPr>
        <w:t>Urine</w:t>
      </w:r>
      <w:r>
        <w:rPr>
          <w:color w:val="231F20"/>
          <w:spacing w:val="40"/>
        </w:rPr>
        <w:t> </w:t>
      </w:r>
      <w:r>
        <w:rPr>
          <w:color w:val="231F20"/>
        </w:rPr>
        <w:t>and</w:t>
      </w:r>
      <w:r>
        <w:rPr>
          <w:color w:val="231F20"/>
          <w:spacing w:val="80"/>
        </w:rPr>
        <w:t> </w:t>
      </w:r>
      <w:r>
        <w:rPr>
          <w:color w:val="231F20"/>
        </w:rPr>
        <w:t>plasma</w:t>
      </w:r>
      <w:r>
        <w:rPr>
          <w:color w:val="231F20"/>
          <w:spacing w:val="67"/>
        </w:rPr>
        <w:t> </w:t>
      </w:r>
      <w:r>
        <w:rPr>
          <w:color w:val="231F20"/>
        </w:rPr>
        <w:t>osmolality</w:t>
      </w:r>
      <w:r>
        <w:rPr>
          <w:color w:val="231F20"/>
          <w:spacing w:val="67"/>
        </w:rPr>
        <w:t> </w:t>
      </w:r>
      <w:r>
        <w:rPr>
          <w:color w:val="231F20"/>
        </w:rPr>
        <w:t>were</w:t>
      </w:r>
      <w:r>
        <w:rPr>
          <w:color w:val="231F20"/>
          <w:spacing w:val="69"/>
        </w:rPr>
        <w:t> </w:t>
      </w:r>
      <w:r>
        <w:rPr>
          <w:color w:val="231F20"/>
        </w:rPr>
        <w:t>determined</w:t>
      </w:r>
      <w:r>
        <w:rPr>
          <w:color w:val="231F20"/>
          <w:spacing w:val="67"/>
        </w:rPr>
        <w:t> </w:t>
      </w:r>
      <w:r>
        <w:rPr>
          <w:color w:val="231F20"/>
        </w:rPr>
        <w:t>by</w:t>
      </w:r>
      <w:r>
        <w:rPr>
          <w:color w:val="231F20"/>
          <w:spacing w:val="69"/>
        </w:rPr>
        <w:t> </w:t>
      </w:r>
      <w:r>
        <w:rPr>
          <w:color w:val="231F20"/>
        </w:rPr>
        <w:t>means</w:t>
      </w:r>
      <w:r>
        <w:rPr>
          <w:color w:val="231F20"/>
          <w:spacing w:val="68"/>
        </w:rPr>
        <w:t> </w:t>
      </w:r>
      <w:r>
        <w:rPr>
          <w:color w:val="231F20"/>
        </w:rPr>
        <w:t>of</w:t>
      </w:r>
      <w:r>
        <w:rPr>
          <w:color w:val="231F20"/>
          <w:spacing w:val="68"/>
        </w:rPr>
        <w:t> </w:t>
      </w:r>
      <w:r>
        <w:rPr>
          <w:color w:val="231F20"/>
        </w:rPr>
        <w:t>an</w:t>
      </w:r>
      <w:r>
        <w:rPr>
          <w:color w:val="231F20"/>
          <w:spacing w:val="68"/>
        </w:rPr>
        <w:t> </w:t>
      </w:r>
      <w:r>
        <w:rPr>
          <w:color w:val="231F20"/>
          <w:spacing w:val="-5"/>
        </w:rPr>
        <w:t>os-</w:t>
      </w:r>
    </w:p>
    <w:p>
      <w:pPr>
        <w:spacing w:line="240" w:lineRule="auto" w:before="183"/>
        <w:rPr>
          <w:sz w:val="18"/>
        </w:rPr>
      </w:pPr>
      <w:r>
        <w:rPr/>
        <w:br w:type="column"/>
      </w:r>
      <w:r>
        <w:rPr>
          <w:sz w:val="18"/>
        </w:rPr>
      </w:r>
    </w:p>
    <w:p>
      <w:pPr>
        <w:pStyle w:val="BodyText"/>
        <w:spacing w:line="230" w:lineRule="auto"/>
        <w:ind w:left="256" w:right="217"/>
        <w:jc w:val="both"/>
      </w:pPr>
      <w:r>
        <w:rPr>
          <w:color w:val="231F20"/>
        </w:rPr>
        <w:t>changes were observed in urine and blood ionogram </w:t>
      </w:r>
      <w:r>
        <w:rPr>
          <w:color w:val="231F20"/>
        </w:rPr>
        <w:t>before</w:t>
      </w:r>
      <w:r>
        <w:rPr>
          <w:color w:val="231F20"/>
          <w:spacing w:val="40"/>
        </w:rPr>
        <w:t> </w:t>
      </w:r>
      <w:r>
        <w:rPr>
          <w:color w:val="231F20"/>
        </w:rPr>
        <w:t>and after surgery (Table 1).</w:t>
      </w:r>
    </w:p>
    <w:p>
      <w:pPr>
        <w:pStyle w:val="BodyText"/>
        <w:spacing w:line="235" w:lineRule="auto"/>
        <w:ind w:left="256" w:right="216" w:firstLine="199"/>
        <w:jc w:val="both"/>
      </w:pPr>
      <w:r>
        <w:rPr>
          <w:color w:val="231F20"/>
        </w:rPr>
        <w:t>STN-DBS has been shown to ameliorate bladder </w:t>
      </w:r>
      <w:r>
        <w:rPr>
          <w:color w:val="231F20"/>
        </w:rPr>
        <w:t>dysfunc- tion (increases bladder capacity) in patients with Parkinson’s disease,</w:t>
      </w:r>
      <w:r>
        <w:rPr>
          <w:color w:val="231F20"/>
          <w:spacing w:val="28"/>
        </w:rPr>
        <w:t> </w:t>
      </w:r>
      <w:r>
        <w:rPr>
          <w:color w:val="231F20"/>
        </w:rPr>
        <w:t>by</w:t>
      </w:r>
      <w:r>
        <w:rPr>
          <w:color w:val="231F20"/>
          <w:spacing w:val="28"/>
        </w:rPr>
        <w:t> </w:t>
      </w:r>
      <w:r>
        <w:rPr>
          <w:color w:val="231F20"/>
        </w:rPr>
        <w:t>modulation</w:t>
      </w:r>
      <w:r>
        <w:rPr>
          <w:color w:val="231F20"/>
          <w:spacing w:val="28"/>
        </w:rPr>
        <w:t> </w:t>
      </w:r>
      <w:r>
        <w:rPr>
          <w:color w:val="231F20"/>
        </w:rPr>
        <w:t>of</w:t>
      </w:r>
      <w:r>
        <w:rPr>
          <w:color w:val="231F20"/>
          <w:spacing w:val="28"/>
        </w:rPr>
        <w:t> </w:t>
      </w:r>
      <w:r>
        <w:rPr>
          <w:color w:val="231F20"/>
        </w:rPr>
        <w:t>sensory</w:t>
      </w:r>
      <w:r>
        <w:rPr>
          <w:color w:val="231F20"/>
          <w:spacing w:val="27"/>
        </w:rPr>
        <w:t> </w:t>
      </w:r>
      <w:r>
        <w:rPr>
          <w:color w:val="231F20"/>
        </w:rPr>
        <w:t>processing.</w:t>
      </w:r>
      <w:r>
        <w:rPr>
          <w:color w:val="231F20"/>
          <w:vertAlign w:val="superscript"/>
        </w:rPr>
        <w:t>9</w:t>
      </w:r>
      <w:r>
        <w:rPr>
          <w:color w:val="231F20"/>
          <w:spacing w:val="29"/>
          <w:vertAlign w:val="baseline"/>
        </w:rPr>
        <w:t> </w:t>
      </w:r>
      <w:r>
        <w:rPr>
          <w:color w:val="231F20"/>
          <w:vertAlign w:val="baseline"/>
        </w:rPr>
        <w:t>It</w:t>
      </w:r>
      <w:r>
        <w:rPr>
          <w:color w:val="231F20"/>
          <w:spacing w:val="28"/>
          <w:vertAlign w:val="baseline"/>
        </w:rPr>
        <w:t> </w:t>
      </w:r>
      <w:r>
        <w:rPr>
          <w:color w:val="231F20"/>
          <w:vertAlign w:val="baseline"/>
        </w:rPr>
        <w:t>appears</w:t>
      </w:r>
      <w:r>
        <w:rPr>
          <w:color w:val="231F20"/>
          <w:spacing w:val="28"/>
          <w:vertAlign w:val="baseline"/>
        </w:rPr>
        <w:t> </w:t>
      </w:r>
      <w:r>
        <w:rPr>
          <w:color w:val="231F20"/>
          <w:vertAlign w:val="baseline"/>
        </w:rPr>
        <w:t>to be a normalization of urodynamic parameters, but there is no data reported about kidney function in these patients.</w:t>
      </w:r>
    </w:p>
    <w:p>
      <w:pPr>
        <w:pStyle w:val="BodyText"/>
        <w:spacing w:line="235" w:lineRule="auto"/>
        <w:ind w:left="256" w:right="216" w:firstLine="199"/>
        <w:jc w:val="both"/>
      </w:pPr>
      <w:r>
        <w:rPr>
          <w:color w:val="231F20"/>
        </w:rPr>
        <w:t>In our patients kidney function was altered </w:t>
      </w:r>
      <w:r>
        <w:rPr>
          <w:color w:val="231F20"/>
        </w:rPr>
        <w:t>immediately</w:t>
      </w:r>
      <w:r>
        <w:rPr>
          <w:color w:val="231F20"/>
          <w:spacing w:val="40"/>
        </w:rPr>
        <w:t> </w:t>
      </w:r>
      <w:r>
        <w:rPr>
          <w:color w:val="231F20"/>
        </w:rPr>
        <w:t>after surgery. A decline in ﬁltration function developed after STN-DBS and some patients without preoperative RI devel- oped acute RI postoperatively. In these patients no urinary retention occurred, urinary volume was similar before and</w:t>
      </w:r>
      <w:r>
        <w:rPr>
          <w:color w:val="231F20"/>
          <w:spacing w:val="80"/>
        </w:rPr>
        <w:t> </w:t>
      </w:r>
      <w:r>
        <w:rPr>
          <w:color w:val="231F20"/>
        </w:rPr>
        <w:t>after surgery. No preoperative hemodynamic complications,</w:t>
      </w:r>
      <w:r>
        <w:rPr>
          <w:color w:val="231F20"/>
          <w:spacing w:val="80"/>
        </w:rPr>
        <w:t> </w:t>
      </w:r>
      <w:r>
        <w:rPr>
          <w:color w:val="231F20"/>
        </w:rPr>
        <w:t>as dehydration occurred; like other series, neurostimulator implantation</w:t>
      </w:r>
      <w:r>
        <w:rPr>
          <w:color w:val="231F20"/>
          <w:spacing w:val="40"/>
        </w:rPr>
        <w:t> </w:t>
      </w:r>
      <w:r>
        <w:rPr>
          <w:color w:val="231F20"/>
        </w:rPr>
        <w:t>anesthetic</w:t>
      </w:r>
      <w:r>
        <w:rPr>
          <w:color w:val="231F20"/>
          <w:spacing w:val="40"/>
        </w:rPr>
        <w:t> </w:t>
      </w:r>
      <w:r>
        <w:rPr>
          <w:color w:val="231F20"/>
        </w:rPr>
        <w:t>technique</w:t>
      </w:r>
      <w:r>
        <w:rPr>
          <w:color w:val="231F20"/>
          <w:spacing w:val="40"/>
        </w:rPr>
        <w:t> </w:t>
      </w:r>
      <w:r>
        <w:rPr>
          <w:color w:val="231F20"/>
        </w:rPr>
        <w:t>is</w:t>
      </w:r>
      <w:r>
        <w:rPr>
          <w:color w:val="231F20"/>
          <w:spacing w:val="40"/>
        </w:rPr>
        <w:t> </w:t>
      </w:r>
      <w:r>
        <w:rPr>
          <w:color w:val="231F20"/>
        </w:rPr>
        <w:t>not</w:t>
      </w:r>
      <w:r>
        <w:rPr>
          <w:color w:val="231F20"/>
          <w:spacing w:val="40"/>
        </w:rPr>
        <w:t> </w:t>
      </w:r>
      <w:r>
        <w:rPr>
          <w:color w:val="231F20"/>
        </w:rPr>
        <w:t>associated</w:t>
      </w:r>
      <w:r>
        <w:rPr>
          <w:color w:val="231F20"/>
          <w:spacing w:val="40"/>
        </w:rPr>
        <w:t> </w:t>
      </w:r>
      <w:r>
        <w:rPr>
          <w:color w:val="231F20"/>
        </w:rPr>
        <w:t>with major hemodynamic adverse effects.</w:t>
      </w:r>
      <w:r>
        <w:rPr>
          <w:color w:val="231F20"/>
          <w:vertAlign w:val="superscript"/>
        </w:rPr>
        <w:t>10</w:t>
      </w:r>
    </w:p>
    <w:p>
      <w:pPr>
        <w:pStyle w:val="BodyText"/>
        <w:spacing w:line="235" w:lineRule="auto"/>
        <w:ind w:left="256" w:right="216" w:firstLine="199"/>
        <w:jc w:val="both"/>
      </w:pPr>
      <w:r>
        <w:rPr>
          <w:color w:val="231F20"/>
        </w:rPr>
        <w:t>A recent study of experimentally induced ARF showed that there is a close interaction between the kidney and the central nervous</w:t>
      </w:r>
      <w:r>
        <w:rPr>
          <w:color w:val="231F20"/>
          <w:spacing w:val="-1"/>
        </w:rPr>
        <w:t> </w:t>
      </w:r>
      <w:r>
        <w:rPr>
          <w:color w:val="231F20"/>
        </w:rPr>
        <w:t>system.</w:t>
      </w:r>
      <w:r>
        <w:rPr>
          <w:color w:val="231F20"/>
          <w:vertAlign w:val="superscript"/>
        </w:rPr>
        <w:t>11</w:t>
      </w:r>
      <w:r>
        <w:rPr>
          <w:color w:val="231F20"/>
          <w:spacing w:val="-1"/>
          <w:vertAlign w:val="baseline"/>
        </w:rPr>
        <w:t> </w:t>
      </w:r>
      <w:r>
        <w:rPr>
          <w:color w:val="231F20"/>
          <w:vertAlign w:val="baseline"/>
        </w:rPr>
        <w:t>Sympathetic</w:t>
      </w:r>
      <w:r>
        <w:rPr>
          <w:color w:val="231F20"/>
          <w:spacing w:val="-1"/>
          <w:vertAlign w:val="baseline"/>
        </w:rPr>
        <w:t> </w:t>
      </w:r>
      <w:r>
        <w:rPr>
          <w:color w:val="231F20"/>
          <w:vertAlign w:val="baseline"/>
        </w:rPr>
        <w:t>inﬂuence</w:t>
      </w:r>
      <w:r>
        <w:rPr>
          <w:color w:val="231F20"/>
          <w:spacing w:val="-1"/>
          <w:vertAlign w:val="baseline"/>
        </w:rPr>
        <w:t> </w:t>
      </w:r>
      <w:r>
        <w:rPr>
          <w:color w:val="231F20"/>
          <w:vertAlign w:val="baseline"/>
        </w:rPr>
        <w:t>in</w:t>
      </w:r>
      <w:r>
        <w:rPr>
          <w:color w:val="231F20"/>
          <w:spacing w:val="-1"/>
          <w:vertAlign w:val="baseline"/>
        </w:rPr>
        <w:t> </w:t>
      </w:r>
      <w:r>
        <w:rPr>
          <w:color w:val="231F20"/>
          <w:vertAlign w:val="baseline"/>
        </w:rPr>
        <w:t>kidney</w:t>
      </w:r>
      <w:r>
        <w:rPr>
          <w:color w:val="231F20"/>
          <w:spacing w:val="-1"/>
          <w:vertAlign w:val="baseline"/>
        </w:rPr>
        <w:t> </w:t>
      </w:r>
      <w:r>
        <w:rPr>
          <w:color w:val="231F20"/>
          <w:vertAlign w:val="baseline"/>
        </w:rPr>
        <w:t>functions</w:t>
      </w:r>
      <w:r>
        <w:rPr>
          <w:color w:val="231F20"/>
          <w:spacing w:val="-2"/>
          <w:vertAlign w:val="baseline"/>
        </w:rPr>
        <w:t> </w:t>
      </w:r>
      <w:r>
        <w:rPr>
          <w:color w:val="231F20"/>
          <w:vertAlign w:val="baseline"/>
        </w:rPr>
        <w:t>is </w:t>
      </w:r>
      <w:r>
        <w:rPr>
          <w:color w:val="231F20"/>
          <w:spacing w:val="-2"/>
          <w:vertAlign w:val="baseline"/>
        </w:rPr>
        <w:t>under</w:t>
      </w:r>
      <w:r>
        <w:rPr>
          <w:color w:val="231F20"/>
          <w:spacing w:val="-5"/>
          <w:vertAlign w:val="baseline"/>
        </w:rPr>
        <w:t> </w:t>
      </w:r>
      <w:r>
        <w:rPr>
          <w:color w:val="231F20"/>
          <w:spacing w:val="-2"/>
          <w:vertAlign w:val="baseline"/>
        </w:rPr>
        <w:t>control</w:t>
      </w:r>
      <w:r>
        <w:rPr>
          <w:color w:val="231F20"/>
          <w:spacing w:val="-5"/>
          <w:vertAlign w:val="baseline"/>
        </w:rPr>
        <w:t> </w:t>
      </w:r>
      <w:r>
        <w:rPr>
          <w:color w:val="231F20"/>
          <w:spacing w:val="-2"/>
          <w:vertAlign w:val="baseline"/>
        </w:rPr>
        <w:t>of</w:t>
      </w:r>
      <w:r>
        <w:rPr>
          <w:color w:val="231F20"/>
          <w:spacing w:val="-5"/>
          <w:vertAlign w:val="baseline"/>
        </w:rPr>
        <w:t> </w:t>
      </w:r>
      <w:r>
        <w:rPr>
          <w:color w:val="231F20"/>
          <w:spacing w:val="-2"/>
          <w:vertAlign w:val="baseline"/>
        </w:rPr>
        <w:t>brainstem</w:t>
      </w:r>
      <w:r>
        <w:rPr>
          <w:color w:val="231F20"/>
          <w:spacing w:val="-5"/>
          <w:vertAlign w:val="baseline"/>
        </w:rPr>
        <w:t> </w:t>
      </w:r>
      <w:r>
        <w:rPr>
          <w:color w:val="231F20"/>
          <w:spacing w:val="-2"/>
          <w:vertAlign w:val="baseline"/>
        </w:rPr>
        <w:t>biogenic</w:t>
      </w:r>
      <w:r>
        <w:rPr>
          <w:color w:val="231F20"/>
          <w:spacing w:val="-5"/>
          <w:vertAlign w:val="baseline"/>
        </w:rPr>
        <w:t> </w:t>
      </w:r>
      <w:r>
        <w:rPr>
          <w:color w:val="231F20"/>
          <w:spacing w:val="-2"/>
          <w:vertAlign w:val="baseline"/>
        </w:rPr>
        <w:t>amine</w:t>
      </w:r>
      <w:r>
        <w:rPr>
          <w:color w:val="231F20"/>
          <w:spacing w:val="-5"/>
          <w:vertAlign w:val="baseline"/>
        </w:rPr>
        <w:t> </w:t>
      </w:r>
      <w:r>
        <w:rPr>
          <w:color w:val="231F20"/>
          <w:spacing w:val="-2"/>
          <w:vertAlign w:val="baseline"/>
        </w:rPr>
        <w:t>cell</w:t>
      </w:r>
      <w:r>
        <w:rPr>
          <w:color w:val="231F20"/>
          <w:spacing w:val="-5"/>
          <w:vertAlign w:val="baseline"/>
        </w:rPr>
        <w:t> </w:t>
      </w:r>
      <w:r>
        <w:rPr>
          <w:color w:val="231F20"/>
          <w:spacing w:val="-2"/>
          <w:vertAlign w:val="baseline"/>
        </w:rPr>
        <w:t>groups</w:t>
      </w:r>
      <w:r>
        <w:rPr>
          <w:color w:val="231F20"/>
          <w:spacing w:val="-5"/>
          <w:vertAlign w:val="baseline"/>
        </w:rPr>
        <w:t> </w:t>
      </w:r>
      <w:r>
        <w:rPr>
          <w:color w:val="231F20"/>
          <w:spacing w:val="-2"/>
          <w:vertAlign w:val="baseline"/>
        </w:rPr>
        <w:t>and</w:t>
      </w:r>
      <w:r>
        <w:rPr>
          <w:color w:val="231F20"/>
          <w:spacing w:val="-5"/>
          <w:vertAlign w:val="baseline"/>
        </w:rPr>
        <w:t> </w:t>
      </w:r>
      <w:r>
        <w:rPr>
          <w:color w:val="231F20"/>
          <w:spacing w:val="-2"/>
          <w:vertAlign w:val="baseline"/>
        </w:rPr>
        <w:t>hypo- </w:t>
      </w:r>
      <w:r>
        <w:rPr>
          <w:color w:val="231F20"/>
          <w:vertAlign w:val="baseline"/>
        </w:rPr>
        <w:t>thalamic nuclei.</w:t>
      </w:r>
      <w:r>
        <w:rPr>
          <w:color w:val="231F20"/>
          <w:vertAlign w:val="superscript"/>
        </w:rPr>
        <w:t>12,13</w:t>
      </w:r>
      <w:r>
        <w:rPr>
          <w:color w:val="231F20"/>
          <w:vertAlign w:val="baseline"/>
        </w:rPr>
        <w:t> It cannot be excluded that there may be </w:t>
      </w:r>
      <w:r>
        <w:rPr>
          <w:color w:val="231F20"/>
          <w:spacing w:val="-4"/>
          <w:vertAlign w:val="baseline"/>
        </w:rPr>
        <w:t>regional effects of DBS-STN on hypothalamic centers, depending </w:t>
      </w:r>
      <w:r>
        <w:rPr>
          <w:color w:val="231F20"/>
          <w:vertAlign w:val="baseline"/>
        </w:rPr>
        <w:t>on the exact location of the contacts in the STN area.</w:t>
      </w:r>
    </w:p>
    <w:p>
      <w:pPr>
        <w:pStyle w:val="BodyText"/>
        <w:spacing w:line="230" w:lineRule="auto"/>
        <w:ind w:left="256" w:right="216" w:firstLine="199"/>
        <w:jc w:val="both"/>
      </w:pPr>
      <w:r>
        <w:rPr>
          <w:color w:val="231F20"/>
        </w:rPr>
        <w:t>Effect of DBS-STN in hypothalamic centers remains </w:t>
      </w:r>
      <w:r>
        <w:rPr>
          <w:color w:val="231F20"/>
        </w:rPr>
        <w:t>a</w:t>
      </w:r>
      <w:r>
        <w:rPr>
          <w:color w:val="231F20"/>
          <w:spacing w:val="80"/>
        </w:rPr>
        <w:t> </w:t>
      </w:r>
      <w:r>
        <w:rPr>
          <w:color w:val="231F20"/>
        </w:rPr>
        <w:t>valid hypothesis which could explain an altered kidney func- tion immediately after surgery, but further investigations are required to explore this possible mechanism. With these pre- liminary results the authors suggest that it is necessary to evaluate CC before and after surgery for early orientation of patients with RI.</w:t>
      </w:r>
    </w:p>
    <w:p>
      <w:pPr>
        <w:pStyle w:val="BodyText"/>
        <w:spacing w:line="230" w:lineRule="auto" w:before="190"/>
        <w:ind w:left="256" w:right="217" w:firstLine="179"/>
        <w:jc w:val="both"/>
      </w:pPr>
      <w:r>
        <w:rPr>
          <w:color w:val="231F20"/>
        </w:rPr>
        <w:t>Acknowledgments: We thank the Clinical </w:t>
      </w:r>
      <w:r>
        <w:rPr>
          <w:color w:val="231F20"/>
        </w:rPr>
        <w:t>Investigation Center of Hospital de Sa˜o Joa˜o.</w:t>
      </w:r>
    </w:p>
    <w:p>
      <w:pPr>
        <w:pStyle w:val="BodyText"/>
        <w:spacing w:line="230" w:lineRule="auto" w:before="115"/>
        <w:ind w:left="256" w:right="217" w:firstLine="199"/>
        <w:jc w:val="both"/>
      </w:pPr>
      <w:r>
        <w:rPr>
          <w:color w:val="231F20"/>
        </w:rPr>
        <w:t>Financial Disclosures: The authors have no ﬁnancial </w:t>
      </w:r>
      <w:r>
        <w:rPr>
          <w:color w:val="231F20"/>
        </w:rPr>
        <w:t>dis- closures or nothing to disclose. Financial disclosures of all authors</w:t>
      </w:r>
      <w:r>
        <w:rPr>
          <w:color w:val="231F20"/>
          <w:spacing w:val="28"/>
        </w:rPr>
        <w:t> </w:t>
      </w:r>
      <w:r>
        <w:rPr>
          <w:color w:val="231F20"/>
        </w:rPr>
        <w:t>for</w:t>
      </w:r>
      <w:r>
        <w:rPr>
          <w:color w:val="231F20"/>
          <w:spacing w:val="28"/>
        </w:rPr>
        <w:t> </w:t>
      </w:r>
      <w:r>
        <w:rPr>
          <w:color w:val="231F20"/>
        </w:rPr>
        <w:t>the</w:t>
      </w:r>
      <w:r>
        <w:rPr>
          <w:color w:val="231F20"/>
          <w:spacing w:val="27"/>
        </w:rPr>
        <w:t> </w:t>
      </w:r>
      <w:r>
        <w:rPr>
          <w:color w:val="231F20"/>
        </w:rPr>
        <w:t>past</w:t>
      </w:r>
      <w:r>
        <w:rPr>
          <w:color w:val="231F20"/>
          <w:spacing w:val="28"/>
        </w:rPr>
        <w:t> </w:t>
      </w:r>
      <w:r>
        <w:rPr>
          <w:color w:val="231F20"/>
        </w:rPr>
        <w:t>year:</w:t>
      </w:r>
      <w:r>
        <w:rPr>
          <w:color w:val="231F20"/>
          <w:spacing w:val="29"/>
        </w:rPr>
        <w:t> </w:t>
      </w:r>
      <w:r>
        <w:rPr>
          <w:color w:val="231F20"/>
        </w:rPr>
        <w:t>none</w:t>
      </w:r>
      <w:r>
        <w:rPr>
          <w:color w:val="231F20"/>
          <w:spacing w:val="28"/>
        </w:rPr>
        <w:t> </w:t>
      </w:r>
      <w:r>
        <w:rPr>
          <w:color w:val="231F20"/>
        </w:rPr>
        <w:t>of</w:t>
      </w:r>
      <w:r>
        <w:rPr>
          <w:color w:val="231F20"/>
          <w:spacing w:val="28"/>
        </w:rPr>
        <w:t> </w:t>
      </w:r>
      <w:r>
        <w:rPr>
          <w:color w:val="231F20"/>
        </w:rPr>
        <w:t>the</w:t>
      </w:r>
      <w:r>
        <w:rPr>
          <w:color w:val="231F20"/>
          <w:spacing w:val="27"/>
        </w:rPr>
        <w:t> </w:t>
      </w:r>
      <w:r>
        <w:rPr>
          <w:color w:val="231F20"/>
        </w:rPr>
        <w:t>authors</w:t>
      </w:r>
      <w:r>
        <w:rPr>
          <w:color w:val="231F20"/>
          <w:spacing w:val="29"/>
        </w:rPr>
        <w:t> </w:t>
      </w:r>
      <w:r>
        <w:rPr>
          <w:color w:val="231F20"/>
        </w:rPr>
        <w:t>have</w:t>
      </w:r>
      <w:r>
        <w:rPr>
          <w:color w:val="231F20"/>
          <w:spacing w:val="28"/>
        </w:rPr>
        <w:t> </w:t>
      </w:r>
      <w:r>
        <w:rPr>
          <w:color w:val="231F20"/>
          <w:spacing w:val="-2"/>
        </w:rPr>
        <w:t>received</w:t>
      </w:r>
    </w:p>
    <w:p>
      <w:pPr>
        <w:pStyle w:val="BodyText"/>
        <w:spacing w:before="70"/>
      </w:pPr>
    </w:p>
    <w:p>
      <w:pPr>
        <w:spacing w:line="230" w:lineRule="auto" w:before="0"/>
        <w:ind w:left="1900" w:right="659" w:hanging="1054"/>
        <w:jc w:val="left"/>
        <w:rPr>
          <w:i/>
          <w:sz w:val="18"/>
        </w:rPr>
      </w:pPr>
      <w:r>
        <w:rPr>
          <w:color w:val="231F20"/>
          <w:sz w:val="18"/>
        </w:rPr>
        <w:t>TABLE 1.</w:t>
      </w:r>
      <w:r>
        <w:rPr>
          <w:color w:val="231F20"/>
          <w:spacing w:val="39"/>
          <w:sz w:val="18"/>
        </w:rPr>
        <w:t> </w:t>
      </w:r>
      <w:r>
        <w:rPr>
          <w:i/>
          <w:color w:val="231F20"/>
          <w:sz w:val="18"/>
        </w:rPr>
        <w:t>Urine and blood ionogram </w:t>
      </w:r>
      <w:r>
        <w:rPr>
          <w:i/>
          <w:color w:val="231F20"/>
          <w:sz w:val="18"/>
        </w:rPr>
        <w:t>before and after surgery</w:t>
      </w:r>
    </w:p>
    <w:p>
      <w:pPr>
        <w:pStyle w:val="BodyText"/>
        <w:spacing w:before="2"/>
        <w:rPr>
          <w:i/>
          <w:sz w:val="7"/>
        </w:rPr>
      </w:pPr>
    </w:p>
    <w:p>
      <w:pPr>
        <w:pStyle w:val="BodyText"/>
        <w:spacing w:line="20" w:lineRule="exact"/>
        <w:ind w:left="256"/>
        <w:rPr>
          <w:sz w:val="2"/>
        </w:rPr>
      </w:pPr>
      <w:r>
        <w:rPr>
          <w:sz w:val="2"/>
        </w:rPr>
        <mc:AlternateContent>
          <mc:Choice Requires="wps">
            <w:drawing>
              <wp:inline distT="0" distB="0" distL="0" distR="0">
                <wp:extent cx="2897505" cy="13335"/>
                <wp:effectExtent l="9525" t="0" r="0" b="5714"/>
                <wp:docPr id="4" name="Group 4"/>
                <wp:cNvGraphicFramePr>
                  <a:graphicFrameLocks/>
                </wp:cNvGraphicFramePr>
                <a:graphic>
                  <a:graphicData uri="http://schemas.microsoft.com/office/word/2010/wordprocessingGroup">
                    <wpg:wgp>
                      <wpg:cNvPr id="4" name="Group 4"/>
                      <wpg:cNvGrpSpPr/>
                      <wpg:grpSpPr>
                        <a:xfrm>
                          <a:off x="0" y="0"/>
                          <a:ext cx="2897505" cy="13335"/>
                          <a:chExt cx="2897505" cy="13335"/>
                        </a:xfrm>
                      </wpg:grpSpPr>
                      <wps:wsp>
                        <wps:cNvPr id="5" name="Graphic 5"/>
                        <wps:cNvSpPr/>
                        <wps:spPr>
                          <a:xfrm>
                            <a:off x="0" y="6476"/>
                            <a:ext cx="2897505" cy="1270"/>
                          </a:xfrm>
                          <a:custGeom>
                            <a:avLst/>
                            <a:gdLst/>
                            <a:ahLst/>
                            <a:cxnLst/>
                            <a:rect l="l" t="t" r="r" b="b"/>
                            <a:pathLst>
                              <a:path w="2897505" h="0">
                                <a:moveTo>
                                  <a:pt x="0" y="0"/>
                                </a:moveTo>
                                <a:lnTo>
                                  <a:pt x="2897276" y="0"/>
                                </a:lnTo>
                              </a:path>
                            </a:pathLst>
                          </a:custGeom>
                          <a:ln w="12954">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228.15pt;height:1.05pt;mso-position-horizontal-relative:char;mso-position-vertical-relative:line" id="docshapegroup3" coordorigin="0,0" coordsize="4563,21">
                <v:line style="position:absolute" from="0,10" to="4563,10" stroked="true" strokeweight="1.02pt" strokecolor="#231f20">
                  <v:stroke dashstyle="solid"/>
                </v:line>
              </v:group>
            </w:pict>
          </mc:Fallback>
        </mc:AlternateContent>
      </w:r>
      <w:r>
        <w:rPr>
          <w:sz w:val="2"/>
        </w:rPr>
      </w:r>
    </w:p>
    <w:p>
      <w:pPr>
        <w:pStyle w:val="BodyText"/>
        <w:spacing w:before="4"/>
        <w:rPr>
          <w:i/>
          <w:sz w:val="4"/>
        </w:rPr>
      </w:pPr>
    </w:p>
    <w:p>
      <w:pPr>
        <w:pStyle w:val="BodyText"/>
        <w:spacing w:after="0"/>
        <w:rPr>
          <w:i/>
          <w:sz w:val="4"/>
        </w:rPr>
        <w:sectPr>
          <w:type w:val="continuous"/>
          <w:pgSz w:w="12240" w:h="16200"/>
          <w:pgMar w:top="1060" w:bottom="280" w:left="1080" w:right="1080"/>
          <w:cols w:num="2" w:equalWidth="0">
            <w:col w:w="4862" w:space="179"/>
            <w:col w:w="5039"/>
          </w:cols>
        </w:sectPr>
      </w:pPr>
    </w:p>
    <w:p>
      <w:pPr>
        <w:pStyle w:val="BodyText"/>
        <w:spacing w:line="230" w:lineRule="auto"/>
        <w:ind w:left="256"/>
      </w:pPr>
      <w:r>
        <w:rPr>
          <w:color w:val="231F20"/>
        </w:rPr>
        <w:t>mometer</w:t>
      </w:r>
      <w:r>
        <w:rPr>
          <w:color w:val="231F20"/>
          <w:spacing w:val="40"/>
        </w:rPr>
        <w:t> </w:t>
      </w:r>
      <w:r>
        <w:rPr>
          <w:color w:val="231F20"/>
        </w:rPr>
        <w:t>(model</w:t>
      </w:r>
      <w:r>
        <w:rPr>
          <w:color w:val="231F20"/>
          <w:spacing w:val="40"/>
        </w:rPr>
        <w:t> </w:t>
      </w:r>
      <w:r>
        <w:rPr>
          <w:color w:val="231F20"/>
        </w:rPr>
        <w:t>3</w:t>
      </w:r>
      <w:r>
        <w:rPr>
          <w:color w:val="231F20"/>
          <w:spacing w:val="40"/>
        </w:rPr>
        <w:t> </w:t>
      </w:r>
      <w:r>
        <w:rPr>
          <w:color w:val="231F20"/>
        </w:rPr>
        <w:t>MO,</w:t>
      </w:r>
      <w:r>
        <w:rPr>
          <w:color w:val="231F20"/>
          <w:spacing w:val="40"/>
        </w:rPr>
        <w:t> </w:t>
      </w:r>
      <w:r>
        <w:rPr>
          <w:color w:val="231F20"/>
        </w:rPr>
        <w:t>Advanced</w:t>
      </w:r>
      <w:r>
        <w:rPr>
          <w:color w:val="231F20"/>
          <w:spacing w:val="40"/>
        </w:rPr>
        <w:t> </w:t>
      </w:r>
      <w:r>
        <w:rPr>
          <w:color w:val="231F20"/>
        </w:rPr>
        <w:t>Instruments).</w:t>
      </w:r>
      <w:r>
        <w:rPr>
          <w:color w:val="231F20"/>
          <w:spacing w:val="40"/>
        </w:rPr>
        <w:t> </w:t>
      </w:r>
      <w:r>
        <w:rPr>
          <w:color w:val="231F20"/>
        </w:rPr>
        <w:t>Wilcoxon signed</w:t>
      </w:r>
      <w:r>
        <w:rPr>
          <w:color w:val="231F20"/>
          <w:spacing w:val="29"/>
        </w:rPr>
        <w:t> </w:t>
      </w:r>
      <w:r>
        <w:rPr>
          <w:color w:val="231F20"/>
        </w:rPr>
        <w:t>rank</w:t>
      </w:r>
      <w:r>
        <w:rPr>
          <w:color w:val="231F20"/>
          <w:spacing w:val="28"/>
        </w:rPr>
        <w:t> </w:t>
      </w:r>
      <w:r>
        <w:rPr>
          <w:color w:val="231F20"/>
        </w:rPr>
        <w:t>test</w:t>
      </w:r>
      <w:r>
        <w:rPr>
          <w:color w:val="231F20"/>
          <w:spacing w:val="28"/>
        </w:rPr>
        <w:t> </w:t>
      </w:r>
      <w:r>
        <w:rPr>
          <w:color w:val="231F20"/>
        </w:rPr>
        <w:t>and</w:t>
      </w:r>
      <w:r>
        <w:rPr>
          <w:color w:val="231F20"/>
          <w:spacing w:val="30"/>
        </w:rPr>
        <w:t> </w:t>
      </w:r>
      <w:r>
        <w:rPr>
          <w:color w:val="231F20"/>
        </w:rPr>
        <w:t>Spearman</w:t>
      </w:r>
      <w:r>
        <w:rPr>
          <w:color w:val="231F20"/>
          <w:spacing w:val="28"/>
        </w:rPr>
        <w:t> </w:t>
      </w:r>
      <w:r>
        <w:rPr>
          <w:color w:val="231F20"/>
        </w:rPr>
        <w:t>test</w:t>
      </w:r>
      <w:r>
        <w:rPr>
          <w:color w:val="231F20"/>
          <w:spacing w:val="29"/>
        </w:rPr>
        <w:t> </w:t>
      </w:r>
      <w:r>
        <w:rPr>
          <w:color w:val="231F20"/>
        </w:rPr>
        <w:t>were</w:t>
      </w:r>
      <w:r>
        <w:rPr>
          <w:color w:val="231F20"/>
          <w:spacing w:val="28"/>
        </w:rPr>
        <w:t> </w:t>
      </w:r>
      <w:r>
        <w:rPr>
          <w:color w:val="231F20"/>
        </w:rPr>
        <w:t>used</w:t>
      </w:r>
      <w:r>
        <w:rPr>
          <w:color w:val="231F20"/>
          <w:spacing w:val="28"/>
        </w:rPr>
        <w:t> </w:t>
      </w:r>
      <w:r>
        <w:rPr>
          <w:color w:val="231F20"/>
        </w:rPr>
        <w:t>for</w:t>
      </w:r>
      <w:r>
        <w:rPr>
          <w:color w:val="231F20"/>
          <w:spacing w:val="27"/>
        </w:rPr>
        <w:t> </w:t>
      </w:r>
      <w:r>
        <w:rPr>
          <w:color w:val="231F20"/>
          <w:spacing w:val="-2"/>
        </w:rPr>
        <w:t>statistical</w:t>
      </w:r>
    </w:p>
    <w:p>
      <w:pPr>
        <w:spacing w:line="232" w:lineRule="auto" w:before="0"/>
        <w:ind w:left="256" w:right="38" w:firstLine="0"/>
        <w:jc w:val="left"/>
        <w:rPr>
          <w:sz w:val="16"/>
        </w:rPr>
      </w:pPr>
      <w:r>
        <w:rPr/>
        <w:br w:type="column"/>
      </w:r>
      <w:r>
        <w:rPr>
          <w:color w:val="231F20"/>
          <w:sz w:val="16"/>
        </w:rPr>
        <w:t>Parkinson patient</w:t>
      </w:r>
      <w:r>
        <w:rPr>
          <w:color w:val="231F20"/>
          <w:spacing w:val="40"/>
          <w:sz w:val="16"/>
        </w:rPr>
        <w:t> </w:t>
      </w:r>
      <w:r>
        <w:rPr>
          <w:color w:val="231F20"/>
          <w:sz w:val="16"/>
        </w:rPr>
        <w:t>experimental</w:t>
      </w:r>
      <w:r>
        <w:rPr>
          <w:color w:val="231F20"/>
          <w:spacing w:val="-6"/>
          <w:sz w:val="16"/>
        </w:rPr>
        <w:t> </w:t>
      </w:r>
      <w:r>
        <w:rPr>
          <w:color w:val="231F20"/>
          <w:sz w:val="16"/>
        </w:rPr>
        <w:t>conditions</w:t>
      </w:r>
    </w:p>
    <w:p>
      <w:pPr>
        <w:spacing w:line="176" w:lineRule="exact" w:before="0"/>
        <w:ind w:left="216" w:right="0" w:firstLine="0"/>
        <w:jc w:val="center"/>
        <w:rPr>
          <w:sz w:val="16"/>
        </w:rPr>
      </w:pPr>
      <w:r>
        <w:rPr/>
        <w:br w:type="column"/>
      </w:r>
      <w:r>
        <w:rPr>
          <w:color w:val="231F20"/>
          <w:spacing w:val="-2"/>
          <w:sz w:val="16"/>
        </w:rPr>
        <w:t>STN-</w:t>
      </w:r>
      <w:r>
        <w:rPr>
          <w:color w:val="231F20"/>
          <w:spacing w:val="-5"/>
          <w:sz w:val="16"/>
        </w:rPr>
        <w:t>DBS</w:t>
      </w:r>
    </w:p>
    <w:p>
      <w:pPr>
        <w:spacing w:line="182" w:lineRule="exact" w:before="0"/>
        <w:ind w:left="214" w:right="0" w:firstLine="0"/>
        <w:jc w:val="center"/>
        <w:rPr>
          <w:sz w:val="16"/>
        </w:rPr>
      </w:pPr>
      <w:r>
        <w:rPr>
          <w:color w:val="231F20"/>
          <w:spacing w:val="-2"/>
          <w:sz w:val="16"/>
        </w:rPr>
        <w:t>before</w:t>
      </w:r>
    </w:p>
    <w:p>
      <w:pPr>
        <w:spacing w:line="176" w:lineRule="exact" w:before="0"/>
        <w:ind w:left="2" w:right="107" w:firstLine="0"/>
        <w:jc w:val="center"/>
        <w:rPr>
          <w:sz w:val="16"/>
        </w:rPr>
      </w:pPr>
      <w:r>
        <w:rPr/>
        <w:br w:type="column"/>
      </w:r>
      <w:r>
        <w:rPr>
          <w:color w:val="231F20"/>
          <w:spacing w:val="-2"/>
          <w:sz w:val="16"/>
        </w:rPr>
        <w:t>STN-</w:t>
      </w:r>
      <w:r>
        <w:rPr>
          <w:color w:val="231F20"/>
          <w:spacing w:val="-5"/>
          <w:sz w:val="16"/>
        </w:rPr>
        <w:t>DBS</w:t>
      </w:r>
    </w:p>
    <w:p>
      <w:pPr>
        <w:spacing w:line="182" w:lineRule="exact" w:before="0"/>
        <w:ind w:left="0" w:right="107" w:firstLine="0"/>
        <w:jc w:val="center"/>
        <w:rPr>
          <w:sz w:val="16"/>
        </w:rPr>
      </w:pPr>
      <w:r>
        <w:rPr>
          <w:color w:val="231F20"/>
          <w:spacing w:val="-2"/>
          <w:sz w:val="16"/>
        </w:rPr>
        <w:t>after</w:t>
      </w:r>
    </w:p>
    <w:p>
      <w:pPr>
        <w:spacing w:after="0" w:line="182" w:lineRule="exact"/>
        <w:jc w:val="center"/>
        <w:rPr>
          <w:sz w:val="16"/>
        </w:rPr>
        <w:sectPr>
          <w:type w:val="continuous"/>
          <w:pgSz w:w="12240" w:h="16200"/>
          <w:pgMar w:top="1060" w:bottom="280" w:left="1080" w:right="1080"/>
          <w:cols w:num="4" w:equalWidth="0">
            <w:col w:w="4864" w:space="178"/>
            <w:col w:w="1849" w:space="634"/>
            <w:col w:w="959" w:space="312"/>
            <w:col w:w="1284"/>
          </w:cols>
        </w:sectPr>
      </w:pPr>
    </w:p>
    <w:p>
      <w:pPr>
        <w:pStyle w:val="BodyText"/>
        <w:spacing w:line="196" w:lineRule="exact"/>
        <w:ind w:left="256"/>
      </w:pPr>
      <w:r>
        <w:rPr>
          <w:color w:val="231F20"/>
          <w:spacing w:val="-2"/>
        </w:rPr>
        <w:t>analysis.</w:t>
      </w:r>
    </w:p>
    <w:p>
      <w:pPr>
        <w:spacing w:line="240" w:lineRule="auto" w:before="6"/>
        <w:rPr>
          <w:sz w:val="3"/>
        </w:rPr>
      </w:pPr>
      <w:r>
        <w:rPr/>
        <w:br w:type="column"/>
      </w:r>
      <w:r>
        <w:rPr>
          <w:sz w:val="3"/>
        </w:rPr>
      </w:r>
    </w:p>
    <w:p>
      <w:pPr>
        <w:pStyle w:val="BodyText"/>
        <w:spacing w:line="20" w:lineRule="exact"/>
        <w:ind w:left="98"/>
        <w:rPr>
          <w:sz w:val="2"/>
        </w:rPr>
      </w:pPr>
      <w:r>
        <w:rPr>
          <w:sz w:val="2"/>
        </w:rPr>
        <mc:AlternateContent>
          <mc:Choice Requires="wps">
            <w:drawing>
              <wp:inline distT="0" distB="0" distL="0" distR="0">
                <wp:extent cx="2897505" cy="6985"/>
                <wp:effectExtent l="9525" t="0" r="0" b="2539"/>
                <wp:docPr id="6" name="Group 6"/>
                <wp:cNvGraphicFramePr>
                  <a:graphicFrameLocks/>
                </wp:cNvGraphicFramePr>
                <a:graphic>
                  <a:graphicData uri="http://schemas.microsoft.com/office/word/2010/wordprocessingGroup">
                    <wpg:wgp>
                      <wpg:cNvPr id="6" name="Group 6"/>
                      <wpg:cNvGrpSpPr/>
                      <wpg:grpSpPr>
                        <a:xfrm>
                          <a:off x="0" y="0"/>
                          <a:ext cx="2897505" cy="6985"/>
                          <a:chExt cx="2897505" cy="6985"/>
                        </a:xfrm>
                      </wpg:grpSpPr>
                      <wps:wsp>
                        <wps:cNvPr id="7" name="Graphic 7"/>
                        <wps:cNvSpPr/>
                        <wps:spPr>
                          <a:xfrm>
                            <a:off x="0" y="3238"/>
                            <a:ext cx="2897505" cy="1270"/>
                          </a:xfrm>
                          <a:custGeom>
                            <a:avLst/>
                            <a:gdLst/>
                            <a:ahLst/>
                            <a:cxnLst/>
                            <a:rect l="l" t="t" r="r" b="b"/>
                            <a:pathLst>
                              <a:path w="2897505" h="0">
                                <a:moveTo>
                                  <a:pt x="0" y="0"/>
                                </a:moveTo>
                                <a:lnTo>
                                  <a:pt x="2897276" y="0"/>
                                </a:lnTo>
                              </a:path>
                            </a:pathLst>
                          </a:custGeom>
                          <a:ln w="647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228.15pt;height:.550pt;mso-position-horizontal-relative:char;mso-position-vertical-relative:line" id="docshapegroup4" coordorigin="0,0" coordsize="4563,11">
                <v:line style="position:absolute" from="0,5" to="4563,5" stroked="true" strokeweight=".51pt" strokecolor="#231f20">
                  <v:stroke dashstyle="solid"/>
                </v:line>
              </v:group>
            </w:pict>
          </mc:Fallback>
        </mc:AlternateContent>
      </w:r>
      <w:r>
        <w:rPr>
          <w:sz w:val="2"/>
        </w:rPr>
      </w:r>
    </w:p>
    <w:p>
      <w:pPr>
        <w:tabs>
          <w:tab w:pos="2433" w:val="left" w:leader="none"/>
          <w:tab w:pos="3707" w:val="left" w:leader="none"/>
        </w:tabs>
        <w:spacing w:line="140" w:lineRule="exact" w:before="16"/>
        <w:ind w:left="256" w:right="0" w:firstLine="0"/>
        <w:jc w:val="left"/>
        <w:rPr>
          <w:sz w:val="16"/>
        </w:rPr>
      </w:pPr>
      <w:r>
        <w:rPr>
          <w:color w:val="231F20"/>
          <w:sz w:val="16"/>
        </w:rPr>
        <w:t>24</w:t>
      </w:r>
      <w:r>
        <w:rPr>
          <w:color w:val="231F20"/>
          <w:spacing w:val="8"/>
          <w:sz w:val="16"/>
        </w:rPr>
        <w:t> </w:t>
      </w:r>
      <w:r>
        <w:rPr>
          <w:color w:val="231F20"/>
          <w:sz w:val="16"/>
        </w:rPr>
        <w:t>hours</w:t>
      </w:r>
      <w:r>
        <w:rPr>
          <w:color w:val="231F20"/>
          <w:spacing w:val="9"/>
          <w:sz w:val="16"/>
        </w:rPr>
        <w:t> </w:t>
      </w:r>
      <w:r>
        <w:rPr>
          <w:color w:val="231F20"/>
          <w:sz w:val="16"/>
        </w:rPr>
        <w:t>urine</w:t>
      </w:r>
      <w:r>
        <w:rPr>
          <w:color w:val="231F20"/>
          <w:spacing w:val="9"/>
          <w:sz w:val="16"/>
        </w:rPr>
        <w:t> </w:t>
      </w:r>
      <w:r>
        <w:rPr>
          <w:color w:val="231F20"/>
          <w:sz w:val="16"/>
        </w:rPr>
        <w:t>volume</w:t>
      </w:r>
      <w:r>
        <w:rPr>
          <w:color w:val="231F20"/>
          <w:spacing w:val="8"/>
          <w:sz w:val="16"/>
        </w:rPr>
        <w:t> </w:t>
      </w:r>
      <w:r>
        <w:rPr>
          <w:color w:val="231F20"/>
          <w:spacing w:val="-4"/>
          <w:sz w:val="16"/>
        </w:rPr>
        <w:t>(mL)</w:t>
      </w:r>
      <w:r>
        <w:rPr>
          <w:color w:val="231F20"/>
          <w:sz w:val="16"/>
        </w:rPr>
        <w:tab/>
      </w:r>
      <w:r>
        <w:rPr>
          <w:color w:val="231F20"/>
          <w:w w:val="105"/>
          <w:sz w:val="16"/>
        </w:rPr>
        <w:t>1,601</w:t>
      </w:r>
      <w:r>
        <w:rPr>
          <w:color w:val="231F20"/>
          <w:spacing w:val="6"/>
          <w:w w:val="120"/>
          <w:sz w:val="16"/>
        </w:rPr>
        <w:t> </w:t>
      </w:r>
      <w:r>
        <w:rPr>
          <w:rFonts w:ascii="Arial"/>
          <w:color w:val="231F20"/>
          <w:w w:val="120"/>
          <w:sz w:val="16"/>
        </w:rPr>
        <w:t>6 </w:t>
      </w:r>
      <w:r>
        <w:rPr>
          <w:color w:val="231F20"/>
          <w:spacing w:val="-5"/>
          <w:w w:val="105"/>
          <w:sz w:val="16"/>
        </w:rPr>
        <w:t>562</w:t>
      </w:r>
      <w:r>
        <w:rPr>
          <w:color w:val="231F20"/>
          <w:sz w:val="16"/>
        </w:rPr>
        <w:tab/>
      </w:r>
      <w:r>
        <w:rPr>
          <w:color w:val="231F20"/>
          <w:w w:val="105"/>
          <w:sz w:val="16"/>
        </w:rPr>
        <w:t>1,521</w:t>
      </w:r>
      <w:r>
        <w:rPr>
          <w:color w:val="231F20"/>
          <w:spacing w:val="5"/>
          <w:w w:val="120"/>
          <w:sz w:val="16"/>
        </w:rPr>
        <w:t> </w:t>
      </w:r>
      <w:r>
        <w:rPr>
          <w:rFonts w:ascii="Arial"/>
          <w:color w:val="231F20"/>
          <w:w w:val="120"/>
          <w:sz w:val="16"/>
        </w:rPr>
        <w:t>6</w:t>
      </w:r>
      <w:r>
        <w:rPr>
          <w:rFonts w:ascii="Arial"/>
          <w:color w:val="231F20"/>
          <w:spacing w:val="1"/>
          <w:w w:val="120"/>
          <w:sz w:val="16"/>
        </w:rPr>
        <w:t> </w:t>
      </w:r>
      <w:r>
        <w:rPr>
          <w:color w:val="231F20"/>
          <w:spacing w:val="-5"/>
          <w:w w:val="105"/>
          <w:sz w:val="16"/>
        </w:rPr>
        <w:t>583</w:t>
      </w:r>
    </w:p>
    <w:p>
      <w:pPr>
        <w:spacing w:after="0" w:line="140" w:lineRule="exact"/>
        <w:jc w:val="left"/>
        <w:rPr>
          <w:sz w:val="16"/>
        </w:rPr>
        <w:sectPr>
          <w:type w:val="continuous"/>
          <w:pgSz w:w="12240" w:h="16200"/>
          <w:pgMar w:top="1060" w:bottom="280" w:left="1080" w:right="1080"/>
          <w:cols w:num="2" w:equalWidth="0">
            <w:col w:w="935" w:space="4265"/>
            <w:col w:w="4880"/>
          </w:cols>
        </w:sectPr>
      </w:pPr>
    </w:p>
    <w:p>
      <w:pPr>
        <w:pStyle w:val="BodyText"/>
        <w:spacing w:line="176" w:lineRule="exact"/>
        <w:ind w:left="456"/>
      </w:pPr>
      <w:r>
        <w:rPr>
          <w:color w:val="231F20"/>
        </w:rPr>
        <w:t>After</w:t>
      </w:r>
      <w:r>
        <w:rPr>
          <w:color w:val="231F20"/>
          <w:spacing w:val="16"/>
        </w:rPr>
        <w:t> </w:t>
      </w:r>
      <w:r>
        <w:rPr>
          <w:color w:val="231F20"/>
        </w:rPr>
        <w:t>surgery,</w:t>
      </w:r>
      <w:r>
        <w:rPr>
          <w:color w:val="231F20"/>
          <w:spacing w:val="14"/>
        </w:rPr>
        <w:t> </w:t>
      </w:r>
      <w:r>
        <w:rPr>
          <w:color w:val="231F20"/>
        </w:rPr>
        <w:t>DBS-STN</w:t>
      </w:r>
      <w:r>
        <w:rPr>
          <w:color w:val="231F20"/>
          <w:spacing w:val="14"/>
        </w:rPr>
        <w:t> </w:t>
      </w:r>
      <w:r>
        <w:rPr>
          <w:color w:val="231F20"/>
        </w:rPr>
        <w:t>produced</w:t>
      </w:r>
      <w:r>
        <w:rPr>
          <w:color w:val="231F20"/>
          <w:spacing w:val="14"/>
        </w:rPr>
        <w:t> </w:t>
      </w:r>
      <w:r>
        <w:rPr>
          <w:color w:val="231F20"/>
        </w:rPr>
        <w:t>a</w:t>
      </w:r>
      <w:r>
        <w:rPr>
          <w:color w:val="231F20"/>
          <w:spacing w:val="14"/>
        </w:rPr>
        <w:t> </w:t>
      </w:r>
      <w:r>
        <w:rPr>
          <w:color w:val="231F20"/>
        </w:rPr>
        <w:t>statistically</w:t>
      </w:r>
      <w:r>
        <w:rPr>
          <w:color w:val="231F20"/>
          <w:spacing w:val="14"/>
        </w:rPr>
        <w:t> </w:t>
      </w:r>
      <w:r>
        <w:rPr>
          <w:color w:val="231F20"/>
        </w:rPr>
        <w:t>and</w:t>
      </w:r>
      <w:r>
        <w:rPr>
          <w:color w:val="231F20"/>
          <w:spacing w:val="14"/>
        </w:rPr>
        <w:t> </w:t>
      </w:r>
      <w:r>
        <w:rPr>
          <w:color w:val="231F20"/>
          <w:spacing w:val="-2"/>
        </w:rPr>
        <w:t>clini-</w:t>
      </w:r>
    </w:p>
    <w:p>
      <w:pPr>
        <w:pStyle w:val="BodyText"/>
        <w:spacing w:line="235" w:lineRule="auto"/>
        <w:ind w:left="256"/>
      </w:pPr>
      <w:r>
        <w:rPr>
          <w:color w:val="231F20"/>
        </w:rPr>
        <w:t>cally signiﬁcant reduction in mean Uniﬁed Parkison’s Disease Rating</w:t>
      </w:r>
      <w:r>
        <w:rPr>
          <w:color w:val="231F20"/>
          <w:spacing w:val="20"/>
        </w:rPr>
        <w:t> </w:t>
      </w:r>
      <w:r>
        <w:rPr>
          <w:color w:val="231F20"/>
        </w:rPr>
        <w:t>Scale</w:t>
      </w:r>
      <w:r>
        <w:rPr>
          <w:color w:val="231F20"/>
          <w:spacing w:val="23"/>
        </w:rPr>
        <w:t> </w:t>
      </w:r>
      <w:r>
        <w:rPr>
          <w:color w:val="231F20"/>
        </w:rPr>
        <w:t>(UPDRS)</w:t>
      </w:r>
      <w:r>
        <w:rPr>
          <w:color w:val="231F20"/>
          <w:spacing w:val="22"/>
        </w:rPr>
        <w:t> </w:t>
      </w:r>
      <w:r>
        <w:rPr>
          <w:color w:val="231F20"/>
        </w:rPr>
        <w:t>motor</w:t>
      </w:r>
      <w:r>
        <w:rPr>
          <w:color w:val="231F20"/>
          <w:spacing w:val="24"/>
        </w:rPr>
        <w:t> </w:t>
      </w:r>
      <w:r>
        <w:rPr>
          <w:color w:val="231F20"/>
        </w:rPr>
        <w:t>scores.</w:t>
      </w:r>
      <w:r>
        <w:rPr>
          <w:color w:val="231F20"/>
          <w:spacing w:val="23"/>
        </w:rPr>
        <w:t> </w:t>
      </w:r>
      <w:r>
        <w:rPr>
          <w:color w:val="231F20"/>
        </w:rPr>
        <w:t>UPRSS-III</w:t>
      </w:r>
      <w:r>
        <w:rPr>
          <w:color w:val="231F20"/>
          <w:spacing w:val="21"/>
        </w:rPr>
        <w:t> </w:t>
      </w:r>
      <w:r>
        <w:rPr>
          <w:color w:val="231F20"/>
        </w:rPr>
        <w:t>was</w:t>
      </w:r>
      <w:r>
        <w:rPr>
          <w:color w:val="231F20"/>
          <w:spacing w:val="22"/>
        </w:rPr>
        <w:t> </w:t>
      </w:r>
      <w:r>
        <w:rPr>
          <w:color w:val="231F20"/>
          <w:spacing w:val="-2"/>
        </w:rPr>
        <w:t>signiﬁ-</w:t>
      </w:r>
    </w:p>
    <w:p>
      <w:pPr>
        <w:spacing w:line="232" w:lineRule="auto" w:before="44"/>
        <w:ind w:left="585" w:right="38" w:hanging="171"/>
        <w:jc w:val="left"/>
        <w:rPr>
          <w:sz w:val="16"/>
        </w:rPr>
      </w:pPr>
      <w:r>
        <w:rPr/>
        <w:br w:type="column"/>
      </w:r>
      <w:r>
        <w:rPr>
          <w:color w:val="231F20"/>
          <w:sz w:val="16"/>
        </w:rPr>
        <w:t>Glomerular</w:t>
      </w:r>
      <w:r>
        <w:rPr>
          <w:color w:val="231F20"/>
          <w:spacing w:val="-7"/>
          <w:sz w:val="16"/>
        </w:rPr>
        <w:t> </w:t>
      </w:r>
      <w:r>
        <w:rPr>
          <w:color w:val="231F20"/>
          <w:sz w:val="16"/>
        </w:rPr>
        <w:t>ﬁltration</w:t>
      </w:r>
      <w:r>
        <w:rPr>
          <w:color w:val="231F20"/>
          <w:spacing w:val="40"/>
          <w:sz w:val="16"/>
        </w:rPr>
        <w:t> </w:t>
      </w:r>
      <w:r>
        <w:rPr>
          <w:color w:val="231F20"/>
          <w:sz w:val="16"/>
        </w:rPr>
        <w:t>rate (mL/min)</w:t>
      </w:r>
    </w:p>
    <w:p>
      <w:pPr>
        <w:spacing w:line="182" w:lineRule="exact" w:before="0"/>
        <w:ind w:left="256" w:right="0" w:firstLine="0"/>
        <w:jc w:val="left"/>
        <w:rPr>
          <w:sz w:val="16"/>
        </w:rPr>
      </w:pPr>
      <w:r>
        <w:rPr>
          <w:color w:val="231F20"/>
          <w:sz w:val="16"/>
        </w:rPr>
        <w:t>Blood</w:t>
      </w:r>
      <w:r>
        <w:rPr>
          <w:color w:val="231F20"/>
          <w:spacing w:val="8"/>
          <w:sz w:val="16"/>
        </w:rPr>
        <w:t> </w:t>
      </w:r>
      <w:r>
        <w:rPr>
          <w:color w:val="231F20"/>
          <w:spacing w:val="-2"/>
          <w:sz w:val="16"/>
        </w:rPr>
        <w:t>ionogram</w:t>
      </w:r>
    </w:p>
    <w:p>
      <w:pPr>
        <w:tabs>
          <w:tab w:pos="1530" w:val="left" w:leader="none"/>
        </w:tabs>
        <w:spacing w:before="39"/>
        <w:ind w:left="256" w:right="0" w:firstLine="0"/>
        <w:jc w:val="left"/>
        <w:rPr>
          <w:sz w:val="16"/>
        </w:rPr>
      </w:pPr>
      <w:r>
        <w:rPr/>
        <w:br w:type="column"/>
      </w:r>
      <w:r>
        <w:rPr>
          <w:color w:val="231F20"/>
          <w:w w:val="110"/>
          <w:sz w:val="16"/>
        </w:rPr>
        <w:t>78.2</w:t>
      </w:r>
      <w:r>
        <w:rPr>
          <w:color w:val="231F20"/>
          <w:spacing w:val="2"/>
          <w:w w:val="120"/>
          <w:sz w:val="16"/>
        </w:rPr>
        <w:t> </w:t>
      </w:r>
      <w:r>
        <w:rPr>
          <w:rFonts w:ascii="Arial"/>
          <w:color w:val="231F20"/>
          <w:w w:val="120"/>
          <w:sz w:val="16"/>
        </w:rPr>
        <w:t>6</w:t>
      </w:r>
      <w:r>
        <w:rPr>
          <w:rFonts w:ascii="Arial"/>
          <w:color w:val="231F20"/>
          <w:spacing w:val="-4"/>
          <w:w w:val="120"/>
          <w:sz w:val="16"/>
        </w:rPr>
        <w:t> </w:t>
      </w:r>
      <w:r>
        <w:rPr>
          <w:color w:val="231F20"/>
          <w:spacing w:val="-4"/>
          <w:w w:val="110"/>
          <w:sz w:val="16"/>
        </w:rPr>
        <w:t>31.1*</w:t>
      </w:r>
      <w:r>
        <w:rPr>
          <w:color w:val="231F20"/>
          <w:sz w:val="16"/>
        </w:rPr>
        <w:tab/>
      </w:r>
      <w:r>
        <w:rPr>
          <w:color w:val="231F20"/>
          <w:w w:val="110"/>
          <w:sz w:val="16"/>
        </w:rPr>
        <w:t>69.3</w:t>
      </w:r>
      <w:r>
        <w:rPr>
          <w:color w:val="231F20"/>
          <w:spacing w:val="1"/>
          <w:w w:val="120"/>
          <w:sz w:val="16"/>
        </w:rPr>
        <w:t> </w:t>
      </w:r>
      <w:r>
        <w:rPr>
          <w:rFonts w:ascii="Arial"/>
          <w:color w:val="231F20"/>
          <w:w w:val="120"/>
          <w:sz w:val="16"/>
        </w:rPr>
        <w:t>6</w:t>
      </w:r>
      <w:r>
        <w:rPr>
          <w:rFonts w:ascii="Arial"/>
          <w:color w:val="231F20"/>
          <w:spacing w:val="-3"/>
          <w:w w:val="120"/>
          <w:sz w:val="16"/>
        </w:rPr>
        <w:t> </w:t>
      </w:r>
      <w:r>
        <w:rPr>
          <w:color w:val="231F20"/>
          <w:spacing w:val="-4"/>
          <w:w w:val="110"/>
          <w:sz w:val="16"/>
        </w:rPr>
        <w:t>27.9*</w:t>
      </w:r>
    </w:p>
    <w:p>
      <w:pPr>
        <w:spacing w:after="0"/>
        <w:jc w:val="left"/>
        <w:rPr>
          <w:sz w:val="16"/>
        </w:rPr>
        <w:sectPr>
          <w:type w:val="continuous"/>
          <w:pgSz w:w="12240" w:h="16200"/>
          <w:pgMar w:top="1060" w:bottom="280" w:left="1080" w:right="1080"/>
          <w:cols w:num="3" w:equalWidth="0">
            <w:col w:w="4861" w:space="180"/>
            <w:col w:w="1795" w:space="620"/>
            <w:col w:w="2624"/>
          </w:cols>
        </w:sectPr>
      </w:pPr>
    </w:p>
    <w:p>
      <w:pPr>
        <w:pStyle w:val="BodyText"/>
        <w:spacing w:line="198" w:lineRule="exact"/>
        <w:ind w:left="256"/>
      </w:pPr>
      <w:r>
        <w:rPr>
          <w:color w:val="231F20"/>
          <w:w w:val="105"/>
        </w:rPr>
        <w:t>cantly</w:t>
      </w:r>
      <w:r>
        <w:rPr>
          <w:color w:val="231F20"/>
          <w:spacing w:val="-10"/>
          <w:w w:val="105"/>
        </w:rPr>
        <w:t> </w:t>
      </w:r>
      <w:r>
        <w:rPr>
          <w:color w:val="231F20"/>
          <w:w w:val="105"/>
        </w:rPr>
        <w:t>improved</w:t>
      </w:r>
      <w:r>
        <w:rPr>
          <w:color w:val="231F20"/>
          <w:spacing w:val="-11"/>
          <w:w w:val="105"/>
        </w:rPr>
        <w:t> </w:t>
      </w:r>
      <w:r>
        <w:rPr>
          <w:color w:val="231F20"/>
          <w:w w:val="105"/>
        </w:rPr>
        <w:t>after</w:t>
      </w:r>
      <w:r>
        <w:rPr>
          <w:color w:val="231F20"/>
          <w:spacing w:val="-9"/>
          <w:w w:val="105"/>
        </w:rPr>
        <w:t> </w:t>
      </w:r>
      <w:r>
        <w:rPr>
          <w:color w:val="231F20"/>
          <w:w w:val="105"/>
        </w:rPr>
        <w:t>DBS-STN</w:t>
      </w:r>
      <w:r>
        <w:rPr>
          <w:color w:val="231F20"/>
          <w:spacing w:val="-9"/>
          <w:w w:val="105"/>
        </w:rPr>
        <w:t> </w:t>
      </w:r>
      <w:r>
        <w:rPr>
          <w:color w:val="231F20"/>
          <w:w w:val="105"/>
        </w:rPr>
        <w:t>(</w:t>
      </w:r>
      <w:r>
        <w:rPr>
          <w:i/>
          <w:color w:val="231F20"/>
          <w:w w:val="105"/>
        </w:rPr>
        <w:t>P</w:t>
      </w:r>
      <w:r>
        <w:rPr>
          <w:i/>
          <w:color w:val="231F20"/>
          <w:spacing w:val="-10"/>
          <w:w w:val="105"/>
        </w:rPr>
        <w:t> </w:t>
      </w:r>
      <w:r>
        <w:rPr>
          <w:rFonts w:ascii="Arial"/>
          <w:color w:val="231F20"/>
          <w:w w:val="105"/>
        </w:rPr>
        <w:t>&lt;</w:t>
      </w:r>
      <w:r>
        <w:rPr>
          <w:rFonts w:ascii="Arial"/>
          <w:color w:val="231F20"/>
          <w:spacing w:val="-13"/>
          <w:w w:val="105"/>
        </w:rPr>
        <w:t> </w:t>
      </w:r>
      <w:r>
        <w:rPr>
          <w:color w:val="231F20"/>
          <w:w w:val="105"/>
        </w:rPr>
        <w:t>0.005):</w:t>
      </w:r>
      <w:r>
        <w:rPr>
          <w:color w:val="231F20"/>
          <w:spacing w:val="-10"/>
          <w:w w:val="105"/>
        </w:rPr>
        <w:t> </w:t>
      </w:r>
      <w:r>
        <w:rPr>
          <w:color w:val="231F20"/>
          <w:w w:val="105"/>
        </w:rPr>
        <w:t>52</w:t>
      </w:r>
      <w:r>
        <w:rPr>
          <w:color w:val="231F20"/>
          <w:spacing w:val="-10"/>
          <w:w w:val="105"/>
        </w:rPr>
        <w:t> </w:t>
      </w:r>
      <w:r>
        <w:rPr>
          <w:rFonts w:ascii="Arial"/>
          <w:color w:val="231F20"/>
          <w:w w:val="120"/>
        </w:rPr>
        <w:t>6</w:t>
      </w:r>
      <w:r>
        <w:rPr>
          <w:rFonts w:ascii="Arial"/>
          <w:color w:val="231F20"/>
          <w:spacing w:val="-15"/>
          <w:w w:val="120"/>
        </w:rPr>
        <w:t> </w:t>
      </w:r>
      <w:r>
        <w:rPr>
          <w:color w:val="231F20"/>
          <w:w w:val="105"/>
        </w:rPr>
        <w:t>8.3</w:t>
      </w:r>
      <w:r>
        <w:rPr>
          <w:color w:val="231F20"/>
          <w:spacing w:val="-9"/>
          <w:w w:val="105"/>
        </w:rPr>
        <w:t> </w:t>
      </w:r>
      <w:r>
        <w:rPr>
          <w:color w:val="231F20"/>
          <w:spacing w:val="-2"/>
          <w:w w:val="105"/>
        </w:rPr>
        <w:t>before</w:t>
      </w:r>
    </w:p>
    <w:p>
      <w:pPr>
        <w:pStyle w:val="BodyText"/>
        <w:spacing w:line="235" w:lineRule="auto"/>
        <w:ind w:left="256" w:hanging="1"/>
      </w:pPr>
      <w:r>
        <w:rPr>
          <w:color w:val="231F20"/>
          <w:w w:val="105"/>
        </w:rPr>
        <w:t>surgery</w:t>
      </w:r>
      <w:r>
        <w:rPr>
          <w:color w:val="231F20"/>
          <w:spacing w:val="13"/>
          <w:w w:val="105"/>
        </w:rPr>
        <w:t> </w:t>
      </w:r>
      <w:r>
        <w:rPr>
          <w:color w:val="231F20"/>
          <w:w w:val="105"/>
        </w:rPr>
        <w:t>and</w:t>
      </w:r>
      <w:r>
        <w:rPr>
          <w:color w:val="231F20"/>
          <w:spacing w:val="13"/>
          <w:w w:val="105"/>
        </w:rPr>
        <w:t> </w:t>
      </w:r>
      <w:r>
        <w:rPr>
          <w:color w:val="231F20"/>
          <w:w w:val="105"/>
        </w:rPr>
        <w:t>16.5</w:t>
      </w:r>
      <w:r>
        <w:rPr>
          <w:color w:val="231F20"/>
          <w:w w:val="120"/>
        </w:rPr>
        <w:t> </w:t>
      </w:r>
      <w:r>
        <w:rPr>
          <w:rFonts w:ascii="Arial"/>
          <w:color w:val="231F20"/>
          <w:w w:val="120"/>
        </w:rPr>
        <w:t>6</w:t>
      </w:r>
      <w:r>
        <w:rPr>
          <w:rFonts w:ascii="Arial"/>
          <w:color w:val="231F20"/>
          <w:w w:val="120"/>
        </w:rPr>
        <w:t> </w:t>
      </w:r>
      <w:r>
        <w:rPr>
          <w:color w:val="231F20"/>
          <w:w w:val="105"/>
        </w:rPr>
        <w:t>8.4,</w:t>
      </w:r>
      <w:r>
        <w:rPr>
          <w:color w:val="231F20"/>
          <w:spacing w:val="13"/>
          <w:w w:val="105"/>
        </w:rPr>
        <w:t> </w:t>
      </w:r>
      <w:r>
        <w:rPr>
          <w:color w:val="231F20"/>
          <w:w w:val="105"/>
        </w:rPr>
        <w:t>1</w:t>
      </w:r>
      <w:r>
        <w:rPr>
          <w:color w:val="231F20"/>
          <w:spacing w:val="13"/>
          <w:w w:val="105"/>
        </w:rPr>
        <w:t> </w:t>
      </w:r>
      <w:r>
        <w:rPr>
          <w:color w:val="231F20"/>
          <w:w w:val="105"/>
        </w:rPr>
        <w:t>week</w:t>
      </w:r>
      <w:r>
        <w:rPr>
          <w:color w:val="231F20"/>
          <w:spacing w:val="12"/>
          <w:w w:val="105"/>
        </w:rPr>
        <w:t> </w:t>
      </w:r>
      <w:r>
        <w:rPr>
          <w:color w:val="231F20"/>
          <w:w w:val="105"/>
        </w:rPr>
        <w:t>after</w:t>
      </w:r>
      <w:r>
        <w:rPr>
          <w:color w:val="231F20"/>
          <w:spacing w:val="12"/>
          <w:w w:val="105"/>
        </w:rPr>
        <w:t> </w:t>
      </w:r>
      <w:r>
        <w:rPr>
          <w:color w:val="231F20"/>
          <w:w w:val="105"/>
        </w:rPr>
        <w:t>surgery.</w:t>
      </w:r>
      <w:r>
        <w:rPr>
          <w:color w:val="231F20"/>
          <w:spacing w:val="13"/>
          <w:w w:val="105"/>
        </w:rPr>
        <w:t> </w:t>
      </w:r>
      <w:r>
        <w:rPr>
          <w:color w:val="231F20"/>
          <w:w w:val="105"/>
        </w:rPr>
        <w:t>As</w:t>
      </w:r>
      <w:r>
        <w:rPr>
          <w:color w:val="231F20"/>
          <w:spacing w:val="12"/>
          <w:w w:val="105"/>
        </w:rPr>
        <w:t> </w:t>
      </w:r>
      <w:r>
        <w:rPr>
          <w:color w:val="231F20"/>
          <w:w w:val="105"/>
        </w:rPr>
        <w:t>well</w:t>
      </w:r>
      <w:r>
        <w:rPr>
          <w:color w:val="231F20"/>
          <w:spacing w:val="12"/>
          <w:w w:val="105"/>
        </w:rPr>
        <w:t> </w:t>
      </w:r>
      <w:r>
        <w:rPr>
          <w:color w:val="231F20"/>
          <w:w w:val="105"/>
        </w:rPr>
        <w:t>as</w:t>
      </w:r>
      <w:r>
        <w:rPr>
          <w:color w:val="231F20"/>
          <w:spacing w:val="11"/>
          <w:w w:val="105"/>
        </w:rPr>
        <w:t> </w:t>
      </w:r>
      <w:r>
        <w:rPr>
          <w:color w:val="231F20"/>
          <w:w w:val="105"/>
        </w:rPr>
        <w:t>a </w:t>
      </w:r>
      <w:r>
        <w:rPr>
          <w:color w:val="231F20"/>
          <w:spacing w:val="-6"/>
          <w:w w:val="105"/>
        </w:rPr>
        <w:t>ma</w:t>
      </w:r>
    </w:p>
    <w:p>
      <w:pPr>
        <w:pStyle w:val="BodyText"/>
        <w:spacing w:line="235" w:lineRule="auto"/>
        <w:ind w:left="256" w:right="4368"/>
      </w:pPr>
      <w:r>
        <w:rPr>
          <w:color w:val="231F20"/>
          <w:spacing w:val="-4"/>
        </w:rPr>
        <w:t>red </w:t>
      </w:r>
      <w:r>
        <w:rPr>
          <w:color w:val="231F20"/>
          <w:spacing w:val="-6"/>
        </w:rPr>
        <w:t>49</w:t>
      </w:r>
    </w:p>
    <w:p>
      <w:pPr>
        <w:tabs>
          <w:tab w:pos="2553" w:val="left" w:leader="none"/>
          <w:tab w:pos="4502" w:val="right" w:leader="none"/>
        </w:tabs>
        <w:spacing w:line="177" w:lineRule="exact" w:before="0"/>
        <w:ind w:left="256" w:right="0" w:firstLine="0"/>
        <w:jc w:val="left"/>
        <w:rPr>
          <w:sz w:val="16"/>
        </w:rPr>
      </w:pPr>
      <w:r>
        <w:rPr/>
        <w:br w:type="column"/>
      </w:r>
      <w:r>
        <w:rPr>
          <w:color w:val="231F20"/>
          <w:sz w:val="16"/>
        </w:rPr>
        <w:t>Sodium</w:t>
      </w:r>
      <w:r>
        <w:rPr>
          <w:color w:val="231F20"/>
          <w:spacing w:val="3"/>
          <w:w w:val="110"/>
          <w:sz w:val="16"/>
        </w:rPr>
        <w:t> </w:t>
      </w:r>
      <w:r>
        <w:rPr>
          <w:color w:val="231F20"/>
          <w:spacing w:val="-2"/>
          <w:w w:val="110"/>
          <w:sz w:val="16"/>
        </w:rPr>
        <w:t>(mEq/L)</w:t>
      </w:r>
      <w:r>
        <w:rPr>
          <w:color w:val="231F20"/>
          <w:sz w:val="16"/>
        </w:rPr>
        <w:tab/>
      </w:r>
      <w:r>
        <w:rPr>
          <w:color w:val="231F20"/>
          <w:w w:val="110"/>
          <w:sz w:val="16"/>
        </w:rPr>
        <w:t>139</w:t>
      </w:r>
      <w:r>
        <w:rPr>
          <w:color w:val="231F20"/>
          <w:spacing w:val="3"/>
          <w:w w:val="120"/>
          <w:sz w:val="16"/>
        </w:rPr>
        <w:t> </w:t>
      </w:r>
      <w:r>
        <w:rPr>
          <w:rFonts w:ascii="Arial"/>
          <w:color w:val="231F20"/>
          <w:w w:val="120"/>
          <w:sz w:val="16"/>
        </w:rPr>
        <w:t>6</w:t>
      </w:r>
      <w:r>
        <w:rPr>
          <w:rFonts w:ascii="Arial"/>
          <w:color w:val="231F20"/>
          <w:spacing w:val="-2"/>
          <w:w w:val="120"/>
          <w:sz w:val="16"/>
        </w:rPr>
        <w:t> </w:t>
      </w:r>
      <w:r>
        <w:rPr>
          <w:color w:val="231F20"/>
          <w:spacing w:val="-5"/>
          <w:w w:val="110"/>
          <w:sz w:val="16"/>
        </w:rPr>
        <w:t>2.2</w:t>
      </w:r>
      <w:r>
        <w:rPr>
          <w:color w:val="231F20"/>
          <w:sz w:val="16"/>
        </w:rPr>
        <w:tab/>
      </w:r>
      <w:r>
        <w:rPr>
          <w:color w:val="231F20"/>
          <w:spacing w:val="-5"/>
          <w:w w:val="110"/>
          <w:sz w:val="16"/>
        </w:rPr>
        <w:t>136 </w:t>
      </w:r>
      <w:r>
        <w:rPr>
          <w:rFonts w:ascii="Arial"/>
          <w:color w:val="231F20"/>
          <w:w w:val="120"/>
          <w:sz w:val="16"/>
        </w:rPr>
        <w:t>6 </w:t>
      </w:r>
      <w:r>
        <w:rPr>
          <w:color w:val="231F20"/>
          <w:w w:val="110"/>
          <w:sz w:val="16"/>
        </w:rPr>
        <w:t>2.1</w:t>
      </w:r>
    </w:p>
    <w:p>
      <w:pPr>
        <w:tabs>
          <w:tab w:pos="2593" w:val="left" w:leader="none"/>
          <w:tab w:pos="4502" w:val="right" w:leader="none"/>
        </w:tabs>
        <w:spacing w:line="182" w:lineRule="exact" w:before="0"/>
        <w:ind w:left="256" w:right="0" w:firstLine="0"/>
        <w:jc w:val="left"/>
        <w:rPr>
          <w:sz w:val="16"/>
        </w:rPr>
      </w:pPr>
      <w:r>
        <w:rPr>
          <w:color w:val="231F20"/>
          <w:sz w:val="16"/>
        </w:rPr>
        <w:t>Potassium</w:t>
      </w:r>
      <w:r>
        <w:rPr>
          <w:color w:val="231F20"/>
          <w:spacing w:val="1"/>
          <w:w w:val="110"/>
          <w:sz w:val="16"/>
        </w:rPr>
        <w:t> </w:t>
      </w:r>
      <w:r>
        <w:rPr>
          <w:color w:val="231F20"/>
          <w:spacing w:val="-2"/>
          <w:w w:val="110"/>
          <w:sz w:val="16"/>
        </w:rPr>
        <w:t>(mEq/L)</w:t>
      </w:r>
      <w:r>
        <w:rPr>
          <w:color w:val="231F20"/>
          <w:sz w:val="16"/>
        </w:rPr>
        <w:tab/>
      </w:r>
      <w:r>
        <w:rPr>
          <w:color w:val="231F20"/>
          <w:w w:val="110"/>
          <w:sz w:val="16"/>
        </w:rPr>
        <w:t>4.1</w:t>
      </w:r>
      <w:r>
        <w:rPr>
          <w:color w:val="231F20"/>
          <w:spacing w:val="5"/>
          <w:w w:val="120"/>
          <w:sz w:val="16"/>
        </w:rPr>
        <w:t> </w:t>
      </w:r>
      <w:r>
        <w:rPr>
          <w:rFonts w:ascii="Arial"/>
          <w:color w:val="231F20"/>
          <w:w w:val="120"/>
          <w:sz w:val="16"/>
        </w:rPr>
        <w:t>6 </w:t>
      </w:r>
      <w:r>
        <w:rPr>
          <w:color w:val="231F20"/>
          <w:spacing w:val="-5"/>
          <w:w w:val="110"/>
          <w:sz w:val="16"/>
        </w:rPr>
        <w:t>0.1</w:t>
      </w:r>
      <w:r>
        <w:rPr>
          <w:color w:val="231F20"/>
          <w:sz w:val="16"/>
        </w:rPr>
        <w:tab/>
      </w:r>
      <w:r>
        <w:rPr>
          <w:color w:val="231F20"/>
          <w:spacing w:val="-5"/>
          <w:w w:val="110"/>
          <w:sz w:val="16"/>
        </w:rPr>
        <w:t>4.0 </w:t>
      </w:r>
      <w:r>
        <w:rPr>
          <w:rFonts w:ascii="Arial"/>
          <w:color w:val="231F20"/>
          <w:w w:val="120"/>
          <w:sz w:val="16"/>
        </w:rPr>
        <w:t>6 </w:t>
      </w:r>
      <w:r>
        <w:rPr>
          <w:color w:val="231F20"/>
          <w:w w:val="110"/>
          <w:sz w:val="16"/>
        </w:rPr>
        <w:t>0.1</w:t>
      </w:r>
    </w:p>
    <w:p>
      <w:pPr>
        <w:spacing w:after="0" w:line="182" w:lineRule="exact"/>
        <w:jc w:val="left"/>
        <w:rPr>
          <w:sz w:val="16"/>
        </w:rPr>
        <w:sectPr>
          <w:type w:val="continuous"/>
          <w:pgSz w:w="12240" w:h="16200"/>
          <w:pgMar w:top="1060" w:bottom="280" w:left="1080" w:right="1080"/>
          <w:cols w:num="2" w:equalWidth="0">
            <w:col w:w="4862" w:space="338"/>
            <w:col w:w="4880"/>
          </w:cols>
        </w:sectPr>
      </w:pPr>
    </w:p>
    <w:p>
      <w:pPr>
        <w:pStyle w:val="BodyText"/>
        <w:spacing w:line="235" w:lineRule="auto"/>
        <w:ind w:left="256" w:right="38" w:firstLine="199"/>
        <w:jc w:val="both"/>
      </w:pPr>
      <w:r>
        <w:rPr/>
        <mc:AlternateContent>
          <mc:Choice Requires="wps">
            <w:drawing>
              <wp:anchor distT="0" distB="0" distL="0" distR="0" allowOverlap="1" layoutInCell="1" locked="0" behindDoc="0" simplePos="0" relativeHeight="15730688">
                <wp:simplePos x="0" y="0"/>
                <wp:positionH relativeFrom="page">
                  <wp:posOffset>7555927</wp:posOffset>
                </wp:positionH>
                <wp:positionV relativeFrom="page">
                  <wp:posOffset>208819</wp:posOffset>
                </wp:positionV>
                <wp:extent cx="95885" cy="987552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95885" cy="9875520"/>
                        </a:xfrm>
                        <a:prstGeom prst="rect">
                          <a:avLst/>
                        </a:prstGeom>
                      </wps:spPr>
                      <wps:txbx>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wps:txbx>
                      <wps:bodyPr wrap="square" lIns="0" tIns="0" rIns="0" bIns="0" rtlCol="0" vert="vert">
                        <a:noAutofit/>
                      </wps:bodyPr>
                    </wps:wsp>
                  </a:graphicData>
                </a:graphic>
              </wp:anchor>
            </w:drawing>
          </mc:Choice>
          <mc:Fallback>
            <w:pict>
              <v:shape style="position:absolute;margin-left:594.954956pt;margin-top:16.442499pt;width:7.55pt;height:777.6pt;mso-position-horizontal-relative:page;mso-position-vertical-relative:page;z-index:15730688" type="#_x0000_t202" id="docshape5" filled="false" stroked="false">
                <v:textbox inset="0,0,0,0" style="layout-flow:vertical">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v:textbox>
                <w10:wrap type="none"/>
              </v:shape>
            </w:pict>
          </mc:Fallback>
        </mc:AlternateContent>
      </w:r>
      <w:r>
        <w:rPr>
          <w:color w:val="231F20"/>
        </w:rPr>
        <w:t>Mean estimated GFR, calculated by CC (mL/min) </w:t>
      </w:r>
      <w:r>
        <w:rPr>
          <w:color w:val="231F20"/>
        </w:rPr>
        <w:t>declined </w:t>
      </w:r>
      <w:r>
        <w:rPr>
          <w:color w:val="231F20"/>
          <w:w w:val="105"/>
        </w:rPr>
        <w:t>signiﬁcantly</w:t>
      </w:r>
      <w:r>
        <w:rPr>
          <w:color w:val="231F20"/>
          <w:spacing w:val="9"/>
          <w:w w:val="105"/>
        </w:rPr>
        <w:t> </w:t>
      </w:r>
      <w:r>
        <w:rPr>
          <w:color w:val="231F20"/>
          <w:w w:val="105"/>
        </w:rPr>
        <w:t>(</w:t>
      </w:r>
      <w:r>
        <w:rPr>
          <w:i/>
          <w:color w:val="231F20"/>
          <w:w w:val="105"/>
        </w:rPr>
        <w:t>P</w:t>
      </w:r>
      <w:r>
        <w:rPr>
          <w:i/>
          <w:color w:val="231F20"/>
          <w:spacing w:val="10"/>
          <w:w w:val="105"/>
        </w:rPr>
        <w:t> </w:t>
      </w:r>
      <w:r>
        <w:rPr>
          <w:rFonts w:ascii="Arial" w:hAnsi="Arial"/>
          <w:color w:val="231F20"/>
          <w:w w:val="105"/>
        </w:rPr>
        <w:t>&lt;</w:t>
      </w:r>
      <w:r>
        <w:rPr>
          <w:rFonts w:ascii="Arial" w:hAnsi="Arial"/>
          <w:color w:val="231F20"/>
          <w:spacing w:val="5"/>
          <w:w w:val="105"/>
        </w:rPr>
        <w:t> </w:t>
      </w:r>
      <w:r>
        <w:rPr>
          <w:color w:val="231F20"/>
          <w:w w:val="105"/>
        </w:rPr>
        <w:t>0.005)</w:t>
      </w:r>
      <w:r>
        <w:rPr>
          <w:color w:val="231F20"/>
          <w:spacing w:val="10"/>
          <w:w w:val="105"/>
        </w:rPr>
        <w:t> </w:t>
      </w:r>
      <w:r>
        <w:rPr>
          <w:color w:val="231F20"/>
          <w:w w:val="105"/>
        </w:rPr>
        <w:t>after</w:t>
      </w:r>
      <w:r>
        <w:rPr>
          <w:color w:val="231F20"/>
          <w:spacing w:val="9"/>
          <w:w w:val="105"/>
        </w:rPr>
        <w:t> </w:t>
      </w:r>
      <w:r>
        <w:rPr>
          <w:color w:val="231F20"/>
          <w:w w:val="105"/>
        </w:rPr>
        <w:t>STN-DBS,</w:t>
      </w:r>
      <w:r>
        <w:rPr>
          <w:color w:val="231F20"/>
          <w:spacing w:val="11"/>
          <w:w w:val="105"/>
        </w:rPr>
        <w:t> </w:t>
      </w:r>
      <w:r>
        <w:rPr>
          <w:color w:val="231F20"/>
          <w:w w:val="105"/>
        </w:rPr>
        <w:t>from</w:t>
      </w:r>
      <w:r>
        <w:rPr>
          <w:color w:val="231F20"/>
          <w:spacing w:val="10"/>
          <w:w w:val="105"/>
        </w:rPr>
        <w:t> </w:t>
      </w:r>
      <w:r>
        <w:rPr>
          <w:color w:val="231F20"/>
          <w:w w:val="105"/>
        </w:rPr>
        <w:t>78.2</w:t>
      </w:r>
      <w:r>
        <w:rPr>
          <w:color w:val="231F20"/>
          <w:spacing w:val="3"/>
          <w:w w:val="120"/>
        </w:rPr>
        <w:t> </w:t>
      </w:r>
      <w:r>
        <w:rPr>
          <w:rFonts w:ascii="Arial" w:hAnsi="Arial"/>
          <w:color w:val="231F20"/>
          <w:w w:val="120"/>
        </w:rPr>
        <w:t>6</w:t>
      </w:r>
      <w:r>
        <w:rPr>
          <w:rFonts w:ascii="Arial" w:hAnsi="Arial"/>
          <w:color w:val="231F20"/>
          <w:spacing w:val="-4"/>
          <w:w w:val="120"/>
        </w:rPr>
        <w:t> </w:t>
      </w:r>
      <w:r>
        <w:rPr>
          <w:color w:val="231F20"/>
          <w:spacing w:val="-4"/>
          <w:w w:val="105"/>
        </w:rPr>
        <w:t>31.1</w:t>
      </w:r>
    </w:p>
    <w:p>
      <w:pPr>
        <w:pStyle w:val="BodyText"/>
        <w:spacing w:line="235" w:lineRule="auto"/>
        <w:ind w:left="256" w:right="38"/>
        <w:jc w:val="both"/>
      </w:pPr>
      <w:r>
        <w:rPr>
          <w:color w:val="231F20"/>
          <w:w w:val="105"/>
        </w:rPr>
        <w:t>to</w:t>
      </w:r>
      <w:r>
        <w:rPr>
          <w:color w:val="231F20"/>
          <w:spacing w:val="-12"/>
          <w:w w:val="105"/>
        </w:rPr>
        <w:t> </w:t>
      </w:r>
      <w:r>
        <w:rPr>
          <w:color w:val="231F20"/>
          <w:w w:val="105"/>
        </w:rPr>
        <w:t>69.3</w:t>
      </w:r>
      <w:r>
        <w:rPr>
          <w:color w:val="231F20"/>
          <w:spacing w:val="-11"/>
          <w:w w:val="105"/>
        </w:rPr>
        <w:t> </w:t>
      </w:r>
      <w:r>
        <w:rPr>
          <w:rFonts w:ascii="Arial" w:hAnsi="Arial"/>
          <w:color w:val="231F20"/>
          <w:w w:val="120"/>
        </w:rPr>
        <w:t>6</w:t>
      </w:r>
      <w:r>
        <w:rPr>
          <w:rFonts w:ascii="Arial" w:hAnsi="Arial"/>
          <w:color w:val="231F20"/>
          <w:spacing w:val="-15"/>
          <w:w w:val="120"/>
        </w:rPr>
        <w:t> </w:t>
      </w:r>
      <w:r>
        <w:rPr>
          <w:color w:val="231F20"/>
          <w:w w:val="105"/>
        </w:rPr>
        <w:t>27.9</w:t>
      </w:r>
      <w:r>
        <w:rPr>
          <w:color w:val="231F20"/>
          <w:spacing w:val="-8"/>
          <w:w w:val="105"/>
        </w:rPr>
        <w:t> </w:t>
      </w:r>
      <w:r>
        <w:rPr>
          <w:color w:val="231F20"/>
          <w:w w:val="105"/>
        </w:rPr>
        <w:t>(Fig.</w:t>
      </w:r>
      <w:r>
        <w:rPr>
          <w:color w:val="231F20"/>
          <w:spacing w:val="-8"/>
          <w:w w:val="105"/>
        </w:rPr>
        <w:t> </w:t>
      </w:r>
      <w:r>
        <w:rPr>
          <w:color w:val="231F20"/>
          <w:w w:val="105"/>
        </w:rPr>
        <w:t>1).</w:t>
      </w:r>
      <w:r>
        <w:rPr>
          <w:color w:val="231F20"/>
          <w:spacing w:val="-9"/>
          <w:w w:val="105"/>
        </w:rPr>
        <w:t> </w:t>
      </w:r>
      <w:r>
        <w:rPr>
          <w:color w:val="231F20"/>
          <w:w w:val="105"/>
        </w:rPr>
        <w:t>Moreover,</w:t>
      </w:r>
      <w:r>
        <w:rPr>
          <w:color w:val="231F20"/>
          <w:spacing w:val="-9"/>
          <w:w w:val="105"/>
        </w:rPr>
        <w:t> </w:t>
      </w:r>
      <w:r>
        <w:rPr>
          <w:color w:val="231F20"/>
          <w:w w:val="105"/>
        </w:rPr>
        <w:t>three</w:t>
      </w:r>
      <w:r>
        <w:rPr>
          <w:color w:val="231F20"/>
          <w:spacing w:val="-8"/>
          <w:w w:val="105"/>
        </w:rPr>
        <w:t> </w:t>
      </w:r>
      <w:r>
        <w:rPr>
          <w:color w:val="231F20"/>
          <w:w w:val="105"/>
        </w:rPr>
        <w:t>patients</w:t>
      </w:r>
      <w:r>
        <w:rPr>
          <w:color w:val="231F20"/>
          <w:spacing w:val="-9"/>
          <w:w w:val="105"/>
        </w:rPr>
        <w:t> </w:t>
      </w:r>
      <w:r>
        <w:rPr>
          <w:color w:val="231F20"/>
          <w:w w:val="105"/>
        </w:rPr>
        <w:t>without</w:t>
      </w:r>
      <w:r>
        <w:rPr>
          <w:color w:val="231F20"/>
          <w:spacing w:val="-9"/>
          <w:w w:val="105"/>
        </w:rPr>
        <w:t> </w:t>
      </w:r>
      <w:r>
        <w:rPr>
          <w:color w:val="231F20"/>
          <w:w w:val="105"/>
        </w:rPr>
        <w:t>pre- operative</w:t>
      </w:r>
      <w:r>
        <w:rPr>
          <w:color w:val="231F20"/>
          <w:w w:val="105"/>
        </w:rPr>
        <w:t> renal</w:t>
      </w:r>
      <w:r>
        <w:rPr>
          <w:color w:val="231F20"/>
          <w:w w:val="105"/>
        </w:rPr>
        <w:t> insufﬁciency</w:t>
      </w:r>
      <w:r>
        <w:rPr>
          <w:color w:val="231F20"/>
          <w:w w:val="105"/>
        </w:rPr>
        <w:t> (RI)</w:t>
      </w:r>
      <w:r>
        <w:rPr>
          <w:color w:val="231F20"/>
          <w:w w:val="105"/>
        </w:rPr>
        <w:t> (CC</w:t>
      </w:r>
      <w:r>
        <w:rPr>
          <w:color w:val="231F20"/>
          <w:w w:val="105"/>
        </w:rPr>
        <w:t> </w:t>
      </w:r>
      <w:r>
        <w:rPr>
          <w:rFonts w:ascii="Arial" w:hAnsi="Arial"/>
          <w:color w:val="231F20"/>
          <w:w w:val="105"/>
        </w:rPr>
        <w:t>&lt;</w:t>
      </w:r>
      <w:r>
        <w:rPr>
          <w:rFonts w:ascii="Arial" w:hAnsi="Arial"/>
          <w:color w:val="231F20"/>
          <w:spacing w:val="-4"/>
          <w:w w:val="105"/>
        </w:rPr>
        <w:t> </w:t>
      </w:r>
      <w:r>
        <w:rPr>
          <w:color w:val="231F20"/>
          <w:w w:val="105"/>
        </w:rPr>
        <w:t>90</w:t>
      </w:r>
      <w:r>
        <w:rPr>
          <w:color w:val="231F20"/>
          <w:w w:val="105"/>
        </w:rPr>
        <w:t> mL/min)</w:t>
      </w:r>
      <w:r>
        <w:rPr>
          <w:color w:val="231F20"/>
          <w:w w:val="105"/>
        </w:rPr>
        <w:t> devel- oped</w:t>
      </w:r>
      <w:r>
        <w:rPr>
          <w:color w:val="231F20"/>
          <w:w w:val="105"/>
        </w:rPr>
        <w:t> acute</w:t>
      </w:r>
      <w:r>
        <w:rPr>
          <w:color w:val="231F20"/>
          <w:w w:val="105"/>
        </w:rPr>
        <w:t> RI</w:t>
      </w:r>
      <w:r>
        <w:rPr>
          <w:color w:val="231F20"/>
          <w:w w:val="105"/>
        </w:rPr>
        <w:t> postoperatively:</w:t>
      </w:r>
      <w:r>
        <w:rPr>
          <w:color w:val="231F20"/>
          <w:w w:val="105"/>
        </w:rPr>
        <w:t> stage</w:t>
      </w:r>
      <w:r>
        <w:rPr>
          <w:color w:val="231F20"/>
          <w:w w:val="105"/>
        </w:rPr>
        <w:t> 2</w:t>
      </w:r>
      <w:r>
        <w:rPr>
          <w:color w:val="231F20"/>
          <w:w w:val="105"/>
        </w:rPr>
        <w:t> RI</w:t>
      </w:r>
      <w:r>
        <w:rPr>
          <w:color w:val="231F20"/>
          <w:w w:val="105"/>
        </w:rPr>
        <w:t> in</w:t>
      </w:r>
      <w:r>
        <w:rPr>
          <w:color w:val="231F20"/>
          <w:w w:val="105"/>
        </w:rPr>
        <w:t> two</w:t>
      </w:r>
      <w:r>
        <w:rPr>
          <w:color w:val="231F20"/>
          <w:w w:val="105"/>
        </w:rPr>
        <w:t> patients; and</w:t>
      </w:r>
      <w:r>
        <w:rPr>
          <w:color w:val="231F20"/>
          <w:w w:val="105"/>
        </w:rPr>
        <w:t> stage</w:t>
      </w:r>
      <w:r>
        <w:rPr>
          <w:color w:val="231F20"/>
          <w:w w:val="105"/>
        </w:rPr>
        <w:t> 3</w:t>
      </w:r>
      <w:r>
        <w:rPr>
          <w:color w:val="231F20"/>
          <w:w w:val="105"/>
        </w:rPr>
        <w:t> RI</w:t>
      </w:r>
      <w:r>
        <w:rPr>
          <w:color w:val="231F20"/>
          <w:w w:val="105"/>
        </w:rPr>
        <w:t> in</w:t>
      </w:r>
      <w:r>
        <w:rPr>
          <w:color w:val="231F20"/>
          <w:w w:val="105"/>
        </w:rPr>
        <w:t> one</w:t>
      </w:r>
      <w:r>
        <w:rPr>
          <w:color w:val="231F20"/>
          <w:w w:val="105"/>
        </w:rPr>
        <w:t> patient.</w:t>
      </w:r>
      <w:r>
        <w:rPr>
          <w:color w:val="231F20"/>
          <w:w w:val="105"/>
        </w:rPr>
        <w:t> Three</w:t>
      </w:r>
      <w:r>
        <w:rPr>
          <w:color w:val="231F20"/>
          <w:w w:val="105"/>
        </w:rPr>
        <w:t> patients</w:t>
      </w:r>
      <w:r>
        <w:rPr>
          <w:color w:val="231F20"/>
          <w:w w:val="105"/>
        </w:rPr>
        <w:t> with</w:t>
      </w:r>
      <w:r>
        <w:rPr>
          <w:color w:val="231F20"/>
          <w:w w:val="105"/>
        </w:rPr>
        <w:t> preopera- tive</w:t>
      </w:r>
      <w:r>
        <w:rPr>
          <w:color w:val="231F20"/>
          <w:w w:val="105"/>
        </w:rPr>
        <w:t> RI</w:t>
      </w:r>
      <w:r>
        <w:rPr>
          <w:color w:val="231F20"/>
          <w:w w:val="105"/>
        </w:rPr>
        <w:t> exacerbated:</w:t>
      </w:r>
      <w:r>
        <w:rPr>
          <w:color w:val="231F20"/>
          <w:w w:val="105"/>
        </w:rPr>
        <w:t> stage</w:t>
      </w:r>
      <w:r>
        <w:rPr>
          <w:color w:val="231F20"/>
          <w:w w:val="105"/>
        </w:rPr>
        <w:t> 2</w:t>
      </w:r>
      <w:r>
        <w:rPr>
          <w:color w:val="231F20"/>
          <w:w w:val="105"/>
        </w:rPr>
        <w:t> into</w:t>
      </w:r>
      <w:r>
        <w:rPr>
          <w:color w:val="231F20"/>
          <w:w w:val="105"/>
        </w:rPr>
        <w:t> stage</w:t>
      </w:r>
      <w:r>
        <w:rPr>
          <w:color w:val="231F20"/>
          <w:w w:val="105"/>
        </w:rPr>
        <w:t> 3</w:t>
      </w:r>
      <w:r>
        <w:rPr>
          <w:color w:val="231F20"/>
          <w:w w:val="105"/>
        </w:rPr>
        <w:t> in</w:t>
      </w:r>
      <w:r>
        <w:rPr>
          <w:color w:val="231F20"/>
          <w:w w:val="105"/>
        </w:rPr>
        <w:t> one</w:t>
      </w:r>
      <w:r>
        <w:rPr>
          <w:color w:val="231F20"/>
          <w:w w:val="105"/>
        </w:rPr>
        <w:t> patient;</w:t>
      </w:r>
      <w:r>
        <w:rPr>
          <w:color w:val="231F20"/>
          <w:w w:val="105"/>
        </w:rPr>
        <w:t> and stage 3 into stage 4 in two patients.</w:t>
      </w:r>
    </w:p>
    <w:p>
      <w:pPr>
        <w:pStyle w:val="BodyText"/>
        <w:spacing w:line="230" w:lineRule="auto"/>
        <w:ind w:left="256" w:right="38" w:firstLine="199"/>
        <w:jc w:val="both"/>
      </w:pPr>
      <w:r>
        <w:rPr>
          <w:color w:val="231F20"/>
          <w:w w:val="105"/>
        </w:rPr>
        <w:t>Mean</w:t>
      </w:r>
      <w:r>
        <w:rPr>
          <w:color w:val="231F20"/>
          <w:w w:val="105"/>
        </w:rPr>
        <w:t> urinary</w:t>
      </w:r>
      <w:r>
        <w:rPr>
          <w:color w:val="231F20"/>
          <w:w w:val="105"/>
        </w:rPr>
        <w:t> volume</w:t>
      </w:r>
      <w:r>
        <w:rPr>
          <w:color w:val="231F20"/>
          <w:w w:val="105"/>
        </w:rPr>
        <w:t> in</w:t>
      </w:r>
      <w:r>
        <w:rPr>
          <w:color w:val="231F20"/>
          <w:w w:val="105"/>
        </w:rPr>
        <w:t> mL/day</w:t>
      </w:r>
      <w:r>
        <w:rPr>
          <w:color w:val="231F20"/>
          <w:w w:val="105"/>
        </w:rPr>
        <w:t> were</w:t>
      </w:r>
      <w:r>
        <w:rPr>
          <w:color w:val="231F20"/>
          <w:w w:val="105"/>
        </w:rPr>
        <w:t> similar</w:t>
      </w:r>
      <w:r>
        <w:rPr>
          <w:color w:val="231F20"/>
          <w:w w:val="105"/>
        </w:rPr>
        <w:t> </w:t>
      </w:r>
      <w:r>
        <w:rPr>
          <w:color w:val="231F20"/>
          <w:w w:val="105"/>
        </w:rPr>
        <w:t>preopera- tively</w:t>
      </w:r>
      <w:r>
        <w:rPr>
          <w:color w:val="231F20"/>
          <w:spacing w:val="7"/>
          <w:w w:val="105"/>
        </w:rPr>
        <w:t> </w:t>
      </w:r>
      <w:r>
        <w:rPr>
          <w:color w:val="231F20"/>
          <w:w w:val="105"/>
        </w:rPr>
        <w:t>(1,601</w:t>
      </w:r>
      <w:r>
        <w:rPr>
          <w:color w:val="231F20"/>
          <w:w w:val="120"/>
        </w:rPr>
        <w:t> </w:t>
      </w:r>
      <w:r>
        <w:rPr>
          <w:rFonts w:ascii="Arial"/>
          <w:color w:val="231F20"/>
          <w:w w:val="120"/>
        </w:rPr>
        <w:t>6</w:t>
      </w:r>
      <w:r>
        <w:rPr>
          <w:rFonts w:ascii="Arial"/>
          <w:color w:val="231F20"/>
          <w:spacing w:val="-5"/>
          <w:w w:val="120"/>
        </w:rPr>
        <w:t> </w:t>
      </w:r>
      <w:r>
        <w:rPr>
          <w:color w:val="231F20"/>
          <w:w w:val="105"/>
        </w:rPr>
        <w:t>562)</w:t>
      </w:r>
      <w:r>
        <w:rPr>
          <w:color w:val="231F20"/>
          <w:spacing w:val="7"/>
          <w:w w:val="105"/>
        </w:rPr>
        <w:t> </w:t>
      </w:r>
      <w:r>
        <w:rPr>
          <w:color w:val="231F20"/>
          <w:w w:val="105"/>
        </w:rPr>
        <w:t>and</w:t>
      </w:r>
      <w:r>
        <w:rPr>
          <w:color w:val="231F20"/>
          <w:spacing w:val="7"/>
          <w:w w:val="105"/>
        </w:rPr>
        <w:t> </w:t>
      </w:r>
      <w:r>
        <w:rPr>
          <w:color w:val="231F20"/>
          <w:w w:val="105"/>
        </w:rPr>
        <w:t>postoperatively</w:t>
      </w:r>
      <w:r>
        <w:rPr>
          <w:color w:val="231F20"/>
          <w:spacing w:val="7"/>
          <w:w w:val="105"/>
        </w:rPr>
        <w:t> </w:t>
      </w:r>
      <w:r>
        <w:rPr>
          <w:color w:val="231F20"/>
          <w:w w:val="105"/>
        </w:rPr>
        <w:t>(1,521</w:t>
      </w:r>
      <w:r>
        <w:rPr>
          <w:color w:val="231F20"/>
          <w:w w:val="120"/>
        </w:rPr>
        <w:t> </w:t>
      </w:r>
      <w:r>
        <w:rPr>
          <w:rFonts w:ascii="Arial"/>
          <w:color w:val="231F20"/>
          <w:w w:val="120"/>
        </w:rPr>
        <w:t>6</w:t>
      </w:r>
      <w:r>
        <w:rPr>
          <w:rFonts w:ascii="Arial"/>
          <w:color w:val="231F20"/>
          <w:spacing w:val="-5"/>
          <w:w w:val="120"/>
        </w:rPr>
        <w:t> </w:t>
      </w:r>
      <w:r>
        <w:rPr>
          <w:color w:val="231F20"/>
          <w:w w:val="105"/>
        </w:rPr>
        <w:t>583).</w:t>
      </w:r>
      <w:r>
        <w:rPr>
          <w:color w:val="231F20"/>
          <w:spacing w:val="7"/>
          <w:w w:val="105"/>
        </w:rPr>
        <w:t> </w:t>
      </w:r>
      <w:r>
        <w:rPr>
          <w:color w:val="231F20"/>
          <w:spacing w:val="-5"/>
          <w:w w:val="105"/>
        </w:rPr>
        <w:t>No</w:t>
      </w:r>
    </w:p>
    <w:p>
      <w:pPr>
        <w:spacing w:line="181" w:lineRule="exact" w:before="61"/>
        <w:ind w:left="256" w:right="0" w:firstLine="0"/>
        <w:jc w:val="left"/>
        <w:rPr>
          <w:sz w:val="16"/>
        </w:rPr>
      </w:pPr>
      <w:r>
        <w:rPr/>
        <w:br w:type="column"/>
      </w:r>
      <w:r>
        <w:rPr>
          <w:color w:val="231F20"/>
          <w:sz w:val="16"/>
        </w:rPr>
        <w:t>Urine</w:t>
      </w:r>
      <w:r>
        <w:rPr>
          <w:color w:val="231F20"/>
          <w:spacing w:val="8"/>
          <w:sz w:val="16"/>
        </w:rPr>
        <w:t> </w:t>
      </w:r>
      <w:r>
        <w:rPr>
          <w:color w:val="231F20"/>
          <w:spacing w:val="-2"/>
          <w:sz w:val="16"/>
        </w:rPr>
        <w:t>ionogram</w:t>
      </w:r>
    </w:p>
    <w:p>
      <w:pPr>
        <w:tabs>
          <w:tab w:pos="2712" w:val="left" w:leader="none"/>
          <w:tab w:pos="3984" w:val="left" w:leader="none"/>
        </w:tabs>
        <w:spacing w:line="179" w:lineRule="exact" w:before="0"/>
        <w:ind w:left="415" w:right="0" w:firstLine="0"/>
        <w:jc w:val="left"/>
        <w:rPr>
          <w:sz w:val="16"/>
        </w:rPr>
      </w:pPr>
      <w:r>
        <w:rPr>
          <w:sz w:val="16"/>
        </w:rPr>
        <mc:AlternateContent>
          <mc:Choice Requires="wps">
            <w:drawing>
              <wp:anchor distT="0" distB="0" distL="0" distR="0" allowOverlap="1" layoutInCell="1" locked="0" behindDoc="0" simplePos="0" relativeHeight="15731200">
                <wp:simplePos x="0" y="0"/>
                <wp:positionH relativeFrom="page">
                  <wp:posOffset>4080895</wp:posOffset>
                </wp:positionH>
                <wp:positionV relativeFrom="paragraph">
                  <wp:posOffset>-362008</wp:posOffset>
                </wp:positionV>
                <wp:extent cx="2836545" cy="36385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836545" cy="36385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4"/>
                              <w:gridCol w:w="1537"/>
                              <w:gridCol w:w="1045"/>
                            </w:tblGrid>
                            <w:tr>
                              <w:trPr>
                                <w:trHeight w:val="222" w:hRule="atLeast"/>
                              </w:trPr>
                              <w:tc>
                                <w:tcPr>
                                  <w:tcW w:w="1764" w:type="dxa"/>
                                </w:tcPr>
                                <w:p>
                                  <w:pPr>
                                    <w:pStyle w:val="TableParagraph"/>
                                    <w:spacing w:line="-7" w:lineRule="auto"/>
                                    <w:ind w:left="-4934"/>
                                    <w:rPr>
                                      <w:position w:val="6"/>
                                      <w:sz w:val="16"/>
                                    </w:rPr>
                                  </w:pPr>
                                  <w:r>
                                    <w:rPr>
                                      <w:color w:val="231F20"/>
                                      <w:sz w:val="18"/>
                                    </w:rPr>
                                    <w:t>jor</w:t>
                                  </w:r>
                                  <w:r>
                                    <w:rPr>
                                      <w:color w:val="231F20"/>
                                      <w:spacing w:val="50"/>
                                      <w:sz w:val="18"/>
                                    </w:rPr>
                                    <w:t> </w:t>
                                  </w:r>
                                  <w:r>
                                    <w:rPr>
                                      <w:color w:val="231F20"/>
                                      <w:sz w:val="18"/>
                                    </w:rPr>
                                    <w:t>amelioration</w:t>
                                  </w:r>
                                  <w:r>
                                    <w:rPr>
                                      <w:color w:val="231F20"/>
                                      <w:spacing w:val="50"/>
                                      <w:sz w:val="18"/>
                                    </w:rPr>
                                    <w:t> </w:t>
                                  </w:r>
                                  <w:r>
                                    <w:rPr>
                                      <w:color w:val="231F20"/>
                                      <w:sz w:val="18"/>
                                    </w:rPr>
                                    <w:t>in</w:t>
                                  </w:r>
                                  <w:r>
                                    <w:rPr>
                                      <w:color w:val="231F20"/>
                                      <w:spacing w:val="50"/>
                                      <w:sz w:val="18"/>
                                    </w:rPr>
                                    <w:t> </w:t>
                                  </w:r>
                                  <w:r>
                                    <w:rPr>
                                      <w:color w:val="231F20"/>
                                      <w:sz w:val="18"/>
                                    </w:rPr>
                                    <w:t>therapy-related</w:t>
                                  </w:r>
                                  <w:r>
                                    <w:rPr>
                                      <w:color w:val="231F20"/>
                                      <w:spacing w:val="51"/>
                                      <w:sz w:val="18"/>
                                    </w:rPr>
                                    <w:t> </w:t>
                                  </w:r>
                                  <w:r>
                                    <w:rPr>
                                      <w:color w:val="231F20"/>
                                      <w:sz w:val="18"/>
                                    </w:rPr>
                                    <w:t>complications,</w:t>
                                  </w:r>
                                  <w:r>
                                    <w:rPr>
                                      <w:color w:val="231F20"/>
                                      <w:spacing w:val="50"/>
                                      <w:sz w:val="18"/>
                                    </w:rPr>
                                    <w:t> </w:t>
                                  </w:r>
                                  <w:r>
                                    <w:rPr>
                                      <w:color w:val="231F20"/>
                                      <w:sz w:val="18"/>
                                    </w:rPr>
                                    <w:t>with</w:t>
                                  </w:r>
                                  <w:r>
                                    <w:rPr>
                                      <w:color w:val="231F20"/>
                                      <w:spacing w:val="49"/>
                                      <w:sz w:val="18"/>
                                    </w:rPr>
                                    <w:t> </w:t>
                                  </w:r>
                                  <w:r>
                                    <w:rPr>
                                      <w:color w:val="231F20"/>
                                      <w:sz w:val="18"/>
                                    </w:rPr>
                                    <w:t>a</w:t>
                                  </w:r>
                                  <w:r>
                                    <w:rPr>
                                      <w:color w:val="231F20"/>
                                      <w:spacing w:val="78"/>
                                      <w:w w:val="150"/>
                                      <w:sz w:val="18"/>
                                    </w:rPr>
                                    <w:t>    </w:t>
                                  </w:r>
                                  <w:r>
                                    <w:rPr>
                                      <w:color w:val="231F20"/>
                                      <w:position w:val="6"/>
                                      <w:sz w:val="16"/>
                                    </w:rPr>
                                    <w:t>Chloride</w:t>
                                  </w:r>
                                  <w:r>
                                    <w:rPr>
                                      <w:color w:val="231F20"/>
                                      <w:spacing w:val="8"/>
                                      <w:position w:val="6"/>
                                      <w:sz w:val="16"/>
                                    </w:rPr>
                                    <w:t> </w:t>
                                  </w:r>
                                  <w:r>
                                    <w:rPr>
                                      <w:color w:val="231F20"/>
                                      <w:spacing w:val="-2"/>
                                      <w:position w:val="6"/>
                                      <w:sz w:val="16"/>
                                    </w:rPr>
                                    <w:t>(mEq/L)</w:t>
                                  </w:r>
                                </w:p>
                                <w:p>
                                  <w:pPr>
                                    <w:pStyle w:val="TableParagraph"/>
                                    <w:tabs>
                                      <w:tab w:pos="-109" w:val="left" w:leader="none"/>
                                    </w:tabs>
                                    <w:spacing w:line="192" w:lineRule="exact"/>
                                    <w:ind w:left="-4926"/>
                                    <w:rPr>
                                      <w:position w:val="8"/>
                                      <w:sz w:val="16"/>
                                    </w:rPr>
                                  </w:pPr>
                                  <w:r>
                                    <w:rPr>
                                      <w:color w:val="231F20"/>
                                      <w:spacing w:val="-2"/>
                                      <w:w w:val="105"/>
                                      <w:sz w:val="18"/>
                                    </w:rPr>
                                    <w:t>uction</w:t>
                                  </w:r>
                                  <w:r>
                                    <w:rPr>
                                      <w:color w:val="231F20"/>
                                      <w:spacing w:val="10"/>
                                      <w:w w:val="105"/>
                                      <w:sz w:val="18"/>
                                    </w:rPr>
                                    <w:t> </w:t>
                                  </w:r>
                                  <w:r>
                                    <w:rPr>
                                      <w:color w:val="231F20"/>
                                      <w:spacing w:val="-2"/>
                                      <w:w w:val="105"/>
                                      <w:sz w:val="18"/>
                                    </w:rPr>
                                    <w:t>in</w:t>
                                  </w:r>
                                  <w:r>
                                    <w:rPr>
                                      <w:color w:val="231F20"/>
                                      <w:spacing w:val="10"/>
                                      <w:w w:val="105"/>
                                      <w:sz w:val="18"/>
                                    </w:rPr>
                                    <w:t> </w:t>
                                  </w:r>
                                  <w:r>
                                    <w:rPr>
                                      <w:color w:val="231F20"/>
                                      <w:spacing w:val="-2"/>
                                      <w:w w:val="105"/>
                                      <w:sz w:val="18"/>
                                    </w:rPr>
                                    <w:t>mean</w:t>
                                  </w:r>
                                  <w:r>
                                    <w:rPr>
                                      <w:color w:val="231F20"/>
                                      <w:spacing w:val="9"/>
                                      <w:w w:val="105"/>
                                      <w:sz w:val="18"/>
                                    </w:rPr>
                                    <w:t> </w:t>
                                  </w:r>
                                  <w:r>
                                    <w:rPr>
                                      <w:color w:val="231F20"/>
                                      <w:spacing w:val="-2"/>
                                      <w:w w:val="105"/>
                                      <w:sz w:val="18"/>
                                    </w:rPr>
                                    <w:t>levodopa</w:t>
                                  </w:r>
                                  <w:r>
                                    <w:rPr>
                                      <w:color w:val="231F20"/>
                                      <w:spacing w:val="11"/>
                                      <w:w w:val="105"/>
                                      <w:sz w:val="18"/>
                                    </w:rPr>
                                    <w:t> </w:t>
                                  </w:r>
                                  <w:r>
                                    <w:rPr>
                                      <w:color w:val="231F20"/>
                                      <w:spacing w:val="-2"/>
                                      <w:w w:val="105"/>
                                      <w:sz w:val="18"/>
                                    </w:rPr>
                                    <w:t>dosage</w:t>
                                  </w:r>
                                  <w:r>
                                    <w:rPr>
                                      <w:color w:val="231F20"/>
                                      <w:spacing w:val="11"/>
                                      <w:w w:val="105"/>
                                      <w:sz w:val="18"/>
                                    </w:rPr>
                                    <w:t> </w:t>
                                  </w:r>
                                  <w:r>
                                    <w:rPr>
                                      <w:color w:val="231F20"/>
                                      <w:spacing w:val="-2"/>
                                      <w:w w:val="105"/>
                                      <w:sz w:val="18"/>
                                    </w:rPr>
                                    <w:t>(mg/day):</w:t>
                                  </w:r>
                                  <w:r>
                                    <w:rPr>
                                      <w:color w:val="231F20"/>
                                      <w:spacing w:val="10"/>
                                      <w:w w:val="105"/>
                                      <w:sz w:val="18"/>
                                    </w:rPr>
                                    <w:t> </w:t>
                                  </w:r>
                                  <w:r>
                                    <w:rPr>
                                      <w:color w:val="231F20"/>
                                      <w:spacing w:val="-2"/>
                                      <w:w w:val="105"/>
                                      <w:sz w:val="18"/>
                                    </w:rPr>
                                    <w:t>from</w:t>
                                  </w:r>
                                  <w:r>
                                    <w:rPr>
                                      <w:color w:val="231F20"/>
                                      <w:spacing w:val="10"/>
                                      <w:w w:val="105"/>
                                      <w:sz w:val="18"/>
                                    </w:rPr>
                                    <w:t> </w:t>
                                  </w:r>
                                  <w:r>
                                    <w:rPr>
                                      <w:color w:val="231F20"/>
                                      <w:spacing w:val="-2"/>
                                      <w:w w:val="105"/>
                                      <w:sz w:val="18"/>
                                    </w:rPr>
                                    <w:t>1,118</w:t>
                                  </w:r>
                                  <w:r>
                                    <w:rPr>
                                      <w:color w:val="231F20"/>
                                      <w:spacing w:val="5"/>
                                      <w:w w:val="115"/>
                                      <w:sz w:val="18"/>
                                    </w:rPr>
                                    <w:t> </w:t>
                                  </w:r>
                                  <w:r>
                                    <w:rPr>
                                      <w:rFonts w:ascii="Arial"/>
                                      <w:color w:val="231F20"/>
                                      <w:spacing w:val="-10"/>
                                      <w:w w:val="115"/>
                                      <w:sz w:val="18"/>
                                    </w:rPr>
                                    <w:t>6</w:t>
                                  </w:r>
                                  <w:r>
                                    <w:rPr>
                                      <w:rFonts w:ascii="Arial"/>
                                      <w:color w:val="231F20"/>
                                      <w:sz w:val="18"/>
                                    </w:rPr>
                                    <w:tab/>
                                  </w:r>
                                  <w:r>
                                    <w:rPr>
                                      <w:color w:val="231F20"/>
                                      <w:position w:val="8"/>
                                      <w:sz w:val="16"/>
                                    </w:rPr>
                                    <w:t>Blood</w:t>
                                  </w:r>
                                  <w:r>
                                    <w:rPr>
                                      <w:color w:val="231F20"/>
                                      <w:spacing w:val="6"/>
                                      <w:w w:val="105"/>
                                      <w:position w:val="8"/>
                                      <w:sz w:val="16"/>
                                    </w:rPr>
                                    <w:t> </w:t>
                                  </w:r>
                                  <w:r>
                                    <w:rPr>
                                      <w:color w:val="231F20"/>
                                      <w:spacing w:val="-2"/>
                                      <w:w w:val="105"/>
                                      <w:position w:val="8"/>
                                      <w:sz w:val="16"/>
                                    </w:rPr>
                                    <w:t>biochemistry</w:t>
                                  </w:r>
                                </w:p>
                                <w:p>
                                  <w:pPr>
                                    <w:pStyle w:val="TableParagraph"/>
                                    <w:spacing w:line="128" w:lineRule="exact"/>
                                    <w:ind w:left="-4975"/>
                                    <w:rPr>
                                      <w:position w:val="11"/>
                                      <w:sz w:val="16"/>
                                    </w:rPr>
                                  </w:pPr>
                                  <w:r>
                                    <w:rPr>
                                      <w:color w:val="231F20"/>
                                      <w:w w:val="105"/>
                                      <w:sz w:val="18"/>
                                    </w:rPr>
                                    <w:t>6</w:t>
                                  </w:r>
                                  <w:r>
                                    <w:rPr>
                                      <w:color w:val="231F20"/>
                                      <w:spacing w:val="5"/>
                                      <w:w w:val="105"/>
                                      <w:sz w:val="18"/>
                                    </w:rPr>
                                    <w:t> </w:t>
                                  </w:r>
                                  <w:r>
                                    <w:rPr>
                                      <w:color w:val="231F20"/>
                                      <w:w w:val="105"/>
                                      <w:sz w:val="18"/>
                                    </w:rPr>
                                    <w:t>before</w:t>
                                  </w:r>
                                  <w:r>
                                    <w:rPr>
                                      <w:color w:val="231F20"/>
                                      <w:spacing w:val="4"/>
                                      <w:w w:val="105"/>
                                      <w:sz w:val="18"/>
                                    </w:rPr>
                                    <w:t> </w:t>
                                  </w:r>
                                  <w:r>
                                    <w:rPr>
                                      <w:color w:val="231F20"/>
                                      <w:w w:val="105"/>
                                      <w:sz w:val="18"/>
                                    </w:rPr>
                                    <w:t>surgery</w:t>
                                  </w:r>
                                  <w:r>
                                    <w:rPr>
                                      <w:color w:val="231F20"/>
                                      <w:spacing w:val="5"/>
                                      <w:w w:val="105"/>
                                      <w:sz w:val="18"/>
                                    </w:rPr>
                                    <w:t> </w:t>
                                  </w:r>
                                  <w:r>
                                    <w:rPr>
                                      <w:color w:val="231F20"/>
                                      <w:w w:val="105"/>
                                      <w:sz w:val="18"/>
                                    </w:rPr>
                                    <w:t>to</w:t>
                                  </w:r>
                                  <w:r>
                                    <w:rPr>
                                      <w:color w:val="231F20"/>
                                      <w:spacing w:val="4"/>
                                      <w:w w:val="105"/>
                                      <w:sz w:val="18"/>
                                    </w:rPr>
                                    <w:t> </w:t>
                                  </w:r>
                                  <w:r>
                                    <w:rPr>
                                      <w:color w:val="231F20"/>
                                      <w:w w:val="105"/>
                                      <w:sz w:val="18"/>
                                    </w:rPr>
                                    <w:t>653</w:t>
                                  </w:r>
                                  <w:r>
                                    <w:rPr>
                                      <w:color w:val="231F20"/>
                                      <w:spacing w:val="-3"/>
                                      <w:w w:val="120"/>
                                      <w:sz w:val="18"/>
                                    </w:rPr>
                                    <w:t> </w:t>
                                  </w:r>
                                  <w:r>
                                    <w:rPr>
                                      <w:rFonts w:ascii="Arial"/>
                                      <w:color w:val="231F20"/>
                                      <w:w w:val="120"/>
                                      <w:sz w:val="18"/>
                                    </w:rPr>
                                    <w:t>6</w:t>
                                  </w:r>
                                  <w:r>
                                    <w:rPr>
                                      <w:rFonts w:ascii="Arial"/>
                                      <w:color w:val="231F20"/>
                                      <w:spacing w:val="-7"/>
                                      <w:w w:val="120"/>
                                      <w:sz w:val="18"/>
                                    </w:rPr>
                                    <w:t> </w:t>
                                  </w:r>
                                  <w:r>
                                    <w:rPr>
                                      <w:color w:val="231F20"/>
                                      <w:w w:val="105"/>
                                      <w:sz w:val="18"/>
                                    </w:rPr>
                                    <w:t>447</w:t>
                                  </w:r>
                                  <w:r>
                                    <w:rPr>
                                      <w:color w:val="231F20"/>
                                      <w:spacing w:val="4"/>
                                      <w:w w:val="105"/>
                                      <w:sz w:val="18"/>
                                    </w:rPr>
                                    <w:t> </w:t>
                                  </w:r>
                                  <w:r>
                                    <w:rPr>
                                      <w:color w:val="231F20"/>
                                      <w:w w:val="105"/>
                                      <w:sz w:val="18"/>
                                    </w:rPr>
                                    <w:t>after</w:t>
                                  </w:r>
                                  <w:r>
                                    <w:rPr>
                                      <w:color w:val="231F20"/>
                                      <w:spacing w:val="6"/>
                                      <w:w w:val="105"/>
                                      <w:sz w:val="18"/>
                                    </w:rPr>
                                    <w:t> </w:t>
                                  </w:r>
                                  <w:r>
                                    <w:rPr>
                                      <w:color w:val="231F20"/>
                                      <w:w w:val="105"/>
                                      <w:sz w:val="18"/>
                                    </w:rPr>
                                    <w:t>surgery.</w:t>
                                  </w:r>
                                  <w:r>
                                    <w:rPr>
                                      <w:color w:val="231F20"/>
                                      <w:spacing w:val="68"/>
                                      <w:w w:val="150"/>
                                      <w:sz w:val="18"/>
                                    </w:rPr>
                                    <w:t>            </w:t>
                                  </w:r>
                                  <w:r>
                                    <w:rPr>
                                      <w:color w:val="231F20"/>
                                      <w:w w:val="105"/>
                                      <w:position w:val="11"/>
                                      <w:sz w:val="16"/>
                                    </w:rPr>
                                    <w:t>Urea</w:t>
                                  </w:r>
                                  <w:r>
                                    <w:rPr>
                                      <w:color w:val="231F20"/>
                                      <w:spacing w:val="11"/>
                                      <w:w w:val="105"/>
                                      <w:position w:val="11"/>
                                      <w:sz w:val="16"/>
                                    </w:rPr>
                                    <w:t> </w:t>
                                  </w:r>
                                  <w:r>
                                    <w:rPr>
                                      <w:color w:val="231F20"/>
                                      <w:spacing w:val="-4"/>
                                      <w:w w:val="105"/>
                                      <w:position w:val="11"/>
                                      <w:sz w:val="16"/>
                                    </w:rPr>
                                    <w:t>(g/L)</w:t>
                                  </w:r>
                                </w:p>
                              </w:tc>
                              <w:tc>
                                <w:tcPr>
                                  <w:tcW w:w="1537" w:type="dxa"/>
                                </w:tcPr>
                                <w:p>
                                  <w:pPr>
                                    <w:pStyle w:val="TableParagraph"/>
                                    <w:spacing w:line="144" w:lineRule="exact"/>
                                    <w:ind w:left="583"/>
                                    <w:rPr>
                                      <w:sz w:val="16"/>
                                    </w:rPr>
                                  </w:pPr>
                                  <w:r>
                                    <w:rPr>
                                      <w:color w:val="231F20"/>
                                      <w:w w:val="110"/>
                                      <w:sz w:val="16"/>
                                    </w:rPr>
                                    <w:t>105</w:t>
                                  </w:r>
                                  <w:r>
                                    <w:rPr>
                                      <w:color w:val="231F20"/>
                                      <w:spacing w:val="-1"/>
                                      <w:w w:val="125"/>
                                      <w:sz w:val="16"/>
                                    </w:rPr>
                                    <w:t> </w:t>
                                  </w:r>
                                  <w:r>
                                    <w:rPr>
                                      <w:rFonts w:ascii="Arial"/>
                                      <w:color w:val="231F20"/>
                                      <w:w w:val="125"/>
                                      <w:sz w:val="16"/>
                                    </w:rPr>
                                    <w:t>6</w:t>
                                  </w:r>
                                  <w:r>
                                    <w:rPr>
                                      <w:rFonts w:ascii="Arial"/>
                                      <w:color w:val="231F20"/>
                                      <w:spacing w:val="-7"/>
                                      <w:w w:val="125"/>
                                      <w:sz w:val="16"/>
                                    </w:rPr>
                                    <w:t> </w:t>
                                  </w:r>
                                  <w:r>
                                    <w:rPr>
                                      <w:color w:val="231F20"/>
                                      <w:spacing w:val="-5"/>
                                      <w:w w:val="110"/>
                                      <w:sz w:val="16"/>
                                    </w:rPr>
                                    <w:t>4.6</w:t>
                                  </w:r>
                                </w:p>
                                <w:p>
                                  <w:pPr>
                                    <w:pStyle w:val="TableParagraph"/>
                                    <w:spacing w:line="173" w:lineRule="exact"/>
                                    <w:ind w:left="542"/>
                                    <w:rPr>
                                      <w:sz w:val="16"/>
                                    </w:rPr>
                                  </w:pPr>
                                  <w:r>
                                    <w:rPr>
                                      <w:color w:val="231F20"/>
                                      <w:w w:val="110"/>
                                      <w:sz w:val="16"/>
                                    </w:rPr>
                                    <w:t>0.43</w:t>
                                  </w:r>
                                  <w:r>
                                    <w:rPr>
                                      <w:color w:val="231F20"/>
                                      <w:spacing w:val="2"/>
                                      <w:w w:val="120"/>
                                      <w:sz w:val="16"/>
                                    </w:rPr>
                                    <w:t> </w:t>
                                  </w:r>
                                  <w:r>
                                    <w:rPr>
                                      <w:rFonts w:ascii="Arial"/>
                                      <w:color w:val="231F20"/>
                                      <w:w w:val="120"/>
                                      <w:sz w:val="16"/>
                                    </w:rPr>
                                    <w:t>6</w:t>
                                  </w:r>
                                  <w:r>
                                    <w:rPr>
                                      <w:rFonts w:ascii="Arial"/>
                                      <w:color w:val="231F20"/>
                                      <w:spacing w:val="-4"/>
                                      <w:w w:val="120"/>
                                      <w:sz w:val="16"/>
                                    </w:rPr>
                                    <w:t> </w:t>
                                  </w:r>
                                  <w:r>
                                    <w:rPr>
                                      <w:color w:val="231F20"/>
                                      <w:spacing w:val="-5"/>
                                      <w:w w:val="110"/>
                                      <w:sz w:val="16"/>
                                    </w:rPr>
                                    <w:t>0.1</w:t>
                                  </w:r>
                                </w:p>
                              </w:tc>
                              <w:tc>
                                <w:tcPr>
                                  <w:tcW w:w="1045" w:type="dxa"/>
                                </w:tcPr>
                                <w:p>
                                  <w:pPr>
                                    <w:pStyle w:val="TableParagraph"/>
                                    <w:spacing w:line="144" w:lineRule="exact"/>
                                    <w:ind w:left="318"/>
                                    <w:rPr>
                                      <w:sz w:val="16"/>
                                    </w:rPr>
                                  </w:pPr>
                                  <w:r>
                                    <w:rPr>
                                      <w:color w:val="231F20"/>
                                      <w:w w:val="110"/>
                                      <w:sz w:val="16"/>
                                    </w:rPr>
                                    <w:t>108</w:t>
                                  </w:r>
                                  <w:r>
                                    <w:rPr>
                                      <w:color w:val="231F20"/>
                                      <w:spacing w:val="-1"/>
                                      <w:w w:val="125"/>
                                      <w:sz w:val="16"/>
                                    </w:rPr>
                                    <w:t> </w:t>
                                  </w:r>
                                  <w:r>
                                    <w:rPr>
                                      <w:rFonts w:ascii="Arial"/>
                                      <w:color w:val="231F20"/>
                                      <w:w w:val="125"/>
                                      <w:sz w:val="16"/>
                                    </w:rPr>
                                    <w:t>6</w:t>
                                  </w:r>
                                  <w:r>
                                    <w:rPr>
                                      <w:rFonts w:ascii="Arial"/>
                                      <w:color w:val="231F20"/>
                                      <w:spacing w:val="-6"/>
                                      <w:w w:val="125"/>
                                      <w:sz w:val="16"/>
                                    </w:rPr>
                                    <w:t> </w:t>
                                  </w:r>
                                  <w:r>
                                    <w:rPr>
                                      <w:color w:val="231F20"/>
                                      <w:spacing w:val="-5"/>
                                      <w:w w:val="110"/>
                                      <w:sz w:val="16"/>
                                    </w:rPr>
                                    <w:t>4.9</w:t>
                                  </w:r>
                                </w:p>
                                <w:p>
                                  <w:pPr>
                                    <w:pStyle w:val="TableParagraph"/>
                                    <w:spacing w:line="173" w:lineRule="exact"/>
                                    <w:ind w:left="278"/>
                                    <w:rPr>
                                      <w:sz w:val="16"/>
                                    </w:rPr>
                                  </w:pPr>
                                  <w:r>
                                    <w:rPr>
                                      <w:color w:val="231F20"/>
                                      <w:w w:val="110"/>
                                      <w:sz w:val="16"/>
                                    </w:rPr>
                                    <w:t>0.44</w:t>
                                  </w:r>
                                  <w:r>
                                    <w:rPr>
                                      <w:color w:val="231F20"/>
                                      <w:spacing w:val="1"/>
                                      <w:w w:val="120"/>
                                      <w:sz w:val="16"/>
                                    </w:rPr>
                                    <w:t> </w:t>
                                  </w:r>
                                  <w:r>
                                    <w:rPr>
                                      <w:rFonts w:ascii="Arial"/>
                                      <w:color w:val="231F20"/>
                                      <w:w w:val="120"/>
                                      <w:sz w:val="16"/>
                                    </w:rPr>
                                    <w:t>6</w:t>
                                  </w:r>
                                  <w:r>
                                    <w:rPr>
                                      <w:rFonts w:ascii="Arial"/>
                                      <w:color w:val="231F20"/>
                                      <w:spacing w:val="-3"/>
                                      <w:w w:val="120"/>
                                      <w:sz w:val="16"/>
                                    </w:rPr>
                                    <w:t> </w:t>
                                  </w:r>
                                  <w:r>
                                    <w:rPr>
                                      <w:color w:val="231F20"/>
                                      <w:spacing w:val="-5"/>
                                      <w:w w:val="110"/>
                                      <w:sz w:val="16"/>
                                    </w:rPr>
                                    <w:t>0.1</w:t>
                                  </w:r>
                                </w:p>
                              </w:tc>
                            </w:tr>
                            <w:tr>
                              <w:trPr>
                                <w:trHeight w:val="216" w:hRule="atLeast"/>
                              </w:trPr>
                              <w:tc>
                                <w:tcPr>
                                  <w:tcW w:w="1764" w:type="dxa"/>
                                </w:tcPr>
                                <w:p>
                                  <w:pPr>
                                    <w:pStyle w:val="TableParagraph"/>
                                    <w:spacing w:line="36" w:lineRule="exact"/>
                                    <w:ind w:left="50"/>
                                    <w:rPr>
                                      <w:sz w:val="16"/>
                                    </w:rPr>
                                  </w:pPr>
                                  <w:r>
                                    <w:rPr>
                                      <w:color w:val="231F20"/>
                                      <w:sz w:val="16"/>
                                    </w:rPr>
                                    <w:t>Creatinine</w:t>
                                  </w:r>
                                  <w:r>
                                    <w:rPr>
                                      <w:color w:val="231F20"/>
                                      <w:spacing w:val="12"/>
                                      <w:sz w:val="16"/>
                                    </w:rPr>
                                    <w:t> </w:t>
                                  </w:r>
                                  <w:r>
                                    <w:rPr>
                                      <w:color w:val="231F20"/>
                                      <w:spacing w:val="-2"/>
                                      <w:sz w:val="16"/>
                                    </w:rPr>
                                    <w:t>(mg/L)</w:t>
                                  </w:r>
                                </w:p>
                              </w:tc>
                              <w:tc>
                                <w:tcPr>
                                  <w:tcW w:w="1537" w:type="dxa"/>
                                </w:tcPr>
                                <w:p>
                                  <w:pPr>
                                    <w:pStyle w:val="TableParagraph"/>
                                    <w:spacing w:line="36" w:lineRule="exact"/>
                                    <w:ind w:left="542"/>
                                    <w:rPr>
                                      <w:sz w:val="16"/>
                                    </w:rPr>
                                  </w:pPr>
                                  <w:r>
                                    <w:rPr>
                                      <w:color w:val="231F20"/>
                                      <w:w w:val="110"/>
                                      <w:sz w:val="16"/>
                                    </w:rPr>
                                    <w:t>10.3</w:t>
                                  </w:r>
                                  <w:r>
                                    <w:rPr>
                                      <w:color w:val="231F20"/>
                                      <w:spacing w:val="2"/>
                                      <w:w w:val="120"/>
                                      <w:sz w:val="16"/>
                                    </w:rPr>
                                    <w:t> </w:t>
                                  </w:r>
                                  <w:r>
                                    <w:rPr>
                                      <w:rFonts w:ascii="Arial"/>
                                      <w:color w:val="231F20"/>
                                      <w:w w:val="120"/>
                                      <w:sz w:val="16"/>
                                    </w:rPr>
                                    <w:t>6</w:t>
                                  </w:r>
                                  <w:r>
                                    <w:rPr>
                                      <w:rFonts w:ascii="Arial"/>
                                      <w:color w:val="231F20"/>
                                      <w:spacing w:val="-4"/>
                                      <w:w w:val="120"/>
                                      <w:sz w:val="16"/>
                                    </w:rPr>
                                    <w:t> </w:t>
                                  </w:r>
                                  <w:r>
                                    <w:rPr>
                                      <w:color w:val="231F20"/>
                                      <w:spacing w:val="-5"/>
                                      <w:w w:val="110"/>
                                      <w:sz w:val="16"/>
                                    </w:rPr>
                                    <w:t>1.9</w:t>
                                  </w:r>
                                </w:p>
                              </w:tc>
                              <w:tc>
                                <w:tcPr>
                                  <w:tcW w:w="1045" w:type="dxa"/>
                                </w:tcPr>
                                <w:p>
                                  <w:pPr>
                                    <w:pStyle w:val="TableParagraph"/>
                                    <w:spacing w:line="36" w:lineRule="exact"/>
                                    <w:ind w:left="278"/>
                                    <w:rPr>
                                      <w:sz w:val="16"/>
                                    </w:rPr>
                                  </w:pPr>
                                  <w:r>
                                    <w:rPr>
                                      <w:color w:val="231F20"/>
                                      <w:w w:val="110"/>
                                      <w:sz w:val="16"/>
                                    </w:rPr>
                                    <w:t>10.3</w:t>
                                  </w:r>
                                  <w:r>
                                    <w:rPr>
                                      <w:color w:val="231F20"/>
                                      <w:spacing w:val="1"/>
                                      <w:w w:val="120"/>
                                      <w:sz w:val="16"/>
                                    </w:rPr>
                                    <w:t> </w:t>
                                  </w:r>
                                  <w:r>
                                    <w:rPr>
                                      <w:rFonts w:ascii="Arial"/>
                                      <w:color w:val="231F20"/>
                                      <w:w w:val="120"/>
                                      <w:sz w:val="16"/>
                                    </w:rPr>
                                    <w:t>6</w:t>
                                  </w:r>
                                  <w:r>
                                    <w:rPr>
                                      <w:rFonts w:ascii="Arial"/>
                                      <w:color w:val="231F20"/>
                                      <w:spacing w:val="-3"/>
                                      <w:w w:val="120"/>
                                      <w:sz w:val="16"/>
                                    </w:rPr>
                                    <w:t> </w:t>
                                  </w:r>
                                  <w:r>
                                    <w:rPr>
                                      <w:color w:val="231F20"/>
                                      <w:spacing w:val="-5"/>
                                      <w:w w:val="110"/>
                                      <w:sz w:val="16"/>
                                    </w:rPr>
                                    <w:t>1.8</w:t>
                                  </w:r>
                                </w:p>
                              </w:tc>
                            </w:tr>
                          </w:tbl>
                          <w:p>
                            <w:pPr>
                              <w:pStyle w:val="BodyText"/>
                            </w:pPr>
                          </w:p>
                        </w:txbxContent>
                      </wps:txbx>
                      <wps:bodyPr wrap="square" lIns="0" tIns="0" rIns="0" bIns="0" rtlCol="0">
                        <a:noAutofit/>
                      </wps:bodyPr>
                    </wps:wsp>
                  </a:graphicData>
                </a:graphic>
              </wp:anchor>
            </w:drawing>
          </mc:Choice>
          <mc:Fallback>
            <w:pict>
              <v:shape style="position:absolute;margin-left:321.330353pt;margin-top:-28.504585pt;width:223.35pt;height:28.65pt;mso-position-horizontal-relative:page;mso-position-vertical-relative:paragraph;z-index:15731200" type="#_x0000_t202" id="docshape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4"/>
                        <w:gridCol w:w="1537"/>
                        <w:gridCol w:w="1045"/>
                      </w:tblGrid>
                      <w:tr>
                        <w:trPr>
                          <w:trHeight w:val="222" w:hRule="atLeast"/>
                        </w:trPr>
                        <w:tc>
                          <w:tcPr>
                            <w:tcW w:w="1764" w:type="dxa"/>
                          </w:tcPr>
                          <w:p>
                            <w:pPr>
                              <w:pStyle w:val="TableParagraph"/>
                              <w:spacing w:line="-7" w:lineRule="auto"/>
                              <w:ind w:left="-4934"/>
                              <w:rPr>
                                <w:position w:val="6"/>
                                <w:sz w:val="16"/>
                              </w:rPr>
                            </w:pPr>
                            <w:r>
                              <w:rPr>
                                <w:color w:val="231F20"/>
                                <w:sz w:val="18"/>
                              </w:rPr>
                              <w:t>jor</w:t>
                            </w:r>
                            <w:r>
                              <w:rPr>
                                <w:color w:val="231F20"/>
                                <w:spacing w:val="50"/>
                                <w:sz w:val="18"/>
                              </w:rPr>
                              <w:t> </w:t>
                            </w:r>
                            <w:r>
                              <w:rPr>
                                <w:color w:val="231F20"/>
                                <w:sz w:val="18"/>
                              </w:rPr>
                              <w:t>amelioration</w:t>
                            </w:r>
                            <w:r>
                              <w:rPr>
                                <w:color w:val="231F20"/>
                                <w:spacing w:val="50"/>
                                <w:sz w:val="18"/>
                              </w:rPr>
                              <w:t> </w:t>
                            </w:r>
                            <w:r>
                              <w:rPr>
                                <w:color w:val="231F20"/>
                                <w:sz w:val="18"/>
                              </w:rPr>
                              <w:t>in</w:t>
                            </w:r>
                            <w:r>
                              <w:rPr>
                                <w:color w:val="231F20"/>
                                <w:spacing w:val="50"/>
                                <w:sz w:val="18"/>
                              </w:rPr>
                              <w:t> </w:t>
                            </w:r>
                            <w:r>
                              <w:rPr>
                                <w:color w:val="231F20"/>
                                <w:sz w:val="18"/>
                              </w:rPr>
                              <w:t>therapy-related</w:t>
                            </w:r>
                            <w:r>
                              <w:rPr>
                                <w:color w:val="231F20"/>
                                <w:spacing w:val="51"/>
                                <w:sz w:val="18"/>
                              </w:rPr>
                              <w:t> </w:t>
                            </w:r>
                            <w:r>
                              <w:rPr>
                                <w:color w:val="231F20"/>
                                <w:sz w:val="18"/>
                              </w:rPr>
                              <w:t>complications,</w:t>
                            </w:r>
                            <w:r>
                              <w:rPr>
                                <w:color w:val="231F20"/>
                                <w:spacing w:val="50"/>
                                <w:sz w:val="18"/>
                              </w:rPr>
                              <w:t> </w:t>
                            </w:r>
                            <w:r>
                              <w:rPr>
                                <w:color w:val="231F20"/>
                                <w:sz w:val="18"/>
                              </w:rPr>
                              <w:t>with</w:t>
                            </w:r>
                            <w:r>
                              <w:rPr>
                                <w:color w:val="231F20"/>
                                <w:spacing w:val="49"/>
                                <w:sz w:val="18"/>
                              </w:rPr>
                              <w:t> </w:t>
                            </w:r>
                            <w:r>
                              <w:rPr>
                                <w:color w:val="231F20"/>
                                <w:sz w:val="18"/>
                              </w:rPr>
                              <w:t>a</w:t>
                            </w:r>
                            <w:r>
                              <w:rPr>
                                <w:color w:val="231F20"/>
                                <w:spacing w:val="78"/>
                                <w:w w:val="150"/>
                                <w:sz w:val="18"/>
                              </w:rPr>
                              <w:t>    </w:t>
                            </w:r>
                            <w:r>
                              <w:rPr>
                                <w:color w:val="231F20"/>
                                <w:position w:val="6"/>
                                <w:sz w:val="16"/>
                              </w:rPr>
                              <w:t>Chloride</w:t>
                            </w:r>
                            <w:r>
                              <w:rPr>
                                <w:color w:val="231F20"/>
                                <w:spacing w:val="8"/>
                                <w:position w:val="6"/>
                                <w:sz w:val="16"/>
                              </w:rPr>
                              <w:t> </w:t>
                            </w:r>
                            <w:r>
                              <w:rPr>
                                <w:color w:val="231F20"/>
                                <w:spacing w:val="-2"/>
                                <w:position w:val="6"/>
                                <w:sz w:val="16"/>
                              </w:rPr>
                              <w:t>(mEq/L)</w:t>
                            </w:r>
                          </w:p>
                          <w:p>
                            <w:pPr>
                              <w:pStyle w:val="TableParagraph"/>
                              <w:tabs>
                                <w:tab w:pos="-109" w:val="left" w:leader="none"/>
                              </w:tabs>
                              <w:spacing w:line="192" w:lineRule="exact"/>
                              <w:ind w:left="-4926"/>
                              <w:rPr>
                                <w:position w:val="8"/>
                                <w:sz w:val="16"/>
                              </w:rPr>
                            </w:pPr>
                            <w:r>
                              <w:rPr>
                                <w:color w:val="231F20"/>
                                <w:spacing w:val="-2"/>
                                <w:w w:val="105"/>
                                <w:sz w:val="18"/>
                              </w:rPr>
                              <w:t>uction</w:t>
                            </w:r>
                            <w:r>
                              <w:rPr>
                                <w:color w:val="231F20"/>
                                <w:spacing w:val="10"/>
                                <w:w w:val="105"/>
                                <w:sz w:val="18"/>
                              </w:rPr>
                              <w:t> </w:t>
                            </w:r>
                            <w:r>
                              <w:rPr>
                                <w:color w:val="231F20"/>
                                <w:spacing w:val="-2"/>
                                <w:w w:val="105"/>
                                <w:sz w:val="18"/>
                              </w:rPr>
                              <w:t>in</w:t>
                            </w:r>
                            <w:r>
                              <w:rPr>
                                <w:color w:val="231F20"/>
                                <w:spacing w:val="10"/>
                                <w:w w:val="105"/>
                                <w:sz w:val="18"/>
                              </w:rPr>
                              <w:t> </w:t>
                            </w:r>
                            <w:r>
                              <w:rPr>
                                <w:color w:val="231F20"/>
                                <w:spacing w:val="-2"/>
                                <w:w w:val="105"/>
                                <w:sz w:val="18"/>
                              </w:rPr>
                              <w:t>mean</w:t>
                            </w:r>
                            <w:r>
                              <w:rPr>
                                <w:color w:val="231F20"/>
                                <w:spacing w:val="9"/>
                                <w:w w:val="105"/>
                                <w:sz w:val="18"/>
                              </w:rPr>
                              <w:t> </w:t>
                            </w:r>
                            <w:r>
                              <w:rPr>
                                <w:color w:val="231F20"/>
                                <w:spacing w:val="-2"/>
                                <w:w w:val="105"/>
                                <w:sz w:val="18"/>
                              </w:rPr>
                              <w:t>levodopa</w:t>
                            </w:r>
                            <w:r>
                              <w:rPr>
                                <w:color w:val="231F20"/>
                                <w:spacing w:val="11"/>
                                <w:w w:val="105"/>
                                <w:sz w:val="18"/>
                              </w:rPr>
                              <w:t> </w:t>
                            </w:r>
                            <w:r>
                              <w:rPr>
                                <w:color w:val="231F20"/>
                                <w:spacing w:val="-2"/>
                                <w:w w:val="105"/>
                                <w:sz w:val="18"/>
                              </w:rPr>
                              <w:t>dosage</w:t>
                            </w:r>
                            <w:r>
                              <w:rPr>
                                <w:color w:val="231F20"/>
                                <w:spacing w:val="11"/>
                                <w:w w:val="105"/>
                                <w:sz w:val="18"/>
                              </w:rPr>
                              <w:t> </w:t>
                            </w:r>
                            <w:r>
                              <w:rPr>
                                <w:color w:val="231F20"/>
                                <w:spacing w:val="-2"/>
                                <w:w w:val="105"/>
                                <w:sz w:val="18"/>
                              </w:rPr>
                              <w:t>(mg/day):</w:t>
                            </w:r>
                            <w:r>
                              <w:rPr>
                                <w:color w:val="231F20"/>
                                <w:spacing w:val="10"/>
                                <w:w w:val="105"/>
                                <w:sz w:val="18"/>
                              </w:rPr>
                              <w:t> </w:t>
                            </w:r>
                            <w:r>
                              <w:rPr>
                                <w:color w:val="231F20"/>
                                <w:spacing w:val="-2"/>
                                <w:w w:val="105"/>
                                <w:sz w:val="18"/>
                              </w:rPr>
                              <w:t>from</w:t>
                            </w:r>
                            <w:r>
                              <w:rPr>
                                <w:color w:val="231F20"/>
                                <w:spacing w:val="10"/>
                                <w:w w:val="105"/>
                                <w:sz w:val="18"/>
                              </w:rPr>
                              <w:t> </w:t>
                            </w:r>
                            <w:r>
                              <w:rPr>
                                <w:color w:val="231F20"/>
                                <w:spacing w:val="-2"/>
                                <w:w w:val="105"/>
                                <w:sz w:val="18"/>
                              </w:rPr>
                              <w:t>1,118</w:t>
                            </w:r>
                            <w:r>
                              <w:rPr>
                                <w:color w:val="231F20"/>
                                <w:spacing w:val="5"/>
                                <w:w w:val="115"/>
                                <w:sz w:val="18"/>
                              </w:rPr>
                              <w:t> </w:t>
                            </w:r>
                            <w:r>
                              <w:rPr>
                                <w:rFonts w:ascii="Arial"/>
                                <w:color w:val="231F20"/>
                                <w:spacing w:val="-10"/>
                                <w:w w:val="115"/>
                                <w:sz w:val="18"/>
                              </w:rPr>
                              <w:t>6</w:t>
                            </w:r>
                            <w:r>
                              <w:rPr>
                                <w:rFonts w:ascii="Arial"/>
                                <w:color w:val="231F20"/>
                                <w:sz w:val="18"/>
                              </w:rPr>
                              <w:tab/>
                            </w:r>
                            <w:r>
                              <w:rPr>
                                <w:color w:val="231F20"/>
                                <w:position w:val="8"/>
                                <w:sz w:val="16"/>
                              </w:rPr>
                              <w:t>Blood</w:t>
                            </w:r>
                            <w:r>
                              <w:rPr>
                                <w:color w:val="231F20"/>
                                <w:spacing w:val="6"/>
                                <w:w w:val="105"/>
                                <w:position w:val="8"/>
                                <w:sz w:val="16"/>
                              </w:rPr>
                              <w:t> </w:t>
                            </w:r>
                            <w:r>
                              <w:rPr>
                                <w:color w:val="231F20"/>
                                <w:spacing w:val="-2"/>
                                <w:w w:val="105"/>
                                <w:position w:val="8"/>
                                <w:sz w:val="16"/>
                              </w:rPr>
                              <w:t>biochemistry</w:t>
                            </w:r>
                          </w:p>
                          <w:p>
                            <w:pPr>
                              <w:pStyle w:val="TableParagraph"/>
                              <w:spacing w:line="128" w:lineRule="exact"/>
                              <w:ind w:left="-4975"/>
                              <w:rPr>
                                <w:position w:val="11"/>
                                <w:sz w:val="16"/>
                              </w:rPr>
                            </w:pPr>
                            <w:r>
                              <w:rPr>
                                <w:color w:val="231F20"/>
                                <w:w w:val="105"/>
                                <w:sz w:val="18"/>
                              </w:rPr>
                              <w:t>6</w:t>
                            </w:r>
                            <w:r>
                              <w:rPr>
                                <w:color w:val="231F20"/>
                                <w:spacing w:val="5"/>
                                <w:w w:val="105"/>
                                <w:sz w:val="18"/>
                              </w:rPr>
                              <w:t> </w:t>
                            </w:r>
                            <w:r>
                              <w:rPr>
                                <w:color w:val="231F20"/>
                                <w:w w:val="105"/>
                                <w:sz w:val="18"/>
                              </w:rPr>
                              <w:t>before</w:t>
                            </w:r>
                            <w:r>
                              <w:rPr>
                                <w:color w:val="231F20"/>
                                <w:spacing w:val="4"/>
                                <w:w w:val="105"/>
                                <w:sz w:val="18"/>
                              </w:rPr>
                              <w:t> </w:t>
                            </w:r>
                            <w:r>
                              <w:rPr>
                                <w:color w:val="231F20"/>
                                <w:w w:val="105"/>
                                <w:sz w:val="18"/>
                              </w:rPr>
                              <w:t>surgery</w:t>
                            </w:r>
                            <w:r>
                              <w:rPr>
                                <w:color w:val="231F20"/>
                                <w:spacing w:val="5"/>
                                <w:w w:val="105"/>
                                <w:sz w:val="18"/>
                              </w:rPr>
                              <w:t> </w:t>
                            </w:r>
                            <w:r>
                              <w:rPr>
                                <w:color w:val="231F20"/>
                                <w:w w:val="105"/>
                                <w:sz w:val="18"/>
                              </w:rPr>
                              <w:t>to</w:t>
                            </w:r>
                            <w:r>
                              <w:rPr>
                                <w:color w:val="231F20"/>
                                <w:spacing w:val="4"/>
                                <w:w w:val="105"/>
                                <w:sz w:val="18"/>
                              </w:rPr>
                              <w:t> </w:t>
                            </w:r>
                            <w:r>
                              <w:rPr>
                                <w:color w:val="231F20"/>
                                <w:w w:val="105"/>
                                <w:sz w:val="18"/>
                              </w:rPr>
                              <w:t>653</w:t>
                            </w:r>
                            <w:r>
                              <w:rPr>
                                <w:color w:val="231F20"/>
                                <w:spacing w:val="-3"/>
                                <w:w w:val="120"/>
                                <w:sz w:val="18"/>
                              </w:rPr>
                              <w:t> </w:t>
                            </w:r>
                            <w:r>
                              <w:rPr>
                                <w:rFonts w:ascii="Arial"/>
                                <w:color w:val="231F20"/>
                                <w:w w:val="120"/>
                                <w:sz w:val="18"/>
                              </w:rPr>
                              <w:t>6</w:t>
                            </w:r>
                            <w:r>
                              <w:rPr>
                                <w:rFonts w:ascii="Arial"/>
                                <w:color w:val="231F20"/>
                                <w:spacing w:val="-7"/>
                                <w:w w:val="120"/>
                                <w:sz w:val="18"/>
                              </w:rPr>
                              <w:t> </w:t>
                            </w:r>
                            <w:r>
                              <w:rPr>
                                <w:color w:val="231F20"/>
                                <w:w w:val="105"/>
                                <w:sz w:val="18"/>
                              </w:rPr>
                              <w:t>447</w:t>
                            </w:r>
                            <w:r>
                              <w:rPr>
                                <w:color w:val="231F20"/>
                                <w:spacing w:val="4"/>
                                <w:w w:val="105"/>
                                <w:sz w:val="18"/>
                              </w:rPr>
                              <w:t> </w:t>
                            </w:r>
                            <w:r>
                              <w:rPr>
                                <w:color w:val="231F20"/>
                                <w:w w:val="105"/>
                                <w:sz w:val="18"/>
                              </w:rPr>
                              <w:t>after</w:t>
                            </w:r>
                            <w:r>
                              <w:rPr>
                                <w:color w:val="231F20"/>
                                <w:spacing w:val="6"/>
                                <w:w w:val="105"/>
                                <w:sz w:val="18"/>
                              </w:rPr>
                              <w:t> </w:t>
                            </w:r>
                            <w:r>
                              <w:rPr>
                                <w:color w:val="231F20"/>
                                <w:w w:val="105"/>
                                <w:sz w:val="18"/>
                              </w:rPr>
                              <w:t>surgery.</w:t>
                            </w:r>
                            <w:r>
                              <w:rPr>
                                <w:color w:val="231F20"/>
                                <w:spacing w:val="68"/>
                                <w:w w:val="150"/>
                                <w:sz w:val="18"/>
                              </w:rPr>
                              <w:t>            </w:t>
                            </w:r>
                            <w:r>
                              <w:rPr>
                                <w:color w:val="231F20"/>
                                <w:w w:val="105"/>
                                <w:position w:val="11"/>
                                <w:sz w:val="16"/>
                              </w:rPr>
                              <w:t>Urea</w:t>
                            </w:r>
                            <w:r>
                              <w:rPr>
                                <w:color w:val="231F20"/>
                                <w:spacing w:val="11"/>
                                <w:w w:val="105"/>
                                <w:position w:val="11"/>
                                <w:sz w:val="16"/>
                              </w:rPr>
                              <w:t> </w:t>
                            </w:r>
                            <w:r>
                              <w:rPr>
                                <w:color w:val="231F20"/>
                                <w:spacing w:val="-4"/>
                                <w:w w:val="105"/>
                                <w:position w:val="11"/>
                                <w:sz w:val="16"/>
                              </w:rPr>
                              <w:t>(g/L)</w:t>
                            </w:r>
                          </w:p>
                        </w:tc>
                        <w:tc>
                          <w:tcPr>
                            <w:tcW w:w="1537" w:type="dxa"/>
                          </w:tcPr>
                          <w:p>
                            <w:pPr>
                              <w:pStyle w:val="TableParagraph"/>
                              <w:spacing w:line="144" w:lineRule="exact"/>
                              <w:ind w:left="583"/>
                              <w:rPr>
                                <w:sz w:val="16"/>
                              </w:rPr>
                            </w:pPr>
                            <w:r>
                              <w:rPr>
                                <w:color w:val="231F20"/>
                                <w:w w:val="110"/>
                                <w:sz w:val="16"/>
                              </w:rPr>
                              <w:t>105</w:t>
                            </w:r>
                            <w:r>
                              <w:rPr>
                                <w:color w:val="231F20"/>
                                <w:spacing w:val="-1"/>
                                <w:w w:val="125"/>
                                <w:sz w:val="16"/>
                              </w:rPr>
                              <w:t> </w:t>
                            </w:r>
                            <w:r>
                              <w:rPr>
                                <w:rFonts w:ascii="Arial"/>
                                <w:color w:val="231F20"/>
                                <w:w w:val="125"/>
                                <w:sz w:val="16"/>
                              </w:rPr>
                              <w:t>6</w:t>
                            </w:r>
                            <w:r>
                              <w:rPr>
                                <w:rFonts w:ascii="Arial"/>
                                <w:color w:val="231F20"/>
                                <w:spacing w:val="-7"/>
                                <w:w w:val="125"/>
                                <w:sz w:val="16"/>
                              </w:rPr>
                              <w:t> </w:t>
                            </w:r>
                            <w:r>
                              <w:rPr>
                                <w:color w:val="231F20"/>
                                <w:spacing w:val="-5"/>
                                <w:w w:val="110"/>
                                <w:sz w:val="16"/>
                              </w:rPr>
                              <w:t>4.6</w:t>
                            </w:r>
                          </w:p>
                          <w:p>
                            <w:pPr>
                              <w:pStyle w:val="TableParagraph"/>
                              <w:spacing w:line="173" w:lineRule="exact"/>
                              <w:ind w:left="542"/>
                              <w:rPr>
                                <w:sz w:val="16"/>
                              </w:rPr>
                            </w:pPr>
                            <w:r>
                              <w:rPr>
                                <w:color w:val="231F20"/>
                                <w:w w:val="110"/>
                                <w:sz w:val="16"/>
                              </w:rPr>
                              <w:t>0.43</w:t>
                            </w:r>
                            <w:r>
                              <w:rPr>
                                <w:color w:val="231F20"/>
                                <w:spacing w:val="2"/>
                                <w:w w:val="120"/>
                                <w:sz w:val="16"/>
                              </w:rPr>
                              <w:t> </w:t>
                            </w:r>
                            <w:r>
                              <w:rPr>
                                <w:rFonts w:ascii="Arial"/>
                                <w:color w:val="231F20"/>
                                <w:w w:val="120"/>
                                <w:sz w:val="16"/>
                              </w:rPr>
                              <w:t>6</w:t>
                            </w:r>
                            <w:r>
                              <w:rPr>
                                <w:rFonts w:ascii="Arial"/>
                                <w:color w:val="231F20"/>
                                <w:spacing w:val="-4"/>
                                <w:w w:val="120"/>
                                <w:sz w:val="16"/>
                              </w:rPr>
                              <w:t> </w:t>
                            </w:r>
                            <w:r>
                              <w:rPr>
                                <w:color w:val="231F20"/>
                                <w:spacing w:val="-5"/>
                                <w:w w:val="110"/>
                                <w:sz w:val="16"/>
                              </w:rPr>
                              <w:t>0.1</w:t>
                            </w:r>
                          </w:p>
                        </w:tc>
                        <w:tc>
                          <w:tcPr>
                            <w:tcW w:w="1045" w:type="dxa"/>
                          </w:tcPr>
                          <w:p>
                            <w:pPr>
                              <w:pStyle w:val="TableParagraph"/>
                              <w:spacing w:line="144" w:lineRule="exact"/>
                              <w:ind w:left="318"/>
                              <w:rPr>
                                <w:sz w:val="16"/>
                              </w:rPr>
                            </w:pPr>
                            <w:r>
                              <w:rPr>
                                <w:color w:val="231F20"/>
                                <w:w w:val="110"/>
                                <w:sz w:val="16"/>
                              </w:rPr>
                              <w:t>108</w:t>
                            </w:r>
                            <w:r>
                              <w:rPr>
                                <w:color w:val="231F20"/>
                                <w:spacing w:val="-1"/>
                                <w:w w:val="125"/>
                                <w:sz w:val="16"/>
                              </w:rPr>
                              <w:t> </w:t>
                            </w:r>
                            <w:r>
                              <w:rPr>
                                <w:rFonts w:ascii="Arial"/>
                                <w:color w:val="231F20"/>
                                <w:w w:val="125"/>
                                <w:sz w:val="16"/>
                              </w:rPr>
                              <w:t>6</w:t>
                            </w:r>
                            <w:r>
                              <w:rPr>
                                <w:rFonts w:ascii="Arial"/>
                                <w:color w:val="231F20"/>
                                <w:spacing w:val="-6"/>
                                <w:w w:val="125"/>
                                <w:sz w:val="16"/>
                              </w:rPr>
                              <w:t> </w:t>
                            </w:r>
                            <w:r>
                              <w:rPr>
                                <w:color w:val="231F20"/>
                                <w:spacing w:val="-5"/>
                                <w:w w:val="110"/>
                                <w:sz w:val="16"/>
                              </w:rPr>
                              <w:t>4.9</w:t>
                            </w:r>
                          </w:p>
                          <w:p>
                            <w:pPr>
                              <w:pStyle w:val="TableParagraph"/>
                              <w:spacing w:line="173" w:lineRule="exact"/>
                              <w:ind w:left="278"/>
                              <w:rPr>
                                <w:sz w:val="16"/>
                              </w:rPr>
                            </w:pPr>
                            <w:r>
                              <w:rPr>
                                <w:color w:val="231F20"/>
                                <w:w w:val="110"/>
                                <w:sz w:val="16"/>
                              </w:rPr>
                              <w:t>0.44</w:t>
                            </w:r>
                            <w:r>
                              <w:rPr>
                                <w:color w:val="231F20"/>
                                <w:spacing w:val="1"/>
                                <w:w w:val="120"/>
                                <w:sz w:val="16"/>
                              </w:rPr>
                              <w:t> </w:t>
                            </w:r>
                            <w:r>
                              <w:rPr>
                                <w:rFonts w:ascii="Arial"/>
                                <w:color w:val="231F20"/>
                                <w:w w:val="120"/>
                                <w:sz w:val="16"/>
                              </w:rPr>
                              <w:t>6</w:t>
                            </w:r>
                            <w:r>
                              <w:rPr>
                                <w:rFonts w:ascii="Arial"/>
                                <w:color w:val="231F20"/>
                                <w:spacing w:val="-3"/>
                                <w:w w:val="120"/>
                                <w:sz w:val="16"/>
                              </w:rPr>
                              <w:t> </w:t>
                            </w:r>
                            <w:r>
                              <w:rPr>
                                <w:color w:val="231F20"/>
                                <w:spacing w:val="-5"/>
                                <w:w w:val="110"/>
                                <w:sz w:val="16"/>
                              </w:rPr>
                              <w:t>0.1</w:t>
                            </w:r>
                          </w:p>
                        </w:tc>
                      </w:tr>
                      <w:tr>
                        <w:trPr>
                          <w:trHeight w:val="216" w:hRule="atLeast"/>
                        </w:trPr>
                        <w:tc>
                          <w:tcPr>
                            <w:tcW w:w="1764" w:type="dxa"/>
                          </w:tcPr>
                          <w:p>
                            <w:pPr>
                              <w:pStyle w:val="TableParagraph"/>
                              <w:spacing w:line="36" w:lineRule="exact"/>
                              <w:ind w:left="50"/>
                              <w:rPr>
                                <w:sz w:val="16"/>
                              </w:rPr>
                            </w:pPr>
                            <w:r>
                              <w:rPr>
                                <w:color w:val="231F20"/>
                                <w:sz w:val="16"/>
                              </w:rPr>
                              <w:t>Creatinine</w:t>
                            </w:r>
                            <w:r>
                              <w:rPr>
                                <w:color w:val="231F20"/>
                                <w:spacing w:val="12"/>
                                <w:sz w:val="16"/>
                              </w:rPr>
                              <w:t> </w:t>
                            </w:r>
                            <w:r>
                              <w:rPr>
                                <w:color w:val="231F20"/>
                                <w:spacing w:val="-2"/>
                                <w:sz w:val="16"/>
                              </w:rPr>
                              <w:t>(mg/L)</w:t>
                            </w:r>
                          </w:p>
                        </w:tc>
                        <w:tc>
                          <w:tcPr>
                            <w:tcW w:w="1537" w:type="dxa"/>
                          </w:tcPr>
                          <w:p>
                            <w:pPr>
                              <w:pStyle w:val="TableParagraph"/>
                              <w:spacing w:line="36" w:lineRule="exact"/>
                              <w:ind w:left="542"/>
                              <w:rPr>
                                <w:sz w:val="16"/>
                              </w:rPr>
                            </w:pPr>
                            <w:r>
                              <w:rPr>
                                <w:color w:val="231F20"/>
                                <w:w w:val="110"/>
                                <w:sz w:val="16"/>
                              </w:rPr>
                              <w:t>10.3</w:t>
                            </w:r>
                            <w:r>
                              <w:rPr>
                                <w:color w:val="231F20"/>
                                <w:spacing w:val="2"/>
                                <w:w w:val="120"/>
                                <w:sz w:val="16"/>
                              </w:rPr>
                              <w:t> </w:t>
                            </w:r>
                            <w:r>
                              <w:rPr>
                                <w:rFonts w:ascii="Arial"/>
                                <w:color w:val="231F20"/>
                                <w:w w:val="120"/>
                                <w:sz w:val="16"/>
                              </w:rPr>
                              <w:t>6</w:t>
                            </w:r>
                            <w:r>
                              <w:rPr>
                                <w:rFonts w:ascii="Arial"/>
                                <w:color w:val="231F20"/>
                                <w:spacing w:val="-4"/>
                                <w:w w:val="120"/>
                                <w:sz w:val="16"/>
                              </w:rPr>
                              <w:t> </w:t>
                            </w:r>
                            <w:r>
                              <w:rPr>
                                <w:color w:val="231F20"/>
                                <w:spacing w:val="-5"/>
                                <w:w w:val="110"/>
                                <w:sz w:val="16"/>
                              </w:rPr>
                              <w:t>1.9</w:t>
                            </w:r>
                          </w:p>
                        </w:tc>
                        <w:tc>
                          <w:tcPr>
                            <w:tcW w:w="1045" w:type="dxa"/>
                          </w:tcPr>
                          <w:p>
                            <w:pPr>
                              <w:pStyle w:val="TableParagraph"/>
                              <w:spacing w:line="36" w:lineRule="exact"/>
                              <w:ind w:left="278"/>
                              <w:rPr>
                                <w:sz w:val="16"/>
                              </w:rPr>
                            </w:pPr>
                            <w:r>
                              <w:rPr>
                                <w:color w:val="231F20"/>
                                <w:w w:val="110"/>
                                <w:sz w:val="16"/>
                              </w:rPr>
                              <w:t>10.3</w:t>
                            </w:r>
                            <w:r>
                              <w:rPr>
                                <w:color w:val="231F20"/>
                                <w:spacing w:val="1"/>
                                <w:w w:val="120"/>
                                <w:sz w:val="16"/>
                              </w:rPr>
                              <w:t> </w:t>
                            </w:r>
                            <w:r>
                              <w:rPr>
                                <w:rFonts w:ascii="Arial"/>
                                <w:color w:val="231F20"/>
                                <w:w w:val="120"/>
                                <w:sz w:val="16"/>
                              </w:rPr>
                              <w:t>6</w:t>
                            </w:r>
                            <w:r>
                              <w:rPr>
                                <w:rFonts w:ascii="Arial"/>
                                <w:color w:val="231F20"/>
                                <w:spacing w:val="-3"/>
                                <w:w w:val="120"/>
                                <w:sz w:val="16"/>
                              </w:rPr>
                              <w:t> </w:t>
                            </w:r>
                            <w:r>
                              <w:rPr>
                                <w:color w:val="231F20"/>
                                <w:spacing w:val="-5"/>
                                <w:w w:val="110"/>
                                <w:sz w:val="16"/>
                              </w:rPr>
                              <w:t>1.8</w:t>
                            </w:r>
                          </w:p>
                        </w:tc>
                      </w:tr>
                    </w:tbl>
                    <w:p>
                      <w:pPr>
                        <w:pStyle w:val="BodyText"/>
                      </w:pPr>
                    </w:p>
                  </w:txbxContent>
                </v:textbox>
                <w10:wrap type="none"/>
              </v:shape>
            </w:pict>
          </mc:Fallback>
        </mc:AlternateContent>
      </w:r>
      <w:r>
        <w:rPr>
          <w:color w:val="231F20"/>
          <w:sz w:val="16"/>
        </w:rPr>
        <w:t>Sodium</w:t>
      </w:r>
      <w:r>
        <w:rPr>
          <w:color w:val="231F20"/>
          <w:spacing w:val="3"/>
          <w:w w:val="110"/>
          <w:sz w:val="16"/>
        </w:rPr>
        <w:t> </w:t>
      </w:r>
      <w:r>
        <w:rPr>
          <w:color w:val="231F20"/>
          <w:spacing w:val="-2"/>
          <w:w w:val="110"/>
          <w:sz w:val="16"/>
        </w:rPr>
        <w:t>(mmmol/L)</w:t>
      </w:r>
      <w:r>
        <w:rPr>
          <w:color w:val="231F20"/>
          <w:sz w:val="16"/>
        </w:rPr>
        <w:tab/>
      </w:r>
      <w:r>
        <w:rPr>
          <w:color w:val="231F20"/>
          <w:w w:val="110"/>
          <w:sz w:val="16"/>
        </w:rPr>
        <w:t>109</w:t>
      </w:r>
      <w:r>
        <w:rPr>
          <w:color w:val="231F20"/>
          <w:spacing w:val="3"/>
          <w:w w:val="120"/>
          <w:sz w:val="16"/>
        </w:rPr>
        <w:t> </w:t>
      </w:r>
      <w:r>
        <w:rPr>
          <w:rFonts w:ascii="Arial"/>
          <w:color w:val="231F20"/>
          <w:w w:val="120"/>
          <w:sz w:val="16"/>
        </w:rPr>
        <w:t>6</w:t>
      </w:r>
      <w:r>
        <w:rPr>
          <w:rFonts w:ascii="Arial"/>
          <w:color w:val="231F20"/>
          <w:spacing w:val="-2"/>
          <w:w w:val="120"/>
          <w:sz w:val="16"/>
        </w:rPr>
        <w:t> </w:t>
      </w:r>
      <w:r>
        <w:rPr>
          <w:color w:val="231F20"/>
          <w:spacing w:val="-5"/>
          <w:w w:val="110"/>
          <w:sz w:val="16"/>
        </w:rPr>
        <w:t>40</w:t>
      </w:r>
      <w:r>
        <w:rPr>
          <w:color w:val="231F20"/>
          <w:sz w:val="16"/>
        </w:rPr>
        <w:tab/>
      </w:r>
      <w:r>
        <w:rPr>
          <w:color w:val="231F20"/>
          <w:w w:val="110"/>
          <w:sz w:val="16"/>
        </w:rPr>
        <w:t>123</w:t>
      </w:r>
      <w:r>
        <w:rPr>
          <w:color w:val="231F20"/>
          <w:spacing w:val="3"/>
          <w:w w:val="120"/>
          <w:sz w:val="16"/>
        </w:rPr>
        <w:t> </w:t>
      </w:r>
      <w:r>
        <w:rPr>
          <w:rFonts w:ascii="Arial"/>
          <w:color w:val="231F20"/>
          <w:w w:val="120"/>
          <w:sz w:val="16"/>
        </w:rPr>
        <w:t>6</w:t>
      </w:r>
      <w:r>
        <w:rPr>
          <w:rFonts w:ascii="Arial"/>
          <w:color w:val="231F20"/>
          <w:spacing w:val="-1"/>
          <w:w w:val="120"/>
          <w:sz w:val="16"/>
        </w:rPr>
        <w:t> </w:t>
      </w:r>
      <w:r>
        <w:rPr>
          <w:color w:val="231F20"/>
          <w:spacing w:val="-5"/>
          <w:w w:val="110"/>
          <w:sz w:val="16"/>
        </w:rPr>
        <w:t>67</w:t>
      </w:r>
    </w:p>
    <w:p>
      <w:pPr>
        <w:tabs>
          <w:tab w:pos="2671" w:val="left" w:leader="none"/>
          <w:tab w:pos="4741" w:val="right" w:leader="none"/>
        </w:tabs>
        <w:spacing w:line="179" w:lineRule="exact" w:before="0"/>
        <w:ind w:left="415" w:right="0" w:firstLine="0"/>
        <w:jc w:val="left"/>
        <w:rPr>
          <w:sz w:val="16"/>
        </w:rPr>
      </w:pPr>
      <w:r>
        <w:rPr>
          <w:color w:val="231F20"/>
          <w:sz w:val="16"/>
        </w:rPr>
        <w:t>Potassium</w:t>
      </w:r>
      <w:r>
        <w:rPr>
          <w:color w:val="231F20"/>
          <w:spacing w:val="1"/>
          <w:w w:val="110"/>
          <w:sz w:val="16"/>
        </w:rPr>
        <w:t> </w:t>
      </w:r>
      <w:r>
        <w:rPr>
          <w:color w:val="231F20"/>
          <w:spacing w:val="-2"/>
          <w:w w:val="110"/>
          <w:sz w:val="16"/>
        </w:rPr>
        <w:t>(mmmol/L)</w:t>
      </w:r>
      <w:r>
        <w:rPr>
          <w:color w:val="231F20"/>
          <w:sz w:val="16"/>
        </w:rPr>
        <w:tab/>
      </w:r>
      <w:r>
        <w:rPr>
          <w:color w:val="231F20"/>
          <w:w w:val="110"/>
          <w:sz w:val="16"/>
        </w:rPr>
        <w:t>33.7</w:t>
      </w:r>
      <w:r>
        <w:rPr>
          <w:color w:val="231F20"/>
          <w:spacing w:val="2"/>
          <w:w w:val="120"/>
          <w:sz w:val="16"/>
        </w:rPr>
        <w:t> </w:t>
      </w:r>
      <w:r>
        <w:rPr>
          <w:rFonts w:ascii="Arial"/>
          <w:color w:val="231F20"/>
          <w:w w:val="120"/>
          <w:sz w:val="16"/>
        </w:rPr>
        <w:t>6</w:t>
      </w:r>
      <w:r>
        <w:rPr>
          <w:rFonts w:ascii="Arial"/>
          <w:color w:val="231F20"/>
          <w:spacing w:val="-4"/>
          <w:w w:val="120"/>
          <w:sz w:val="16"/>
        </w:rPr>
        <w:t> </w:t>
      </w:r>
      <w:r>
        <w:rPr>
          <w:color w:val="231F20"/>
          <w:spacing w:val="-4"/>
          <w:w w:val="110"/>
          <w:sz w:val="16"/>
        </w:rPr>
        <w:t>11.3</w:t>
      </w:r>
      <w:r>
        <w:rPr>
          <w:color w:val="231F20"/>
          <w:sz w:val="16"/>
        </w:rPr>
        <w:tab/>
      </w:r>
      <w:r>
        <w:rPr>
          <w:color w:val="231F20"/>
          <w:spacing w:val="-4"/>
          <w:w w:val="110"/>
          <w:sz w:val="16"/>
        </w:rPr>
        <w:t>33.7 </w:t>
      </w:r>
      <w:r>
        <w:rPr>
          <w:rFonts w:ascii="Arial"/>
          <w:color w:val="231F20"/>
          <w:w w:val="120"/>
          <w:sz w:val="16"/>
        </w:rPr>
        <w:t>6 </w:t>
      </w:r>
      <w:r>
        <w:rPr>
          <w:color w:val="231F20"/>
          <w:w w:val="110"/>
          <w:sz w:val="16"/>
        </w:rPr>
        <w:t>10.4</w:t>
      </w:r>
    </w:p>
    <w:p>
      <w:pPr>
        <w:tabs>
          <w:tab w:pos="2752" w:val="left" w:leader="none"/>
          <w:tab w:pos="4661" w:val="right" w:leader="none"/>
        </w:tabs>
        <w:spacing w:line="179" w:lineRule="exact" w:before="0"/>
        <w:ind w:left="415" w:right="0" w:firstLine="0"/>
        <w:jc w:val="left"/>
        <w:rPr>
          <w:sz w:val="16"/>
        </w:rPr>
      </w:pPr>
      <w:r>
        <w:rPr>
          <w:color w:val="231F20"/>
          <w:sz w:val="16"/>
        </w:rPr>
        <w:t>Calcium</w:t>
      </w:r>
      <w:r>
        <w:rPr>
          <w:color w:val="231F20"/>
          <w:spacing w:val="8"/>
          <w:w w:val="110"/>
          <w:sz w:val="16"/>
        </w:rPr>
        <w:t> </w:t>
      </w:r>
      <w:r>
        <w:rPr>
          <w:color w:val="231F20"/>
          <w:spacing w:val="-2"/>
          <w:w w:val="110"/>
          <w:sz w:val="16"/>
        </w:rPr>
        <w:t>(mg/dL)</w:t>
      </w:r>
      <w:r>
        <w:rPr>
          <w:color w:val="231F20"/>
          <w:sz w:val="16"/>
        </w:rPr>
        <w:tab/>
      </w:r>
      <w:r>
        <w:rPr>
          <w:color w:val="231F20"/>
          <w:w w:val="110"/>
          <w:sz w:val="16"/>
        </w:rPr>
        <w:t>8.2</w:t>
      </w:r>
      <w:r>
        <w:rPr>
          <w:color w:val="231F20"/>
          <w:spacing w:val="5"/>
          <w:w w:val="120"/>
          <w:sz w:val="16"/>
        </w:rPr>
        <w:t> </w:t>
      </w:r>
      <w:r>
        <w:rPr>
          <w:rFonts w:ascii="Arial"/>
          <w:color w:val="231F20"/>
          <w:w w:val="120"/>
          <w:sz w:val="16"/>
        </w:rPr>
        <w:t>6 </w:t>
      </w:r>
      <w:r>
        <w:rPr>
          <w:color w:val="231F20"/>
          <w:spacing w:val="-5"/>
          <w:w w:val="110"/>
          <w:sz w:val="16"/>
        </w:rPr>
        <w:t>4.2</w:t>
      </w:r>
      <w:r>
        <w:rPr>
          <w:color w:val="231F20"/>
          <w:sz w:val="16"/>
        </w:rPr>
        <w:tab/>
      </w:r>
      <w:r>
        <w:rPr>
          <w:color w:val="231F20"/>
          <w:spacing w:val="-5"/>
          <w:w w:val="110"/>
          <w:sz w:val="16"/>
        </w:rPr>
        <w:t>7.7 </w:t>
      </w:r>
      <w:r>
        <w:rPr>
          <w:rFonts w:ascii="Arial"/>
          <w:color w:val="231F20"/>
          <w:w w:val="120"/>
          <w:sz w:val="16"/>
        </w:rPr>
        <w:t>6 </w:t>
      </w:r>
      <w:r>
        <w:rPr>
          <w:color w:val="231F20"/>
          <w:w w:val="110"/>
          <w:sz w:val="16"/>
        </w:rPr>
        <w:t>4.3</w:t>
      </w:r>
    </w:p>
    <w:p>
      <w:pPr>
        <w:tabs>
          <w:tab w:pos="2671" w:val="left" w:leader="none"/>
          <w:tab w:pos="4741" w:val="right" w:leader="none"/>
        </w:tabs>
        <w:spacing w:line="179" w:lineRule="exact" w:before="0"/>
        <w:ind w:left="415" w:right="0" w:firstLine="0"/>
        <w:jc w:val="left"/>
        <w:rPr>
          <w:sz w:val="16"/>
        </w:rPr>
      </w:pPr>
      <w:r>
        <w:rPr>
          <w:color w:val="231F20"/>
          <w:sz w:val="16"/>
        </w:rPr>
        <w:t>Phosporum</w:t>
      </w:r>
      <w:r>
        <w:rPr>
          <w:color w:val="231F20"/>
          <w:spacing w:val="-1"/>
          <w:w w:val="110"/>
          <w:sz w:val="16"/>
        </w:rPr>
        <w:t> </w:t>
      </w:r>
      <w:r>
        <w:rPr>
          <w:color w:val="231F20"/>
          <w:spacing w:val="-2"/>
          <w:w w:val="110"/>
          <w:sz w:val="16"/>
        </w:rPr>
        <w:t>(mg/dL)</w:t>
      </w:r>
      <w:r>
        <w:rPr>
          <w:color w:val="231F20"/>
          <w:sz w:val="16"/>
        </w:rPr>
        <w:tab/>
      </w:r>
      <w:r>
        <w:rPr>
          <w:color w:val="231F20"/>
          <w:w w:val="110"/>
          <w:sz w:val="16"/>
        </w:rPr>
        <w:t>59.8</w:t>
      </w:r>
      <w:r>
        <w:rPr>
          <w:color w:val="231F20"/>
          <w:spacing w:val="2"/>
          <w:w w:val="120"/>
          <w:sz w:val="16"/>
        </w:rPr>
        <w:t> </w:t>
      </w:r>
      <w:r>
        <w:rPr>
          <w:rFonts w:ascii="Arial"/>
          <w:color w:val="231F20"/>
          <w:w w:val="120"/>
          <w:sz w:val="16"/>
        </w:rPr>
        <w:t>6</w:t>
      </w:r>
      <w:r>
        <w:rPr>
          <w:rFonts w:ascii="Arial"/>
          <w:color w:val="231F20"/>
          <w:spacing w:val="-4"/>
          <w:w w:val="120"/>
          <w:sz w:val="16"/>
        </w:rPr>
        <w:t> </w:t>
      </w:r>
      <w:r>
        <w:rPr>
          <w:color w:val="231F20"/>
          <w:spacing w:val="-4"/>
          <w:w w:val="110"/>
          <w:sz w:val="16"/>
        </w:rPr>
        <w:t>26.1</w:t>
      </w:r>
      <w:r>
        <w:rPr>
          <w:color w:val="231F20"/>
          <w:sz w:val="16"/>
        </w:rPr>
        <w:tab/>
      </w:r>
      <w:r>
        <w:rPr>
          <w:color w:val="231F20"/>
          <w:spacing w:val="-4"/>
          <w:w w:val="110"/>
          <w:sz w:val="16"/>
        </w:rPr>
        <w:t>55.1 </w:t>
      </w:r>
      <w:r>
        <w:rPr>
          <w:rFonts w:ascii="Arial"/>
          <w:color w:val="231F20"/>
          <w:w w:val="120"/>
          <w:sz w:val="16"/>
        </w:rPr>
        <w:t>6 </w:t>
      </w:r>
      <w:r>
        <w:rPr>
          <w:color w:val="231F20"/>
          <w:w w:val="110"/>
          <w:sz w:val="16"/>
        </w:rPr>
        <w:t>27.9</w:t>
      </w:r>
    </w:p>
    <w:p>
      <w:pPr>
        <w:tabs>
          <w:tab w:pos="2752" w:val="left" w:leader="none"/>
          <w:tab w:pos="4661" w:val="right" w:leader="none"/>
        </w:tabs>
        <w:spacing w:line="180" w:lineRule="exact" w:before="0"/>
        <w:ind w:left="415" w:right="0" w:firstLine="0"/>
        <w:jc w:val="left"/>
        <w:rPr>
          <w:sz w:val="16"/>
        </w:rPr>
      </w:pPr>
      <w:r>
        <w:rPr>
          <w:color w:val="231F20"/>
          <w:w w:val="105"/>
          <w:sz w:val="16"/>
        </w:rPr>
        <w:t>Uric</w:t>
      </w:r>
      <w:r>
        <w:rPr>
          <w:color w:val="231F20"/>
          <w:spacing w:val="-5"/>
          <w:w w:val="105"/>
          <w:sz w:val="16"/>
        </w:rPr>
        <w:t> </w:t>
      </w:r>
      <w:r>
        <w:rPr>
          <w:color w:val="231F20"/>
          <w:w w:val="105"/>
          <w:sz w:val="16"/>
        </w:rPr>
        <w:t>acid</w:t>
      </w:r>
      <w:r>
        <w:rPr>
          <w:color w:val="231F20"/>
          <w:spacing w:val="-5"/>
          <w:w w:val="105"/>
          <w:sz w:val="16"/>
        </w:rPr>
        <w:t> </w:t>
      </w:r>
      <w:r>
        <w:rPr>
          <w:color w:val="231F20"/>
          <w:spacing w:val="-2"/>
          <w:w w:val="105"/>
          <w:sz w:val="16"/>
        </w:rPr>
        <w:t>(mg/dL)</w:t>
      </w:r>
      <w:r>
        <w:rPr>
          <w:color w:val="231F20"/>
          <w:sz w:val="16"/>
        </w:rPr>
        <w:tab/>
      </w:r>
      <w:r>
        <w:rPr>
          <w:color w:val="231F20"/>
          <w:w w:val="110"/>
          <w:sz w:val="16"/>
        </w:rPr>
        <w:t>6.4</w:t>
      </w:r>
      <w:r>
        <w:rPr>
          <w:color w:val="231F20"/>
          <w:spacing w:val="5"/>
          <w:w w:val="120"/>
          <w:sz w:val="16"/>
        </w:rPr>
        <w:t> </w:t>
      </w:r>
      <w:r>
        <w:rPr>
          <w:rFonts w:ascii="Arial"/>
          <w:color w:val="231F20"/>
          <w:w w:val="120"/>
          <w:sz w:val="16"/>
        </w:rPr>
        <w:t>6 </w:t>
      </w:r>
      <w:r>
        <w:rPr>
          <w:color w:val="231F20"/>
          <w:spacing w:val="-5"/>
          <w:w w:val="110"/>
          <w:sz w:val="16"/>
        </w:rPr>
        <w:t>5.3</w:t>
      </w:r>
      <w:r>
        <w:rPr>
          <w:color w:val="231F20"/>
          <w:sz w:val="16"/>
        </w:rPr>
        <w:tab/>
      </w:r>
      <w:r>
        <w:rPr>
          <w:color w:val="231F20"/>
          <w:spacing w:val="-4"/>
          <w:w w:val="110"/>
          <w:sz w:val="16"/>
        </w:rPr>
        <w:t>10.3 </w:t>
      </w:r>
      <w:r>
        <w:rPr>
          <w:rFonts w:ascii="Arial"/>
          <w:color w:val="231F20"/>
          <w:w w:val="120"/>
          <w:sz w:val="16"/>
        </w:rPr>
        <w:t>6 </w:t>
      </w:r>
      <w:r>
        <w:rPr>
          <w:color w:val="231F20"/>
          <w:w w:val="110"/>
          <w:sz w:val="16"/>
        </w:rPr>
        <w:t>7.6</w:t>
      </w:r>
    </w:p>
    <w:p>
      <w:pPr>
        <w:spacing w:line="182" w:lineRule="exact" w:before="0"/>
        <w:ind w:left="256" w:right="0" w:firstLine="0"/>
        <w:jc w:val="left"/>
        <w:rPr>
          <w:sz w:val="16"/>
        </w:rPr>
      </w:pPr>
      <w:r>
        <w:rPr>
          <w:color w:val="231F20"/>
          <w:sz w:val="16"/>
        </w:rPr>
        <w:t>Urine</w:t>
      </w:r>
      <w:r>
        <w:rPr>
          <w:color w:val="231F20"/>
          <w:spacing w:val="8"/>
          <w:sz w:val="16"/>
        </w:rPr>
        <w:t> </w:t>
      </w:r>
      <w:r>
        <w:rPr>
          <w:color w:val="231F20"/>
          <w:spacing w:val="-2"/>
          <w:sz w:val="16"/>
        </w:rPr>
        <w:t>biochemistry</w:t>
      </w:r>
    </w:p>
    <w:tbl>
      <w:tblPr>
        <w:tblW w:w="0" w:type="auto"/>
        <w:jc w:val="left"/>
        <w:tblInd w:w="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73"/>
        <w:gridCol w:w="1577"/>
        <w:gridCol w:w="1113"/>
      </w:tblGrid>
      <w:tr>
        <w:trPr>
          <w:trHeight w:val="222" w:hRule="atLeast"/>
        </w:trPr>
        <w:tc>
          <w:tcPr>
            <w:tcW w:w="1873" w:type="dxa"/>
          </w:tcPr>
          <w:p>
            <w:pPr>
              <w:pStyle w:val="TableParagraph"/>
              <w:spacing w:line="180" w:lineRule="exact"/>
              <w:ind w:left="158"/>
              <w:rPr>
                <w:sz w:val="16"/>
              </w:rPr>
            </w:pPr>
            <w:r>
              <w:rPr>
                <w:color w:val="231F20"/>
                <w:sz w:val="16"/>
              </w:rPr>
              <w:t>Urea</w:t>
            </w:r>
            <w:r>
              <w:rPr>
                <w:color w:val="231F20"/>
                <w:spacing w:val="8"/>
                <w:sz w:val="16"/>
              </w:rPr>
              <w:t> </w:t>
            </w:r>
            <w:r>
              <w:rPr>
                <w:color w:val="231F20"/>
                <w:spacing w:val="-2"/>
                <w:sz w:val="16"/>
              </w:rPr>
              <w:t>(mg/dL)</w:t>
            </w:r>
          </w:p>
        </w:tc>
        <w:tc>
          <w:tcPr>
            <w:tcW w:w="1577" w:type="dxa"/>
          </w:tcPr>
          <w:p>
            <w:pPr>
              <w:pStyle w:val="TableParagraph"/>
              <w:spacing w:line="180" w:lineRule="exact"/>
              <w:ind w:left="462"/>
              <w:rPr>
                <w:sz w:val="16"/>
              </w:rPr>
            </w:pPr>
            <w:r>
              <w:rPr>
                <w:color w:val="231F20"/>
                <w:w w:val="110"/>
                <w:sz w:val="16"/>
              </w:rPr>
              <w:t>1,821</w:t>
            </w:r>
            <w:r>
              <w:rPr>
                <w:color w:val="231F20"/>
                <w:spacing w:val="-3"/>
                <w:w w:val="120"/>
                <w:sz w:val="16"/>
              </w:rPr>
              <w:t> </w:t>
            </w:r>
            <w:r>
              <w:rPr>
                <w:rFonts w:ascii="Arial"/>
                <w:color w:val="231F20"/>
                <w:w w:val="120"/>
                <w:sz w:val="16"/>
              </w:rPr>
              <w:t>6</w:t>
            </w:r>
            <w:r>
              <w:rPr>
                <w:rFonts w:ascii="Arial"/>
                <w:color w:val="231F20"/>
                <w:spacing w:val="-9"/>
                <w:w w:val="120"/>
                <w:sz w:val="16"/>
              </w:rPr>
              <w:t> </w:t>
            </w:r>
            <w:r>
              <w:rPr>
                <w:color w:val="231F20"/>
                <w:spacing w:val="-2"/>
                <w:w w:val="110"/>
                <w:sz w:val="16"/>
              </w:rPr>
              <w:t>691.6</w:t>
            </w:r>
          </w:p>
        </w:tc>
        <w:tc>
          <w:tcPr>
            <w:tcW w:w="1113" w:type="dxa"/>
          </w:tcPr>
          <w:p>
            <w:pPr>
              <w:pStyle w:val="TableParagraph"/>
              <w:spacing w:line="180" w:lineRule="exact"/>
              <w:ind w:left="158" w:right="-15"/>
              <w:jc w:val="center"/>
              <w:rPr>
                <w:sz w:val="16"/>
              </w:rPr>
            </w:pPr>
            <w:r>
              <w:rPr>
                <w:color w:val="231F20"/>
                <w:w w:val="110"/>
                <w:sz w:val="16"/>
              </w:rPr>
              <w:t>1,669</w:t>
            </w:r>
            <w:r>
              <w:rPr>
                <w:color w:val="231F20"/>
                <w:spacing w:val="-4"/>
                <w:w w:val="120"/>
                <w:sz w:val="16"/>
              </w:rPr>
              <w:t> </w:t>
            </w:r>
            <w:r>
              <w:rPr>
                <w:rFonts w:ascii="Arial"/>
                <w:color w:val="231F20"/>
                <w:w w:val="120"/>
                <w:sz w:val="16"/>
              </w:rPr>
              <w:t>6</w:t>
            </w:r>
            <w:r>
              <w:rPr>
                <w:rFonts w:ascii="Arial"/>
                <w:color w:val="231F20"/>
                <w:spacing w:val="-8"/>
                <w:w w:val="120"/>
                <w:sz w:val="16"/>
              </w:rPr>
              <w:t> </w:t>
            </w:r>
            <w:r>
              <w:rPr>
                <w:color w:val="231F20"/>
                <w:spacing w:val="-2"/>
                <w:sz w:val="16"/>
              </w:rPr>
              <w:t>631.2</w:t>
            </w:r>
          </w:p>
        </w:tc>
      </w:tr>
      <w:tr>
        <w:trPr>
          <w:trHeight w:val="240" w:hRule="atLeast"/>
        </w:trPr>
        <w:tc>
          <w:tcPr>
            <w:tcW w:w="1873" w:type="dxa"/>
            <w:tcBorders>
              <w:bottom w:val="single" w:sz="12" w:space="0" w:color="231F20"/>
            </w:tcBorders>
          </w:tcPr>
          <w:p>
            <w:pPr>
              <w:pStyle w:val="TableParagraph"/>
              <w:spacing w:line="136" w:lineRule="exact"/>
              <w:ind w:left="158"/>
              <w:rPr>
                <w:sz w:val="16"/>
              </w:rPr>
            </w:pPr>
            <w:r>
              <w:rPr>
                <w:color w:val="231F20"/>
                <w:sz w:val="16"/>
              </w:rPr>
              <w:t>Creatinine</w:t>
            </w:r>
            <w:r>
              <w:rPr>
                <w:color w:val="231F20"/>
                <w:spacing w:val="12"/>
                <w:sz w:val="16"/>
              </w:rPr>
              <w:t> </w:t>
            </w:r>
            <w:r>
              <w:rPr>
                <w:color w:val="231F20"/>
                <w:spacing w:val="-2"/>
                <w:sz w:val="16"/>
              </w:rPr>
              <w:t>(mg/dL)</w:t>
            </w:r>
          </w:p>
        </w:tc>
        <w:tc>
          <w:tcPr>
            <w:tcW w:w="1577" w:type="dxa"/>
            <w:tcBorders>
              <w:bottom w:val="single" w:sz="12" w:space="0" w:color="231F20"/>
            </w:tcBorders>
          </w:tcPr>
          <w:p>
            <w:pPr>
              <w:pStyle w:val="TableParagraph"/>
              <w:spacing w:line="136" w:lineRule="exact"/>
              <w:ind w:left="462"/>
              <w:rPr>
                <w:sz w:val="16"/>
              </w:rPr>
            </w:pPr>
            <w:r>
              <w:rPr>
                <w:color w:val="231F20"/>
                <w:w w:val="110"/>
                <w:sz w:val="16"/>
              </w:rPr>
              <w:t>76.39</w:t>
            </w:r>
            <w:r>
              <w:rPr>
                <w:color w:val="231F20"/>
                <w:spacing w:val="-3"/>
                <w:w w:val="120"/>
                <w:sz w:val="16"/>
              </w:rPr>
              <w:t> </w:t>
            </w:r>
            <w:r>
              <w:rPr>
                <w:rFonts w:ascii="Arial"/>
                <w:color w:val="231F20"/>
                <w:w w:val="120"/>
                <w:sz w:val="16"/>
              </w:rPr>
              <w:t>6</w:t>
            </w:r>
            <w:r>
              <w:rPr>
                <w:rFonts w:ascii="Arial"/>
                <w:color w:val="231F20"/>
                <w:spacing w:val="-9"/>
                <w:w w:val="120"/>
                <w:sz w:val="16"/>
              </w:rPr>
              <w:t> </w:t>
            </w:r>
            <w:r>
              <w:rPr>
                <w:color w:val="231F20"/>
                <w:spacing w:val="-7"/>
                <w:w w:val="110"/>
                <w:sz w:val="16"/>
              </w:rPr>
              <w:t>36</w:t>
            </w:r>
          </w:p>
        </w:tc>
        <w:tc>
          <w:tcPr>
            <w:tcW w:w="1113" w:type="dxa"/>
            <w:tcBorders>
              <w:bottom w:val="single" w:sz="12" w:space="0" w:color="231F20"/>
            </w:tcBorders>
          </w:tcPr>
          <w:p>
            <w:pPr>
              <w:pStyle w:val="TableParagraph"/>
              <w:spacing w:line="136" w:lineRule="exact"/>
              <w:ind w:left="238"/>
              <w:rPr>
                <w:sz w:val="16"/>
              </w:rPr>
            </w:pPr>
            <w:r>
              <w:rPr>
                <w:color w:val="231F20"/>
                <w:w w:val="110"/>
                <w:sz w:val="16"/>
              </w:rPr>
              <w:t>72.0</w:t>
            </w:r>
            <w:r>
              <w:rPr>
                <w:color w:val="231F20"/>
                <w:spacing w:val="1"/>
                <w:w w:val="120"/>
                <w:sz w:val="16"/>
              </w:rPr>
              <w:t> </w:t>
            </w:r>
            <w:r>
              <w:rPr>
                <w:rFonts w:ascii="Arial"/>
                <w:color w:val="231F20"/>
                <w:w w:val="120"/>
                <w:sz w:val="16"/>
              </w:rPr>
              <w:t>6</w:t>
            </w:r>
            <w:r>
              <w:rPr>
                <w:rFonts w:ascii="Arial"/>
                <w:color w:val="231F20"/>
                <w:spacing w:val="-3"/>
                <w:w w:val="120"/>
                <w:sz w:val="16"/>
              </w:rPr>
              <w:t> </w:t>
            </w:r>
            <w:r>
              <w:rPr>
                <w:color w:val="231F20"/>
                <w:spacing w:val="-7"/>
                <w:w w:val="110"/>
                <w:sz w:val="16"/>
              </w:rPr>
              <w:t>35</w:t>
            </w:r>
          </w:p>
        </w:tc>
      </w:tr>
      <w:tr>
        <w:trPr>
          <w:trHeight w:val="294" w:hRule="atLeast"/>
        </w:trPr>
        <w:tc>
          <w:tcPr>
            <w:tcW w:w="1873" w:type="dxa"/>
            <w:tcBorders>
              <w:top w:val="single" w:sz="12" w:space="0" w:color="231F20"/>
            </w:tcBorders>
          </w:tcPr>
          <w:p>
            <w:pPr>
              <w:pStyle w:val="TableParagraph"/>
              <w:spacing w:before="20"/>
              <w:ind w:left="159"/>
              <w:rPr>
                <w:sz w:val="16"/>
              </w:rPr>
            </w:pPr>
            <w:r>
              <w:rPr>
                <w:color w:val="231F20"/>
                <w:w w:val="105"/>
                <w:sz w:val="16"/>
              </w:rPr>
              <w:t>*</w:t>
            </w:r>
            <w:r>
              <w:rPr>
                <w:i/>
                <w:color w:val="231F20"/>
                <w:w w:val="105"/>
                <w:sz w:val="16"/>
              </w:rPr>
              <w:t>P</w:t>
            </w:r>
            <w:r>
              <w:rPr>
                <w:i/>
                <w:color w:val="231F20"/>
                <w:spacing w:val="16"/>
                <w:w w:val="105"/>
                <w:sz w:val="16"/>
              </w:rPr>
              <w:t> </w:t>
            </w:r>
            <w:r>
              <w:rPr>
                <w:rFonts w:ascii="Arial"/>
                <w:color w:val="231F20"/>
                <w:w w:val="105"/>
                <w:sz w:val="16"/>
              </w:rPr>
              <w:t>&lt;</w:t>
            </w:r>
            <w:r>
              <w:rPr>
                <w:rFonts w:ascii="Arial"/>
                <w:color w:val="231F20"/>
                <w:spacing w:val="13"/>
                <w:w w:val="105"/>
                <w:sz w:val="16"/>
              </w:rPr>
              <w:t> </w:t>
            </w:r>
            <w:r>
              <w:rPr>
                <w:color w:val="231F20"/>
                <w:spacing w:val="-2"/>
                <w:w w:val="105"/>
                <w:sz w:val="16"/>
              </w:rPr>
              <w:t>0.0001.</w:t>
            </w:r>
          </w:p>
        </w:tc>
        <w:tc>
          <w:tcPr>
            <w:tcW w:w="1577" w:type="dxa"/>
            <w:tcBorders>
              <w:top w:val="single" w:sz="12" w:space="0" w:color="231F20"/>
            </w:tcBorders>
          </w:tcPr>
          <w:p>
            <w:pPr>
              <w:pStyle w:val="TableParagraph"/>
              <w:rPr>
                <w:sz w:val="16"/>
              </w:rPr>
            </w:pPr>
          </w:p>
        </w:tc>
        <w:tc>
          <w:tcPr>
            <w:tcW w:w="1113" w:type="dxa"/>
            <w:tcBorders>
              <w:top w:val="single" w:sz="12" w:space="0" w:color="231F20"/>
            </w:tcBorders>
          </w:tcPr>
          <w:p>
            <w:pPr>
              <w:pStyle w:val="TableParagraph"/>
              <w:rPr>
                <w:sz w:val="16"/>
              </w:rPr>
            </w:pPr>
          </w:p>
        </w:tc>
      </w:tr>
    </w:tbl>
    <w:p>
      <w:pPr>
        <w:pStyle w:val="BodyText"/>
        <w:rPr>
          <w:sz w:val="16"/>
        </w:rPr>
      </w:pPr>
    </w:p>
    <w:p>
      <w:pPr>
        <w:pStyle w:val="BodyText"/>
        <w:rPr>
          <w:sz w:val="16"/>
        </w:rPr>
      </w:pPr>
    </w:p>
    <w:p>
      <w:pPr>
        <w:pStyle w:val="BodyText"/>
        <w:spacing w:before="41"/>
        <w:rPr>
          <w:sz w:val="16"/>
        </w:rPr>
      </w:pPr>
    </w:p>
    <w:p>
      <w:pPr>
        <w:spacing w:before="0"/>
        <w:ind w:left="2309" w:right="0" w:firstLine="0"/>
        <w:jc w:val="left"/>
        <w:rPr>
          <w:i/>
          <w:sz w:val="14"/>
        </w:rPr>
      </w:pPr>
      <w:r>
        <w:rPr>
          <w:i/>
          <w:color w:val="231F20"/>
          <w:sz w:val="14"/>
        </w:rPr>
        <w:t>Movement</w:t>
      </w:r>
      <w:r>
        <w:rPr>
          <w:i/>
          <w:color w:val="231F20"/>
          <w:spacing w:val="9"/>
          <w:sz w:val="14"/>
        </w:rPr>
        <w:t> </w:t>
      </w:r>
      <w:r>
        <w:rPr>
          <w:i/>
          <w:color w:val="231F20"/>
          <w:sz w:val="14"/>
        </w:rPr>
        <w:t>Disorders,</w:t>
      </w:r>
      <w:r>
        <w:rPr>
          <w:i/>
          <w:color w:val="231F20"/>
          <w:spacing w:val="9"/>
          <w:sz w:val="14"/>
        </w:rPr>
        <w:t> </w:t>
      </w:r>
      <w:r>
        <w:rPr>
          <w:i/>
          <w:color w:val="231F20"/>
          <w:sz w:val="14"/>
        </w:rPr>
        <w:t>Vol.</w:t>
      </w:r>
      <w:r>
        <w:rPr>
          <w:i/>
          <w:color w:val="231F20"/>
          <w:spacing w:val="8"/>
          <w:sz w:val="14"/>
        </w:rPr>
        <w:t> </w:t>
      </w:r>
      <w:r>
        <w:rPr>
          <w:i/>
          <w:color w:val="231F20"/>
          <w:sz w:val="14"/>
        </w:rPr>
        <w:t>25,</w:t>
      </w:r>
      <w:r>
        <w:rPr>
          <w:i/>
          <w:color w:val="231F20"/>
          <w:spacing w:val="9"/>
          <w:sz w:val="14"/>
        </w:rPr>
        <w:t> </w:t>
      </w:r>
      <w:r>
        <w:rPr>
          <w:i/>
          <w:color w:val="231F20"/>
          <w:sz w:val="14"/>
        </w:rPr>
        <w:t>No.</w:t>
      </w:r>
      <w:r>
        <w:rPr>
          <w:i/>
          <w:color w:val="231F20"/>
          <w:spacing w:val="9"/>
          <w:sz w:val="14"/>
        </w:rPr>
        <w:t> </w:t>
      </w:r>
      <w:r>
        <w:rPr>
          <w:i/>
          <w:color w:val="231F20"/>
          <w:sz w:val="14"/>
        </w:rPr>
        <w:t>14,</w:t>
      </w:r>
      <w:r>
        <w:rPr>
          <w:i/>
          <w:color w:val="231F20"/>
          <w:spacing w:val="8"/>
          <w:sz w:val="14"/>
        </w:rPr>
        <w:t> </w:t>
      </w:r>
      <w:r>
        <w:rPr>
          <w:i/>
          <w:color w:val="231F20"/>
          <w:spacing w:val="-4"/>
          <w:sz w:val="14"/>
        </w:rPr>
        <w:t>2010</w:t>
      </w:r>
    </w:p>
    <w:p>
      <w:pPr>
        <w:spacing w:after="0"/>
        <w:jc w:val="left"/>
        <w:rPr>
          <w:i/>
          <w:sz w:val="14"/>
        </w:rPr>
        <w:sectPr>
          <w:type w:val="continuous"/>
          <w:pgSz w:w="12240" w:h="16200"/>
          <w:pgMar w:top="1060" w:bottom="280" w:left="1080" w:right="1080"/>
          <w:cols w:num="2" w:equalWidth="0">
            <w:col w:w="4861" w:space="180"/>
            <w:col w:w="5039"/>
          </w:cols>
        </w:sectPr>
      </w:pPr>
    </w:p>
    <w:p>
      <w:pPr>
        <w:pStyle w:val="Heading3"/>
        <w:tabs>
          <w:tab w:pos="3890" w:val="left" w:leader="none"/>
        </w:tabs>
        <w:ind w:left="256"/>
      </w:pPr>
      <w:r>
        <w:rPr>
          <w:color w:val="231F20"/>
          <w:spacing w:val="-4"/>
        </w:rPr>
        <w:t>2464</w:t>
      </w:r>
      <w:r>
        <w:rPr>
          <w:color w:val="231F20"/>
        </w:rPr>
        <w:tab/>
        <w:t>LETTERS</w:t>
      </w:r>
      <w:r>
        <w:rPr>
          <w:color w:val="231F20"/>
          <w:spacing w:val="12"/>
        </w:rPr>
        <w:t> </w:t>
      </w:r>
      <w:r>
        <w:rPr>
          <w:color w:val="231F20"/>
        </w:rPr>
        <w:t>TO</w:t>
      </w:r>
      <w:r>
        <w:rPr>
          <w:color w:val="231F20"/>
          <w:spacing w:val="10"/>
        </w:rPr>
        <w:t> </w:t>
      </w:r>
      <w:r>
        <w:rPr>
          <w:color w:val="231F20"/>
        </w:rPr>
        <w:t>THE</w:t>
      </w:r>
      <w:r>
        <w:rPr>
          <w:color w:val="231F20"/>
          <w:spacing w:val="11"/>
        </w:rPr>
        <w:t> </w:t>
      </w:r>
      <w:r>
        <w:rPr>
          <w:color w:val="231F20"/>
          <w:spacing w:val="-2"/>
        </w:rPr>
        <w:t>EDITOR</w:t>
      </w:r>
    </w:p>
    <w:p>
      <w:pPr>
        <w:pStyle w:val="BodyText"/>
        <w:spacing w:before="82"/>
        <w:rPr>
          <w:i/>
          <w:sz w:val="20"/>
        </w:rPr>
      </w:pPr>
    </w:p>
    <w:p>
      <w:pPr>
        <w:pStyle w:val="BodyText"/>
        <w:spacing w:after="0"/>
        <w:rPr>
          <w:i/>
          <w:sz w:val="20"/>
        </w:rPr>
        <w:sectPr>
          <w:pgSz w:w="12240" w:h="16200"/>
          <w:pgMar w:top="1040" w:bottom="280" w:left="1080" w:right="1080"/>
        </w:sectPr>
      </w:pPr>
    </w:p>
    <w:p>
      <w:pPr>
        <w:pStyle w:val="BodyText"/>
        <w:spacing w:line="230" w:lineRule="auto" w:before="78"/>
        <w:ind w:left="256"/>
      </w:pPr>
      <w:r>
        <w:rPr>
          <w:color w:val="231F20"/>
        </w:rPr>
        <w:t>ﬁnancial</w:t>
      </w:r>
      <w:r>
        <w:rPr>
          <w:color w:val="231F20"/>
          <w:spacing w:val="-11"/>
        </w:rPr>
        <w:t> </w:t>
      </w:r>
      <w:r>
        <w:rPr>
          <w:color w:val="231F20"/>
        </w:rPr>
        <w:t>support</w:t>
      </w:r>
      <w:r>
        <w:rPr>
          <w:color w:val="231F20"/>
          <w:spacing w:val="-11"/>
        </w:rPr>
        <w:t> </w:t>
      </w:r>
      <w:r>
        <w:rPr>
          <w:color w:val="231F20"/>
        </w:rPr>
        <w:t>and</w:t>
      </w:r>
      <w:r>
        <w:rPr>
          <w:color w:val="231F20"/>
          <w:spacing w:val="-12"/>
        </w:rPr>
        <w:t> </w:t>
      </w:r>
      <w:r>
        <w:rPr>
          <w:color w:val="231F20"/>
        </w:rPr>
        <w:t>funding</w:t>
      </w:r>
      <w:r>
        <w:rPr>
          <w:color w:val="231F20"/>
          <w:spacing w:val="-11"/>
        </w:rPr>
        <w:t> </w:t>
      </w:r>
      <w:r>
        <w:rPr>
          <w:color w:val="231F20"/>
        </w:rPr>
        <w:t>for</w:t>
      </w:r>
      <w:r>
        <w:rPr>
          <w:color w:val="231F20"/>
          <w:spacing w:val="-11"/>
        </w:rPr>
        <w:t> </w:t>
      </w:r>
      <w:r>
        <w:rPr>
          <w:color w:val="231F20"/>
        </w:rPr>
        <w:t>the</w:t>
      </w:r>
      <w:r>
        <w:rPr>
          <w:color w:val="231F20"/>
          <w:spacing w:val="-11"/>
        </w:rPr>
        <w:t> </w:t>
      </w:r>
      <w:r>
        <w:rPr>
          <w:color w:val="231F20"/>
        </w:rPr>
        <w:t>preceding</w:t>
      </w:r>
      <w:r>
        <w:rPr>
          <w:color w:val="231F20"/>
          <w:spacing w:val="-12"/>
        </w:rPr>
        <w:t> </w:t>
      </w:r>
      <w:r>
        <w:rPr>
          <w:color w:val="231F20"/>
        </w:rPr>
        <w:t>12</w:t>
      </w:r>
      <w:r>
        <w:rPr>
          <w:color w:val="231F20"/>
          <w:spacing w:val="-11"/>
        </w:rPr>
        <w:t> </w:t>
      </w:r>
      <w:r>
        <w:rPr>
          <w:color w:val="231F20"/>
        </w:rPr>
        <w:t>months</w:t>
      </w:r>
      <w:r>
        <w:rPr>
          <w:color w:val="231F20"/>
          <w:spacing w:val="-11"/>
        </w:rPr>
        <w:t> </w:t>
      </w:r>
      <w:r>
        <w:rPr>
          <w:color w:val="231F20"/>
        </w:rPr>
        <w:t>of</w:t>
      </w:r>
      <w:r>
        <w:rPr>
          <w:color w:val="231F20"/>
          <w:spacing w:val="-11"/>
        </w:rPr>
        <w:t> </w:t>
      </w:r>
      <w:r>
        <w:rPr>
          <w:color w:val="231F20"/>
        </w:rPr>
        <w:t>the listed</w:t>
      </w:r>
      <w:r>
        <w:rPr>
          <w:color w:val="231F20"/>
          <w:spacing w:val="-12"/>
        </w:rPr>
        <w:t> </w:t>
      </w:r>
      <w:r>
        <w:rPr>
          <w:color w:val="231F20"/>
        </w:rPr>
        <w:t>sources,</w:t>
      </w:r>
      <w:r>
        <w:rPr>
          <w:color w:val="231F20"/>
          <w:spacing w:val="-11"/>
        </w:rPr>
        <w:t> </w:t>
      </w:r>
      <w:r>
        <w:rPr>
          <w:color w:val="231F20"/>
        </w:rPr>
        <w:t>regardless</w:t>
      </w:r>
      <w:r>
        <w:rPr>
          <w:color w:val="231F20"/>
          <w:spacing w:val="-11"/>
        </w:rPr>
        <w:t> </w:t>
      </w:r>
      <w:r>
        <w:rPr>
          <w:color w:val="231F20"/>
        </w:rPr>
        <w:t>of</w:t>
      </w:r>
      <w:r>
        <w:rPr>
          <w:color w:val="231F20"/>
          <w:spacing w:val="-11"/>
        </w:rPr>
        <w:t> </w:t>
      </w:r>
      <w:r>
        <w:rPr>
          <w:color w:val="231F20"/>
        </w:rPr>
        <w:t>relationship</w:t>
      </w:r>
      <w:r>
        <w:rPr>
          <w:color w:val="231F20"/>
          <w:spacing w:val="-12"/>
        </w:rPr>
        <w:t> </w:t>
      </w:r>
      <w:r>
        <w:rPr>
          <w:color w:val="231F20"/>
        </w:rPr>
        <w:t>to</w:t>
      </w:r>
      <w:r>
        <w:rPr>
          <w:color w:val="231F20"/>
          <w:spacing w:val="-11"/>
        </w:rPr>
        <w:t> </w:t>
      </w:r>
      <w:r>
        <w:rPr>
          <w:color w:val="231F20"/>
        </w:rPr>
        <w:t>current</w:t>
      </w:r>
      <w:r>
        <w:rPr>
          <w:color w:val="231F20"/>
          <w:spacing w:val="-11"/>
        </w:rPr>
        <w:t> </w:t>
      </w:r>
      <w:r>
        <w:rPr>
          <w:color w:val="231F20"/>
        </w:rPr>
        <w:t>manuscript.</w:t>
      </w:r>
    </w:p>
    <w:p>
      <w:pPr>
        <w:pStyle w:val="BodyText"/>
        <w:spacing w:line="230" w:lineRule="auto" w:before="171"/>
        <w:ind w:left="256" w:right="39" w:firstLine="199"/>
        <w:jc w:val="both"/>
      </w:pPr>
      <w:r>
        <w:rPr>
          <w:color w:val="231F20"/>
        </w:rPr>
        <w:t>Author Roles: Joana Guimara˜es: Research project </w:t>
      </w:r>
      <w:r>
        <w:rPr>
          <w:color w:val="231F20"/>
        </w:rPr>
        <w:t>(Con- ception, Organization, Execution); Statistical Analysis (Design); Manuscript (Writing of the ﬁrst draft, Review and Critique); Augusta Vieira-Coelho: Research project (Concep- tion); Manuscript (Writing of the ﬁrst draft, Review and Cri- tique); Maria Jose</w:t>
      </w:r>
      <w:r>
        <w:rPr>
          <w:color w:val="231F20"/>
          <w:position w:val="1"/>
        </w:rPr>
        <w:t>´ </w:t>
      </w:r>
      <w:r>
        <w:rPr>
          <w:color w:val="231F20"/>
        </w:rPr>
        <w:t>Rosas: Research project (Conception, Or- ganization, Execution); Manuscript (Writing of the ﬁrst draft, Review and Critique); Eduardo Moura: Research project (Execution); Statistical Analysis (Design, Execution, Review and</w:t>
      </w:r>
      <w:r>
        <w:rPr>
          <w:color w:val="231F20"/>
          <w:spacing w:val="40"/>
        </w:rPr>
        <w:t> </w:t>
      </w:r>
      <w:r>
        <w:rPr>
          <w:color w:val="231F20"/>
        </w:rPr>
        <w:t>Critique);</w:t>
      </w:r>
      <w:r>
        <w:rPr>
          <w:color w:val="231F20"/>
          <w:spacing w:val="40"/>
        </w:rPr>
        <w:t> </w:t>
      </w:r>
      <w:r>
        <w:rPr>
          <w:color w:val="231F20"/>
        </w:rPr>
        <w:t>Manuscript</w:t>
      </w:r>
      <w:r>
        <w:rPr>
          <w:color w:val="231F20"/>
          <w:spacing w:val="40"/>
        </w:rPr>
        <w:t> </w:t>
      </w:r>
      <w:r>
        <w:rPr>
          <w:color w:val="231F20"/>
        </w:rPr>
        <w:t>(Writing</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ﬁrst</w:t>
      </w:r>
      <w:r>
        <w:rPr>
          <w:color w:val="231F20"/>
          <w:spacing w:val="40"/>
        </w:rPr>
        <w:t> </w:t>
      </w:r>
      <w:r>
        <w:rPr>
          <w:color w:val="231F20"/>
        </w:rPr>
        <w:t>draft);</w:t>
      </w:r>
      <w:r>
        <w:rPr>
          <w:color w:val="231F20"/>
          <w:spacing w:val="40"/>
        </w:rPr>
        <w:t> </w:t>
      </w:r>
      <w:r>
        <w:rPr>
          <w:color w:val="231F20"/>
        </w:rPr>
        <w:t>Rui Vaz: Research project (Conception, Organization); Manu- script (Review and Critique); Carolina Garrett: Research pro- ject (Conception, Organization).</w:t>
      </w:r>
    </w:p>
    <w:p>
      <w:pPr>
        <w:spacing w:line="230" w:lineRule="auto" w:before="143"/>
        <w:ind w:left="1558" w:right="39" w:firstLine="1531"/>
        <w:jc w:val="right"/>
        <w:rPr>
          <w:i/>
          <w:sz w:val="18"/>
        </w:rPr>
      </w:pPr>
      <w:r>
        <w:rPr>
          <w:color w:val="231F20"/>
          <w:spacing w:val="-2"/>
          <w:sz w:val="18"/>
        </w:rPr>
        <w:t>Joana</w:t>
      </w:r>
      <w:r>
        <w:rPr>
          <w:color w:val="231F20"/>
          <w:spacing w:val="-6"/>
          <w:sz w:val="18"/>
        </w:rPr>
        <w:t> </w:t>
      </w:r>
      <w:r>
        <w:rPr>
          <w:color w:val="231F20"/>
          <w:spacing w:val="-2"/>
          <w:sz w:val="18"/>
        </w:rPr>
        <w:t>Guimara˜es,</w:t>
      </w:r>
      <w:r>
        <w:rPr>
          <w:color w:val="231F20"/>
          <w:spacing w:val="-7"/>
          <w:sz w:val="18"/>
        </w:rPr>
        <w:t> </w:t>
      </w:r>
      <w:r>
        <w:rPr>
          <w:color w:val="231F20"/>
          <w:spacing w:val="-2"/>
          <w:sz w:val="18"/>
        </w:rPr>
        <w:t>MD* </w:t>
      </w:r>
      <w:r>
        <w:rPr>
          <w:i/>
          <w:color w:val="231F20"/>
          <w:sz w:val="18"/>
        </w:rPr>
        <w:t>Neurology Department, Faculty of Medicine University of Porto, Hospital de Sa˜o Joa˜o</w:t>
      </w:r>
    </w:p>
    <w:p>
      <w:pPr>
        <w:spacing w:line="198" w:lineRule="exact" w:before="0"/>
        <w:ind w:left="0" w:right="39" w:firstLine="0"/>
        <w:jc w:val="right"/>
        <w:rPr>
          <w:i/>
          <w:sz w:val="18"/>
        </w:rPr>
      </w:pPr>
      <w:r>
        <w:rPr>
          <w:i/>
          <w:color w:val="231F20"/>
          <w:sz w:val="18"/>
        </w:rPr>
        <w:t>Alameda</w:t>
      </w:r>
      <w:r>
        <w:rPr>
          <w:i/>
          <w:color w:val="231F20"/>
          <w:spacing w:val="-1"/>
          <w:sz w:val="18"/>
        </w:rPr>
        <w:t> </w:t>
      </w:r>
      <w:r>
        <w:rPr>
          <w:i/>
          <w:color w:val="231F20"/>
          <w:sz w:val="18"/>
        </w:rPr>
        <w:t>Professor</w:t>
      </w:r>
      <w:r>
        <w:rPr>
          <w:i/>
          <w:color w:val="231F20"/>
          <w:spacing w:val="-1"/>
          <w:sz w:val="18"/>
        </w:rPr>
        <w:t> </w:t>
      </w:r>
      <w:r>
        <w:rPr>
          <w:i/>
          <w:color w:val="231F20"/>
          <w:sz w:val="18"/>
        </w:rPr>
        <w:t>Herna</w:t>
      </w:r>
      <w:r>
        <w:rPr>
          <w:i/>
          <w:color w:val="231F20"/>
          <w:position w:val="1"/>
          <w:sz w:val="18"/>
        </w:rPr>
        <w:t>ˆ</w:t>
      </w:r>
      <w:r>
        <w:rPr>
          <w:i/>
          <w:color w:val="231F20"/>
          <w:sz w:val="18"/>
        </w:rPr>
        <w:t>ni</w:t>
      </w:r>
      <w:r>
        <w:rPr>
          <w:i/>
          <w:color w:val="231F20"/>
          <w:spacing w:val="-1"/>
          <w:sz w:val="18"/>
        </w:rPr>
        <w:t> </w:t>
      </w:r>
      <w:r>
        <w:rPr>
          <w:i/>
          <w:color w:val="231F20"/>
          <w:sz w:val="18"/>
        </w:rPr>
        <w:t>Monteiro,</w:t>
      </w:r>
      <w:r>
        <w:rPr>
          <w:i/>
          <w:color w:val="231F20"/>
          <w:spacing w:val="-1"/>
          <w:sz w:val="18"/>
        </w:rPr>
        <w:t> </w:t>
      </w:r>
      <w:r>
        <w:rPr>
          <w:i/>
          <w:color w:val="231F20"/>
          <w:sz w:val="18"/>
        </w:rPr>
        <w:t>Porto</w:t>
      </w:r>
      <w:r>
        <w:rPr>
          <w:i/>
          <w:color w:val="231F20"/>
          <w:spacing w:val="-1"/>
          <w:sz w:val="18"/>
        </w:rPr>
        <w:t> </w:t>
      </w:r>
      <w:r>
        <w:rPr>
          <w:i/>
          <w:color w:val="231F20"/>
          <w:sz w:val="18"/>
        </w:rPr>
        <w:t>4200,</w:t>
      </w:r>
      <w:r>
        <w:rPr>
          <w:i/>
          <w:color w:val="231F20"/>
          <w:spacing w:val="-1"/>
          <w:sz w:val="18"/>
        </w:rPr>
        <w:t> </w:t>
      </w:r>
      <w:r>
        <w:rPr>
          <w:i/>
          <w:color w:val="231F20"/>
          <w:spacing w:val="-2"/>
          <w:sz w:val="18"/>
        </w:rPr>
        <w:t>Portugal</w:t>
      </w:r>
    </w:p>
    <w:p>
      <w:pPr>
        <w:spacing w:line="203" w:lineRule="exact" w:before="0"/>
        <w:ind w:left="0" w:right="41" w:firstLine="0"/>
        <w:jc w:val="right"/>
        <w:rPr>
          <w:i/>
          <w:sz w:val="18"/>
        </w:rPr>
      </w:pPr>
      <w:r>
        <w:rPr>
          <w:i/>
          <w:color w:val="231F20"/>
          <w:sz w:val="18"/>
        </w:rPr>
        <w:t>*E-mail:</w:t>
      </w:r>
      <w:r>
        <w:rPr>
          <w:i/>
          <w:color w:val="231F20"/>
          <w:spacing w:val="8"/>
          <w:sz w:val="18"/>
        </w:rPr>
        <w:t> </w:t>
      </w:r>
      <w:hyperlink r:id="rId7">
        <w:r>
          <w:rPr>
            <w:i/>
            <w:color w:val="231F20"/>
            <w:spacing w:val="-2"/>
            <w:sz w:val="18"/>
          </w:rPr>
          <w:t>jguimraes9@hotmail.com</w:t>
        </w:r>
      </w:hyperlink>
    </w:p>
    <w:p>
      <w:pPr>
        <w:spacing w:line="230" w:lineRule="auto" w:before="198"/>
        <w:ind w:left="1543" w:right="39" w:firstLine="775"/>
        <w:jc w:val="right"/>
        <w:rPr>
          <w:i/>
          <w:sz w:val="18"/>
        </w:rPr>
      </w:pPr>
      <w:r>
        <w:rPr>
          <w:color w:val="231F20"/>
          <w:sz w:val="18"/>
        </w:rPr>
        <w:t>Augusta Vieira-Coelho,</w:t>
      </w:r>
      <w:r>
        <w:rPr>
          <w:color w:val="231F20"/>
          <w:spacing w:val="-1"/>
          <w:sz w:val="18"/>
        </w:rPr>
        <w:t> </w:t>
      </w:r>
      <w:r>
        <w:rPr>
          <w:color w:val="231F20"/>
          <w:sz w:val="18"/>
        </w:rPr>
        <w:t>MD, </w:t>
      </w:r>
      <w:r>
        <w:rPr>
          <w:color w:val="231F20"/>
          <w:sz w:val="18"/>
        </w:rPr>
        <w:t>PhD </w:t>
      </w:r>
      <w:r>
        <w:rPr>
          <w:i/>
          <w:color w:val="231F20"/>
          <w:sz w:val="18"/>
        </w:rPr>
        <w:t>Institute of Pharmacology and Therapeutics Faculty of Medicine, University of Porto </w:t>
      </w:r>
      <w:r>
        <w:rPr>
          <w:i/>
          <w:color w:val="231F20"/>
          <w:spacing w:val="-2"/>
          <w:sz w:val="18"/>
        </w:rPr>
        <w:t>Hospital</w:t>
      </w:r>
      <w:r>
        <w:rPr>
          <w:i/>
          <w:color w:val="231F20"/>
          <w:spacing w:val="-6"/>
          <w:sz w:val="18"/>
        </w:rPr>
        <w:t> </w:t>
      </w:r>
      <w:r>
        <w:rPr>
          <w:i/>
          <w:color w:val="231F20"/>
          <w:spacing w:val="-2"/>
          <w:sz w:val="18"/>
        </w:rPr>
        <w:t>de</w:t>
      </w:r>
      <w:r>
        <w:rPr>
          <w:i/>
          <w:color w:val="231F20"/>
          <w:spacing w:val="-5"/>
          <w:sz w:val="18"/>
        </w:rPr>
        <w:t> </w:t>
      </w:r>
      <w:r>
        <w:rPr>
          <w:i/>
          <w:color w:val="231F20"/>
          <w:spacing w:val="-2"/>
          <w:sz w:val="18"/>
        </w:rPr>
        <w:t>Sa˜o</w:t>
      </w:r>
      <w:r>
        <w:rPr>
          <w:i/>
          <w:color w:val="231F20"/>
          <w:spacing w:val="-5"/>
          <w:sz w:val="18"/>
        </w:rPr>
        <w:t> </w:t>
      </w:r>
      <w:r>
        <w:rPr>
          <w:i/>
          <w:color w:val="231F20"/>
          <w:spacing w:val="-2"/>
          <w:sz w:val="18"/>
        </w:rPr>
        <w:t>Joa˜o,</w:t>
      </w:r>
      <w:r>
        <w:rPr>
          <w:i/>
          <w:color w:val="231F20"/>
          <w:spacing w:val="-6"/>
          <w:sz w:val="18"/>
        </w:rPr>
        <w:t> </w:t>
      </w:r>
      <w:r>
        <w:rPr>
          <w:i/>
          <w:color w:val="231F20"/>
          <w:spacing w:val="-2"/>
          <w:sz w:val="18"/>
        </w:rPr>
        <w:t>Hospital</w:t>
      </w:r>
      <w:r>
        <w:rPr>
          <w:i/>
          <w:color w:val="231F20"/>
          <w:spacing w:val="-5"/>
          <w:sz w:val="18"/>
        </w:rPr>
        <w:t> </w:t>
      </w:r>
      <w:r>
        <w:rPr>
          <w:i/>
          <w:color w:val="231F20"/>
          <w:spacing w:val="-2"/>
          <w:sz w:val="18"/>
        </w:rPr>
        <w:t>de</w:t>
      </w:r>
      <w:r>
        <w:rPr>
          <w:i/>
          <w:color w:val="231F20"/>
          <w:spacing w:val="-6"/>
          <w:sz w:val="18"/>
        </w:rPr>
        <w:t> </w:t>
      </w:r>
      <w:r>
        <w:rPr>
          <w:i/>
          <w:color w:val="231F20"/>
          <w:spacing w:val="-2"/>
          <w:sz w:val="18"/>
        </w:rPr>
        <w:t>Sa˜o</w:t>
      </w:r>
      <w:r>
        <w:rPr>
          <w:i/>
          <w:color w:val="231F20"/>
          <w:spacing w:val="-6"/>
          <w:sz w:val="18"/>
        </w:rPr>
        <w:t> </w:t>
      </w:r>
      <w:r>
        <w:rPr>
          <w:i/>
          <w:color w:val="231F20"/>
          <w:spacing w:val="-10"/>
          <w:sz w:val="18"/>
        </w:rPr>
        <w:t>Joa˜o</w:t>
      </w:r>
    </w:p>
    <w:p>
      <w:pPr>
        <w:spacing w:line="203" w:lineRule="exact" w:before="0"/>
        <w:ind w:left="0" w:right="39" w:firstLine="0"/>
        <w:jc w:val="right"/>
        <w:rPr>
          <w:i/>
          <w:sz w:val="18"/>
        </w:rPr>
      </w:pPr>
      <w:r>
        <w:rPr>
          <w:i/>
          <w:color w:val="231F20"/>
          <w:sz w:val="18"/>
        </w:rPr>
        <w:t>Alameda</w:t>
      </w:r>
      <w:r>
        <w:rPr>
          <w:i/>
          <w:color w:val="231F20"/>
          <w:spacing w:val="-1"/>
          <w:sz w:val="18"/>
        </w:rPr>
        <w:t> </w:t>
      </w:r>
      <w:r>
        <w:rPr>
          <w:i/>
          <w:color w:val="231F20"/>
          <w:sz w:val="18"/>
        </w:rPr>
        <w:t>Professor</w:t>
      </w:r>
      <w:r>
        <w:rPr>
          <w:i/>
          <w:color w:val="231F20"/>
          <w:spacing w:val="-1"/>
          <w:sz w:val="18"/>
        </w:rPr>
        <w:t> </w:t>
      </w:r>
      <w:r>
        <w:rPr>
          <w:i/>
          <w:color w:val="231F20"/>
          <w:sz w:val="18"/>
        </w:rPr>
        <w:t>Herna</w:t>
      </w:r>
      <w:r>
        <w:rPr>
          <w:i/>
          <w:color w:val="231F20"/>
          <w:position w:val="1"/>
          <w:sz w:val="18"/>
        </w:rPr>
        <w:t>ˆ</w:t>
      </w:r>
      <w:r>
        <w:rPr>
          <w:i/>
          <w:color w:val="231F20"/>
          <w:sz w:val="18"/>
        </w:rPr>
        <w:t>ni</w:t>
      </w:r>
      <w:r>
        <w:rPr>
          <w:i/>
          <w:color w:val="231F20"/>
          <w:spacing w:val="-1"/>
          <w:sz w:val="18"/>
        </w:rPr>
        <w:t> </w:t>
      </w:r>
      <w:r>
        <w:rPr>
          <w:i/>
          <w:color w:val="231F20"/>
          <w:sz w:val="18"/>
        </w:rPr>
        <w:t>Monteiro,</w:t>
      </w:r>
      <w:r>
        <w:rPr>
          <w:i/>
          <w:color w:val="231F20"/>
          <w:spacing w:val="-1"/>
          <w:sz w:val="18"/>
        </w:rPr>
        <w:t> </w:t>
      </w:r>
      <w:r>
        <w:rPr>
          <w:i/>
          <w:color w:val="231F20"/>
          <w:sz w:val="18"/>
        </w:rPr>
        <w:t>Porto</w:t>
      </w:r>
      <w:r>
        <w:rPr>
          <w:i/>
          <w:color w:val="231F20"/>
          <w:spacing w:val="-1"/>
          <w:sz w:val="18"/>
        </w:rPr>
        <w:t> </w:t>
      </w:r>
      <w:r>
        <w:rPr>
          <w:i/>
          <w:color w:val="231F20"/>
          <w:sz w:val="18"/>
        </w:rPr>
        <w:t>4200,</w:t>
      </w:r>
      <w:r>
        <w:rPr>
          <w:i/>
          <w:color w:val="231F20"/>
          <w:spacing w:val="-1"/>
          <w:sz w:val="18"/>
        </w:rPr>
        <w:t> </w:t>
      </w:r>
      <w:r>
        <w:rPr>
          <w:i/>
          <w:color w:val="231F20"/>
          <w:spacing w:val="-2"/>
          <w:sz w:val="18"/>
        </w:rPr>
        <w:t>Portugal</w:t>
      </w:r>
    </w:p>
    <w:p>
      <w:pPr>
        <w:spacing w:line="225" w:lineRule="auto" w:before="192"/>
        <w:ind w:left="711" w:right="39" w:firstLine="2431"/>
        <w:jc w:val="right"/>
        <w:rPr>
          <w:i/>
          <w:sz w:val="18"/>
        </w:rPr>
      </w:pPr>
      <w:r>
        <w:rPr>
          <w:color w:val="231F20"/>
          <w:spacing w:val="-2"/>
          <w:sz w:val="18"/>
        </w:rPr>
        <w:t>Maria</w:t>
      </w:r>
      <w:r>
        <w:rPr>
          <w:color w:val="231F20"/>
          <w:spacing w:val="-6"/>
          <w:sz w:val="18"/>
        </w:rPr>
        <w:t> </w:t>
      </w:r>
      <w:r>
        <w:rPr>
          <w:color w:val="231F20"/>
          <w:spacing w:val="-2"/>
          <w:sz w:val="18"/>
        </w:rPr>
        <w:t>Jose</w:t>
      </w:r>
      <w:r>
        <w:rPr>
          <w:color w:val="231F20"/>
          <w:spacing w:val="-2"/>
          <w:position w:val="1"/>
          <w:sz w:val="18"/>
        </w:rPr>
        <w:t>´</w:t>
      </w:r>
      <w:r>
        <w:rPr>
          <w:color w:val="231F20"/>
          <w:spacing w:val="-1"/>
          <w:position w:val="1"/>
          <w:sz w:val="18"/>
        </w:rPr>
        <w:t> </w:t>
      </w:r>
      <w:r>
        <w:rPr>
          <w:color w:val="231F20"/>
          <w:spacing w:val="-2"/>
          <w:sz w:val="18"/>
        </w:rPr>
        <w:t>Rosas,</w:t>
      </w:r>
      <w:r>
        <w:rPr>
          <w:color w:val="231F20"/>
          <w:spacing w:val="-6"/>
          <w:sz w:val="18"/>
        </w:rPr>
        <w:t> </w:t>
      </w:r>
      <w:r>
        <w:rPr>
          <w:color w:val="231F20"/>
          <w:spacing w:val="-2"/>
          <w:sz w:val="18"/>
        </w:rPr>
        <w:t>MD </w:t>
      </w:r>
      <w:r>
        <w:rPr>
          <w:i/>
          <w:color w:val="231F20"/>
          <w:spacing w:val="-2"/>
          <w:sz w:val="18"/>
        </w:rPr>
        <w:t>Neurology Department, Hospital de Sa˜o Joa˜o, Alameda </w:t>
      </w:r>
      <w:r>
        <w:rPr>
          <w:i/>
          <w:color w:val="231F20"/>
          <w:sz w:val="18"/>
        </w:rPr>
        <w:t>Professor Herna</w:t>
      </w:r>
      <w:r>
        <w:rPr>
          <w:i/>
          <w:color w:val="231F20"/>
          <w:position w:val="1"/>
          <w:sz w:val="18"/>
        </w:rPr>
        <w:t>ˆ</w:t>
      </w:r>
      <w:r>
        <w:rPr>
          <w:i/>
          <w:color w:val="231F20"/>
          <w:sz w:val="18"/>
        </w:rPr>
        <w:t>ni Monteiro, Porto 4200, Portugal</w:t>
      </w:r>
    </w:p>
    <w:p>
      <w:pPr>
        <w:spacing w:line="230" w:lineRule="auto" w:before="200"/>
        <w:ind w:left="1543" w:right="39" w:firstLine="1315"/>
        <w:jc w:val="right"/>
        <w:rPr>
          <w:i/>
          <w:sz w:val="18"/>
        </w:rPr>
      </w:pPr>
      <w:r>
        <w:rPr>
          <w:color w:val="231F20"/>
          <w:sz w:val="18"/>
        </w:rPr>
        <w:t>Eduardo Moura,</w:t>
      </w:r>
      <w:r>
        <w:rPr>
          <w:color w:val="231F20"/>
          <w:spacing w:val="-2"/>
          <w:sz w:val="18"/>
        </w:rPr>
        <w:t> </w:t>
      </w:r>
      <w:r>
        <w:rPr>
          <w:color w:val="231F20"/>
          <w:sz w:val="18"/>
        </w:rPr>
        <w:t>MD, </w:t>
      </w:r>
      <w:r>
        <w:rPr>
          <w:color w:val="231F20"/>
          <w:sz w:val="18"/>
        </w:rPr>
        <w:t>PhD </w:t>
      </w:r>
      <w:r>
        <w:rPr>
          <w:i/>
          <w:color w:val="231F20"/>
          <w:sz w:val="18"/>
        </w:rPr>
        <w:t>Institute of Pharmacology and Therapeutics Faculty of Medicine, University of Porto </w:t>
      </w:r>
      <w:r>
        <w:rPr>
          <w:i/>
          <w:color w:val="231F20"/>
          <w:spacing w:val="-2"/>
          <w:sz w:val="18"/>
        </w:rPr>
        <w:t>Hospital</w:t>
      </w:r>
      <w:r>
        <w:rPr>
          <w:i/>
          <w:color w:val="231F20"/>
          <w:spacing w:val="-6"/>
          <w:sz w:val="18"/>
        </w:rPr>
        <w:t> </w:t>
      </w:r>
      <w:r>
        <w:rPr>
          <w:i/>
          <w:color w:val="231F20"/>
          <w:spacing w:val="-2"/>
          <w:sz w:val="18"/>
        </w:rPr>
        <w:t>de</w:t>
      </w:r>
      <w:r>
        <w:rPr>
          <w:i/>
          <w:color w:val="231F20"/>
          <w:spacing w:val="-5"/>
          <w:sz w:val="18"/>
        </w:rPr>
        <w:t> </w:t>
      </w:r>
      <w:r>
        <w:rPr>
          <w:i/>
          <w:color w:val="231F20"/>
          <w:spacing w:val="-2"/>
          <w:sz w:val="18"/>
        </w:rPr>
        <w:t>Sa˜o</w:t>
      </w:r>
      <w:r>
        <w:rPr>
          <w:i/>
          <w:color w:val="231F20"/>
          <w:spacing w:val="-5"/>
          <w:sz w:val="18"/>
        </w:rPr>
        <w:t> </w:t>
      </w:r>
      <w:r>
        <w:rPr>
          <w:i/>
          <w:color w:val="231F20"/>
          <w:spacing w:val="-2"/>
          <w:sz w:val="18"/>
        </w:rPr>
        <w:t>Joa˜o,</w:t>
      </w:r>
      <w:r>
        <w:rPr>
          <w:i/>
          <w:color w:val="231F20"/>
          <w:spacing w:val="-6"/>
          <w:sz w:val="18"/>
        </w:rPr>
        <w:t> </w:t>
      </w:r>
      <w:r>
        <w:rPr>
          <w:i/>
          <w:color w:val="231F20"/>
          <w:spacing w:val="-2"/>
          <w:sz w:val="18"/>
        </w:rPr>
        <w:t>Hospital</w:t>
      </w:r>
      <w:r>
        <w:rPr>
          <w:i/>
          <w:color w:val="231F20"/>
          <w:spacing w:val="-5"/>
          <w:sz w:val="18"/>
        </w:rPr>
        <w:t> </w:t>
      </w:r>
      <w:r>
        <w:rPr>
          <w:i/>
          <w:color w:val="231F20"/>
          <w:spacing w:val="-2"/>
          <w:sz w:val="18"/>
        </w:rPr>
        <w:t>de</w:t>
      </w:r>
      <w:r>
        <w:rPr>
          <w:i/>
          <w:color w:val="231F20"/>
          <w:spacing w:val="-6"/>
          <w:sz w:val="18"/>
        </w:rPr>
        <w:t> </w:t>
      </w:r>
      <w:r>
        <w:rPr>
          <w:i/>
          <w:color w:val="231F20"/>
          <w:spacing w:val="-2"/>
          <w:sz w:val="18"/>
        </w:rPr>
        <w:t>Sa˜o</w:t>
      </w:r>
      <w:r>
        <w:rPr>
          <w:i/>
          <w:color w:val="231F20"/>
          <w:spacing w:val="-6"/>
          <w:sz w:val="18"/>
        </w:rPr>
        <w:t> </w:t>
      </w:r>
      <w:r>
        <w:rPr>
          <w:i/>
          <w:color w:val="231F20"/>
          <w:spacing w:val="-10"/>
          <w:sz w:val="18"/>
        </w:rPr>
        <w:t>Joa˜o</w:t>
      </w:r>
    </w:p>
    <w:p>
      <w:pPr>
        <w:spacing w:line="203" w:lineRule="exact" w:before="0"/>
        <w:ind w:left="0" w:right="39" w:firstLine="0"/>
        <w:jc w:val="right"/>
        <w:rPr>
          <w:i/>
          <w:sz w:val="18"/>
        </w:rPr>
      </w:pPr>
      <w:r>
        <w:rPr>
          <w:i/>
          <w:color w:val="231F20"/>
          <w:sz w:val="18"/>
        </w:rPr>
        <w:t>Alameda</w:t>
      </w:r>
      <w:r>
        <w:rPr>
          <w:i/>
          <w:color w:val="231F20"/>
          <w:spacing w:val="-1"/>
          <w:sz w:val="18"/>
        </w:rPr>
        <w:t> </w:t>
      </w:r>
      <w:r>
        <w:rPr>
          <w:i/>
          <w:color w:val="231F20"/>
          <w:sz w:val="18"/>
        </w:rPr>
        <w:t>Professor</w:t>
      </w:r>
      <w:r>
        <w:rPr>
          <w:i/>
          <w:color w:val="231F20"/>
          <w:spacing w:val="-1"/>
          <w:sz w:val="18"/>
        </w:rPr>
        <w:t> </w:t>
      </w:r>
      <w:r>
        <w:rPr>
          <w:i/>
          <w:color w:val="231F20"/>
          <w:sz w:val="18"/>
        </w:rPr>
        <w:t>Herna</w:t>
      </w:r>
      <w:r>
        <w:rPr>
          <w:i/>
          <w:color w:val="231F20"/>
          <w:position w:val="1"/>
          <w:sz w:val="18"/>
        </w:rPr>
        <w:t>ˆ</w:t>
      </w:r>
      <w:r>
        <w:rPr>
          <w:i/>
          <w:color w:val="231F20"/>
          <w:sz w:val="18"/>
        </w:rPr>
        <w:t>ni</w:t>
      </w:r>
      <w:r>
        <w:rPr>
          <w:i/>
          <w:color w:val="231F20"/>
          <w:spacing w:val="-1"/>
          <w:sz w:val="18"/>
        </w:rPr>
        <w:t> </w:t>
      </w:r>
      <w:r>
        <w:rPr>
          <w:i/>
          <w:color w:val="231F20"/>
          <w:sz w:val="18"/>
        </w:rPr>
        <w:t>Monteiro,</w:t>
      </w:r>
      <w:r>
        <w:rPr>
          <w:i/>
          <w:color w:val="231F20"/>
          <w:spacing w:val="-1"/>
          <w:sz w:val="18"/>
        </w:rPr>
        <w:t> </w:t>
      </w:r>
      <w:r>
        <w:rPr>
          <w:i/>
          <w:color w:val="231F20"/>
          <w:sz w:val="18"/>
        </w:rPr>
        <w:t>Porto</w:t>
      </w:r>
      <w:r>
        <w:rPr>
          <w:i/>
          <w:color w:val="231F20"/>
          <w:spacing w:val="-1"/>
          <w:sz w:val="18"/>
        </w:rPr>
        <w:t> </w:t>
      </w:r>
      <w:r>
        <w:rPr>
          <w:i/>
          <w:color w:val="231F20"/>
          <w:sz w:val="18"/>
        </w:rPr>
        <w:t>4200,</w:t>
      </w:r>
      <w:r>
        <w:rPr>
          <w:i/>
          <w:color w:val="231F20"/>
          <w:spacing w:val="-1"/>
          <w:sz w:val="18"/>
        </w:rPr>
        <w:t> </w:t>
      </w:r>
      <w:r>
        <w:rPr>
          <w:i/>
          <w:color w:val="231F20"/>
          <w:spacing w:val="-2"/>
          <w:sz w:val="18"/>
        </w:rPr>
        <w:t>Portugal</w:t>
      </w:r>
    </w:p>
    <w:p>
      <w:pPr>
        <w:pStyle w:val="BodyText"/>
        <w:spacing w:line="230" w:lineRule="auto" w:before="198"/>
        <w:ind w:left="2815" w:right="40" w:firstLine="580"/>
        <w:jc w:val="right"/>
      </w:pPr>
      <w:r>
        <w:rPr>
          <w:color w:val="231F20"/>
        </w:rPr>
        <w:t>Rui Vaz, MD, </w:t>
      </w:r>
      <w:r>
        <w:rPr>
          <w:color w:val="231F20"/>
        </w:rPr>
        <w:t>PhD Carolina</w:t>
      </w:r>
      <w:r>
        <w:rPr>
          <w:color w:val="231F20"/>
          <w:spacing w:val="9"/>
        </w:rPr>
        <w:t> </w:t>
      </w:r>
      <w:r>
        <w:rPr>
          <w:color w:val="231F20"/>
        </w:rPr>
        <w:t>Garrett,</w:t>
      </w:r>
      <w:r>
        <w:rPr>
          <w:color w:val="231F20"/>
          <w:spacing w:val="9"/>
        </w:rPr>
        <w:t> </w:t>
      </w:r>
      <w:r>
        <w:rPr>
          <w:color w:val="231F20"/>
        </w:rPr>
        <w:t>MD,</w:t>
      </w:r>
      <w:r>
        <w:rPr>
          <w:color w:val="231F20"/>
          <w:spacing w:val="10"/>
        </w:rPr>
        <w:t> </w:t>
      </w:r>
      <w:r>
        <w:rPr>
          <w:color w:val="231F20"/>
          <w:spacing w:val="-5"/>
        </w:rPr>
        <w:t>PhD</w:t>
      </w:r>
    </w:p>
    <w:p>
      <w:pPr>
        <w:spacing w:line="230" w:lineRule="auto" w:before="0"/>
        <w:ind w:left="1711" w:right="40" w:hanging="391"/>
        <w:jc w:val="right"/>
        <w:rPr>
          <w:i/>
          <w:sz w:val="18"/>
        </w:rPr>
      </w:pPr>
      <w:r>
        <w:rPr>
          <w:i/>
          <w:color w:val="231F20"/>
          <w:sz w:val="18"/>
        </w:rPr>
        <w:t>Neurosurgery Department, Faculty of </w:t>
      </w:r>
      <w:r>
        <w:rPr>
          <w:i/>
          <w:color w:val="231F20"/>
          <w:sz w:val="18"/>
        </w:rPr>
        <w:t>Medicine University</w:t>
      </w:r>
      <w:r>
        <w:rPr>
          <w:i/>
          <w:color w:val="231F20"/>
          <w:spacing w:val="1"/>
          <w:sz w:val="18"/>
        </w:rPr>
        <w:t> </w:t>
      </w:r>
      <w:r>
        <w:rPr>
          <w:i/>
          <w:color w:val="231F20"/>
          <w:sz w:val="18"/>
        </w:rPr>
        <w:t>of Porto,</w:t>
      </w:r>
      <w:r>
        <w:rPr>
          <w:i/>
          <w:color w:val="231F20"/>
          <w:spacing w:val="1"/>
          <w:sz w:val="18"/>
        </w:rPr>
        <w:t> </w:t>
      </w:r>
      <w:r>
        <w:rPr>
          <w:i/>
          <w:color w:val="231F20"/>
          <w:sz w:val="18"/>
        </w:rPr>
        <w:t>Hospital</w:t>
      </w:r>
      <w:r>
        <w:rPr>
          <w:i/>
          <w:color w:val="231F20"/>
          <w:spacing w:val="1"/>
          <w:sz w:val="18"/>
        </w:rPr>
        <w:t> </w:t>
      </w:r>
      <w:r>
        <w:rPr>
          <w:i/>
          <w:color w:val="231F20"/>
          <w:sz w:val="18"/>
        </w:rPr>
        <w:t>de Sa˜o</w:t>
      </w:r>
      <w:r>
        <w:rPr>
          <w:i/>
          <w:color w:val="231F20"/>
          <w:spacing w:val="-1"/>
          <w:sz w:val="18"/>
        </w:rPr>
        <w:t> </w:t>
      </w:r>
      <w:r>
        <w:rPr>
          <w:i/>
          <w:color w:val="231F20"/>
          <w:spacing w:val="-11"/>
          <w:sz w:val="18"/>
        </w:rPr>
        <w:t>Joa˜o</w:t>
      </w:r>
    </w:p>
    <w:p>
      <w:pPr>
        <w:spacing w:line="220" w:lineRule="auto" w:before="9"/>
        <w:ind w:left="363" w:right="39" w:firstLine="2870"/>
        <w:jc w:val="right"/>
        <w:rPr>
          <w:i/>
          <w:sz w:val="18"/>
        </w:rPr>
      </w:pPr>
      <w:r>
        <w:rPr>
          <w:i/>
          <w:color w:val="231F20"/>
          <w:spacing w:val="-4"/>
          <w:sz w:val="18"/>
        </w:rPr>
        <w:t>Hospital</w:t>
      </w:r>
      <w:r>
        <w:rPr>
          <w:i/>
          <w:color w:val="231F20"/>
          <w:spacing w:val="-6"/>
          <w:sz w:val="18"/>
        </w:rPr>
        <w:t> </w:t>
      </w:r>
      <w:r>
        <w:rPr>
          <w:i/>
          <w:color w:val="231F20"/>
          <w:spacing w:val="-4"/>
          <w:sz w:val="18"/>
        </w:rPr>
        <w:t>de</w:t>
      </w:r>
      <w:r>
        <w:rPr>
          <w:i/>
          <w:color w:val="231F20"/>
          <w:spacing w:val="-7"/>
          <w:sz w:val="18"/>
        </w:rPr>
        <w:t> </w:t>
      </w:r>
      <w:r>
        <w:rPr>
          <w:i/>
          <w:color w:val="231F20"/>
          <w:spacing w:val="-4"/>
          <w:sz w:val="18"/>
        </w:rPr>
        <w:t>Sa˜o</w:t>
      </w:r>
      <w:r>
        <w:rPr>
          <w:i/>
          <w:color w:val="231F20"/>
          <w:spacing w:val="-7"/>
          <w:sz w:val="18"/>
        </w:rPr>
        <w:t> </w:t>
      </w:r>
      <w:r>
        <w:rPr>
          <w:i/>
          <w:color w:val="231F20"/>
          <w:spacing w:val="-4"/>
          <w:sz w:val="18"/>
        </w:rPr>
        <w:t>Joa˜o </w:t>
      </w:r>
      <w:r>
        <w:rPr>
          <w:i/>
          <w:color w:val="231F20"/>
          <w:sz w:val="18"/>
        </w:rPr>
        <w:t>Alameda</w:t>
      </w:r>
      <w:r>
        <w:rPr>
          <w:i/>
          <w:color w:val="231F20"/>
          <w:spacing w:val="-1"/>
          <w:sz w:val="18"/>
        </w:rPr>
        <w:t> </w:t>
      </w:r>
      <w:r>
        <w:rPr>
          <w:i/>
          <w:color w:val="231F20"/>
          <w:sz w:val="18"/>
        </w:rPr>
        <w:t>Professor</w:t>
      </w:r>
      <w:r>
        <w:rPr>
          <w:i/>
          <w:color w:val="231F20"/>
          <w:spacing w:val="-1"/>
          <w:sz w:val="18"/>
        </w:rPr>
        <w:t> </w:t>
      </w:r>
      <w:r>
        <w:rPr>
          <w:i/>
          <w:color w:val="231F20"/>
          <w:sz w:val="18"/>
        </w:rPr>
        <w:t>Herna</w:t>
      </w:r>
      <w:r>
        <w:rPr>
          <w:i/>
          <w:color w:val="231F20"/>
          <w:position w:val="1"/>
          <w:sz w:val="18"/>
        </w:rPr>
        <w:t>ˆ</w:t>
      </w:r>
      <w:r>
        <w:rPr>
          <w:i/>
          <w:color w:val="231F20"/>
          <w:sz w:val="18"/>
        </w:rPr>
        <w:t>ni</w:t>
      </w:r>
      <w:r>
        <w:rPr>
          <w:i/>
          <w:color w:val="231F20"/>
          <w:spacing w:val="-1"/>
          <w:sz w:val="18"/>
        </w:rPr>
        <w:t> </w:t>
      </w:r>
      <w:r>
        <w:rPr>
          <w:i/>
          <w:color w:val="231F20"/>
          <w:sz w:val="18"/>
        </w:rPr>
        <w:t>Monteiro,</w:t>
      </w:r>
      <w:r>
        <w:rPr>
          <w:i/>
          <w:color w:val="231F20"/>
          <w:spacing w:val="-1"/>
          <w:sz w:val="18"/>
        </w:rPr>
        <w:t> </w:t>
      </w:r>
      <w:r>
        <w:rPr>
          <w:i/>
          <w:color w:val="231F20"/>
          <w:sz w:val="18"/>
        </w:rPr>
        <w:t>Porto</w:t>
      </w:r>
      <w:r>
        <w:rPr>
          <w:i/>
          <w:color w:val="231F20"/>
          <w:spacing w:val="-1"/>
          <w:sz w:val="18"/>
        </w:rPr>
        <w:t> </w:t>
      </w:r>
      <w:r>
        <w:rPr>
          <w:i/>
          <w:color w:val="231F20"/>
          <w:sz w:val="18"/>
        </w:rPr>
        <w:t>4200,</w:t>
      </w:r>
      <w:r>
        <w:rPr>
          <w:i/>
          <w:color w:val="231F20"/>
          <w:spacing w:val="-1"/>
          <w:sz w:val="18"/>
        </w:rPr>
        <w:t> </w:t>
      </w:r>
      <w:r>
        <w:rPr>
          <w:i/>
          <w:color w:val="231F20"/>
          <w:spacing w:val="-2"/>
          <w:sz w:val="18"/>
        </w:rPr>
        <w:t>Portugal</w:t>
      </w:r>
    </w:p>
    <w:p>
      <w:pPr>
        <w:pStyle w:val="BodyText"/>
        <w:spacing w:before="31"/>
        <w:rPr>
          <w:i/>
        </w:rPr>
      </w:pPr>
    </w:p>
    <w:p>
      <w:pPr>
        <w:pStyle w:val="Heading2"/>
      </w:pPr>
      <w:r>
        <w:rPr>
          <w:color w:val="231F20"/>
          <w:spacing w:val="-2"/>
          <w:w w:val="105"/>
        </w:rPr>
        <w:t>References</w:t>
      </w:r>
    </w:p>
    <w:p>
      <w:pPr>
        <w:pStyle w:val="ListParagraph"/>
        <w:numPr>
          <w:ilvl w:val="0"/>
          <w:numId w:val="3"/>
        </w:numPr>
        <w:tabs>
          <w:tab w:pos="502" w:val="left" w:leader="none"/>
          <w:tab w:pos="504" w:val="left" w:leader="none"/>
        </w:tabs>
        <w:spacing w:line="232" w:lineRule="auto" w:before="183" w:after="0"/>
        <w:ind w:left="504" w:right="38" w:hanging="248"/>
        <w:jc w:val="both"/>
        <w:rPr>
          <w:sz w:val="16"/>
        </w:rPr>
      </w:pPr>
      <w:r>
        <w:rPr>
          <w:color w:val="231F20"/>
          <w:sz w:val="16"/>
        </w:rPr>
        <w:t>Krack P, Batir A, Van Blercom N, et al. Five-year follow-up of</w:t>
      </w:r>
      <w:r>
        <w:rPr>
          <w:color w:val="231F20"/>
          <w:spacing w:val="40"/>
          <w:sz w:val="16"/>
        </w:rPr>
        <w:t> </w:t>
      </w:r>
      <w:r>
        <w:rPr>
          <w:color w:val="231F20"/>
          <w:sz w:val="16"/>
        </w:rPr>
        <w:t>bilateral stimulation of the subthalamic nucleus in advanced </w:t>
      </w:r>
      <w:r>
        <w:rPr>
          <w:color w:val="231F20"/>
          <w:sz w:val="16"/>
        </w:rPr>
        <w:t>Par-</w:t>
      </w:r>
      <w:r>
        <w:rPr>
          <w:color w:val="231F20"/>
          <w:spacing w:val="40"/>
          <w:sz w:val="16"/>
        </w:rPr>
        <w:t> </w:t>
      </w:r>
      <w:r>
        <w:rPr>
          <w:color w:val="231F20"/>
          <w:sz w:val="16"/>
        </w:rPr>
        <w:t>kinson’s disease. N Engl J Med 2003;349:1925–1934.</w:t>
      </w:r>
    </w:p>
    <w:p>
      <w:pPr>
        <w:pStyle w:val="ListParagraph"/>
        <w:numPr>
          <w:ilvl w:val="0"/>
          <w:numId w:val="3"/>
        </w:numPr>
        <w:tabs>
          <w:tab w:pos="502" w:val="left" w:leader="none"/>
          <w:tab w:pos="504" w:val="left" w:leader="none"/>
        </w:tabs>
        <w:spacing w:line="235" w:lineRule="auto" w:before="1" w:after="0"/>
        <w:ind w:left="504" w:right="38" w:hanging="248"/>
        <w:jc w:val="both"/>
        <w:rPr>
          <w:sz w:val="16"/>
        </w:rPr>
      </w:pPr>
      <w:r>
        <w:rPr>
          <w:color w:val="231F20"/>
          <w:sz w:val="16"/>
        </w:rPr>
        <w:t>Lemack GE, Dewey RB Jr, Roehrborn CG, O’Suilleabhain </w:t>
      </w:r>
      <w:r>
        <w:rPr>
          <w:color w:val="231F20"/>
          <w:sz w:val="16"/>
        </w:rPr>
        <w:t>PE,</w:t>
      </w:r>
      <w:r>
        <w:rPr>
          <w:color w:val="231F20"/>
          <w:spacing w:val="40"/>
          <w:sz w:val="16"/>
        </w:rPr>
        <w:t> </w:t>
      </w:r>
      <w:r>
        <w:rPr>
          <w:color w:val="231F20"/>
          <w:sz w:val="16"/>
        </w:rPr>
        <w:t>Zimmern PE. Questionnaire-based assessment of bladder dysfunc-</w:t>
      </w:r>
      <w:r>
        <w:rPr>
          <w:color w:val="231F20"/>
          <w:spacing w:val="40"/>
          <w:sz w:val="16"/>
        </w:rPr>
        <w:t> </w:t>
      </w:r>
      <w:r>
        <w:rPr>
          <w:color w:val="231F20"/>
          <w:sz w:val="16"/>
        </w:rPr>
        <w:t>tion in patients with mild to moderate Parkinson’s disease. Urol-</w:t>
      </w:r>
      <w:r>
        <w:rPr>
          <w:color w:val="231F20"/>
          <w:spacing w:val="40"/>
          <w:sz w:val="16"/>
        </w:rPr>
        <w:t> </w:t>
      </w:r>
      <w:r>
        <w:rPr>
          <w:color w:val="231F20"/>
          <w:sz w:val="16"/>
        </w:rPr>
        <w:t>ogy 2000;56:250–254.</w:t>
      </w:r>
    </w:p>
    <w:p>
      <w:pPr>
        <w:pStyle w:val="ListParagraph"/>
        <w:numPr>
          <w:ilvl w:val="0"/>
          <w:numId w:val="3"/>
        </w:numPr>
        <w:tabs>
          <w:tab w:pos="502" w:val="left" w:leader="none"/>
          <w:tab w:pos="504" w:val="left" w:leader="none"/>
        </w:tabs>
        <w:spacing w:line="232" w:lineRule="auto" w:before="0" w:after="0"/>
        <w:ind w:left="504" w:right="39" w:hanging="248"/>
        <w:jc w:val="both"/>
        <w:rPr>
          <w:sz w:val="16"/>
        </w:rPr>
      </w:pPr>
      <w:r>
        <w:rPr>
          <w:color w:val="231F20"/>
          <w:sz w:val="16"/>
        </w:rPr>
        <w:t>Winge K, Fowler CJ. Bladder dysfunction in </w:t>
      </w:r>
      <w:r>
        <w:rPr>
          <w:color w:val="231F20"/>
          <w:sz w:val="16"/>
        </w:rPr>
        <w:t>Parkinsonism:</w:t>
      </w:r>
      <w:r>
        <w:rPr>
          <w:color w:val="231F20"/>
          <w:spacing w:val="40"/>
          <w:sz w:val="16"/>
        </w:rPr>
        <w:t> </w:t>
      </w:r>
      <w:r>
        <w:rPr>
          <w:color w:val="231F20"/>
          <w:sz w:val="16"/>
        </w:rPr>
        <w:t>mechanisms, prevalence, symptoms, and management. Mov Dis-</w:t>
      </w:r>
      <w:r>
        <w:rPr>
          <w:color w:val="231F20"/>
          <w:spacing w:val="40"/>
          <w:sz w:val="16"/>
        </w:rPr>
        <w:t> </w:t>
      </w:r>
      <w:r>
        <w:rPr>
          <w:color w:val="231F20"/>
          <w:sz w:val="16"/>
        </w:rPr>
        <w:t>ord 2006;21:737–745.</w:t>
      </w:r>
    </w:p>
    <w:p>
      <w:pPr>
        <w:pStyle w:val="ListParagraph"/>
        <w:numPr>
          <w:ilvl w:val="0"/>
          <w:numId w:val="3"/>
        </w:numPr>
        <w:tabs>
          <w:tab w:pos="502" w:val="left" w:leader="none"/>
          <w:tab w:pos="504" w:val="left" w:leader="none"/>
        </w:tabs>
        <w:spacing w:line="232" w:lineRule="auto" w:before="1" w:after="0"/>
        <w:ind w:left="504" w:right="39" w:hanging="248"/>
        <w:jc w:val="both"/>
        <w:rPr>
          <w:sz w:val="16"/>
        </w:rPr>
      </w:pPr>
      <w:r>
        <w:rPr>
          <w:color w:val="231F20"/>
          <w:sz w:val="16"/>
        </w:rPr>
        <w:t>Herzog</w:t>
      </w:r>
      <w:r>
        <w:rPr>
          <w:color w:val="231F20"/>
          <w:spacing w:val="23"/>
          <w:sz w:val="16"/>
        </w:rPr>
        <w:t> </w:t>
      </w:r>
      <w:r>
        <w:rPr>
          <w:color w:val="231F20"/>
          <w:sz w:val="16"/>
        </w:rPr>
        <w:t>J,</w:t>
      </w:r>
      <w:r>
        <w:rPr>
          <w:color w:val="231F20"/>
          <w:spacing w:val="22"/>
          <w:sz w:val="16"/>
        </w:rPr>
        <w:t> </w:t>
      </w:r>
      <w:r>
        <w:rPr>
          <w:color w:val="231F20"/>
          <w:sz w:val="16"/>
        </w:rPr>
        <w:t>Weiss</w:t>
      </w:r>
      <w:r>
        <w:rPr>
          <w:color w:val="231F20"/>
          <w:spacing w:val="23"/>
          <w:sz w:val="16"/>
        </w:rPr>
        <w:t> </w:t>
      </w:r>
      <w:r>
        <w:rPr>
          <w:color w:val="231F20"/>
          <w:sz w:val="16"/>
        </w:rPr>
        <w:t>PH,</w:t>
      </w:r>
      <w:r>
        <w:rPr>
          <w:color w:val="231F20"/>
          <w:spacing w:val="22"/>
          <w:sz w:val="16"/>
        </w:rPr>
        <w:t> </w:t>
      </w:r>
      <w:r>
        <w:rPr>
          <w:color w:val="231F20"/>
          <w:sz w:val="16"/>
        </w:rPr>
        <w:t>Assmus</w:t>
      </w:r>
      <w:r>
        <w:rPr>
          <w:color w:val="231F20"/>
          <w:spacing w:val="22"/>
          <w:sz w:val="16"/>
        </w:rPr>
        <w:t> </w:t>
      </w:r>
      <w:r>
        <w:rPr>
          <w:color w:val="231F20"/>
          <w:sz w:val="16"/>
        </w:rPr>
        <w:t>A,</w:t>
      </w:r>
      <w:r>
        <w:rPr>
          <w:color w:val="231F20"/>
          <w:spacing w:val="22"/>
          <w:sz w:val="16"/>
        </w:rPr>
        <w:t> </w:t>
      </w:r>
      <w:r>
        <w:rPr>
          <w:color w:val="231F20"/>
          <w:sz w:val="16"/>
        </w:rPr>
        <w:t>et</w:t>
      </w:r>
      <w:r>
        <w:rPr>
          <w:color w:val="231F20"/>
          <w:spacing w:val="23"/>
          <w:sz w:val="16"/>
        </w:rPr>
        <w:t> </w:t>
      </w:r>
      <w:r>
        <w:rPr>
          <w:color w:val="231F20"/>
          <w:sz w:val="16"/>
        </w:rPr>
        <w:t>al.</w:t>
      </w:r>
      <w:r>
        <w:rPr>
          <w:color w:val="231F20"/>
          <w:spacing w:val="23"/>
          <w:sz w:val="16"/>
        </w:rPr>
        <w:t> </w:t>
      </w:r>
      <w:r>
        <w:rPr>
          <w:color w:val="231F20"/>
          <w:sz w:val="16"/>
        </w:rPr>
        <w:t>Improved</w:t>
      </w:r>
      <w:r>
        <w:rPr>
          <w:color w:val="231F20"/>
          <w:spacing w:val="21"/>
          <w:sz w:val="16"/>
        </w:rPr>
        <w:t> </w:t>
      </w:r>
      <w:r>
        <w:rPr>
          <w:color w:val="231F20"/>
          <w:sz w:val="16"/>
        </w:rPr>
        <w:t>sensory</w:t>
      </w:r>
      <w:r>
        <w:rPr>
          <w:color w:val="231F20"/>
          <w:spacing w:val="22"/>
          <w:sz w:val="16"/>
        </w:rPr>
        <w:t> </w:t>
      </w:r>
      <w:r>
        <w:rPr>
          <w:color w:val="231F20"/>
          <w:sz w:val="16"/>
        </w:rPr>
        <w:t>gating</w:t>
      </w:r>
      <w:r>
        <w:rPr>
          <w:color w:val="231F20"/>
          <w:spacing w:val="40"/>
          <w:sz w:val="16"/>
        </w:rPr>
        <w:t> </w:t>
      </w:r>
      <w:r>
        <w:rPr>
          <w:color w:val="231F20"/>
          <w:sz w:val="16"/>
        </w:rPr>
        <w:t>of urinary bladder afferents in Parkinson’s disease following sub-</w:t>
      </w:r>
      <w:r>
        <w:rPr>
          <w:color w:val="231F20"/>
          <w:spacing w:val="40"/>
          <w:sz w:val="16"/>
        </w:rPr>
        <w:t> </w:t>
      </w:r>
      <w:r>
        <w:rPr>
          <w:color w:val="231F20"/>
          <w:sz w:val="16"/>
        </w:rPr>
        <w:t>thalamic stimulation. Brain 2008;131 (Pt 1):132–145.</w:t>
      </w:r>
    </w:p>
    <w:p>
      <w:pPr>
        <w:pStyle w:val="ListParagraph"/>
        <w:numPr>
          <w:ilvl w:val="0"/>
          <w:numId w:val="3"/>
        </w:numPr>
        <w:tabs>
          <w:tab w:pos="502" w:val="left" w:leader="none"/>
          <w:tab w:pos="504" w:val="left" w:leader="none"/>
        </w:tabs>
        <w:spacing w:line="232" w:lineRule="auto" w:before="2" w:after="0"/>
        <w:ind w:left="504" w:right="38" w:hanging="248"/>
        <w:jc w:val="both"/>
        <w:rPr>
          <w:sz w:val="16"/>
        </w:rPr>
      </w:pPr>
      <w:r>
        <w:rPr>
          <w:color w:val="231F20"/>
          <w:sz w:val="16"/>
        </w:rPr>
        <w:t>Krack P, Batir A, Van Blercom N, et al. Five-year follow-up of</w:t>
      </w:r>
      <w:r>
        <w:rPr>
          <w:color w:val="231F20"/>
          <w:spacing w:val="40"/>
          <w:sz w:val="16"/>
        </w:rPr>
        <w:t> </w:t>
      </w:r>
      <w:r>
        <w:rPr>
          <w:color w:val="231F20"/>
          <w:sz w:val="16"/>
        </w:rPr>
        <w:t>bilateral stimulation of the subthalamic nucleus in advanced </w:t>
      </w:r>
      <w:r>
        <w:rPr>
          <w:color w:val="231F20"/>
          <w:sz w:val="16"/>
        </w:rPr>
        <w:t>Par-</w:t>
      </w:r>
      <w:r>
        <w:rPr>
          <w:color w:val="231F20"/>
          <w:spacing w:val="40"/>
          <w:sz w:val="16"/>
        </w:rPr>
        <w:t> </w:t>
      </w:r>
      <w:r>
        <w:rPr>
          <w:color w:val="231F20"/>
          <w:sz w:val="16"/>
        </w:rPr>
        <w:t>kinson’s disease. N Engl J Med 2003;349:1925–1934.</w:t>
      </w:r>
    </w:p>
    <w:p>
      <w:pPr>
        <w:pStyle w:val="ListParagraph"/>
        <w:numPr>
          <w:ilvl w:val="0"/>
          <w:numId w:val="3"/>
        </w:numPr>
        <w:tabs>
          <w:tab w:pos="502" w:val="left" w:leader="none"/>
          <w:tab w:pos="504" w:val="left" w:leader="none"/>
        </w:tabs>
        <w:spacing w:line="232" w:lineRule="auto" w:before="81" w:after="0"/>
        <w:ind w:left="504" w:right="216" w:hanging="248"/>
        <w:jc w:val="both"/>
        <w:rPr>
          <w:sz w:val="16"/>
        </w:rPr>
      </w:pPr>
      <w:r>
        <w:rPr/>
        <w:br w:type="column"/>
      </w:r>
      <w:r>
        <w:rPr>
          <w:color w:val="231F20"/>
          <w:sz w:val="16"/>
        </w:rPr>
        <w:t>Seif C, Herzog J, van der Horst C, et al. Effect of </w:t>
      </w:r>
      <w:r>
        <w:rPr>
          <w:color w:val="231F20"/>
          <w:sz w:val="16"/>
        </w:rPr>
        <w:t>subthalamic</w:t>
      </w:r>
      <w:r>
        <w:rPr>
          <w:color w:val="231F20"/>
          <w:spacing w:val="80"/>
          <w:sz w:val="16"/>
        </w:rPr>
        <w:t> </w:t>
      </w:r>
      <w:r>
        <w:rPr>
          <w:color w:val="231F20"/>
          <w:sz w:val="16"/>
        </w:rPr>
        <w:t>deep</w:t>
      </w:r>
      <w:r>
        <w:rPr>
          <w:color w:val="231F20"/>
          <w:spacing w:val="40"/>
          <w:sz w:val="16"/>
        </w:rPr>
        <w:t> </w:t>
      </w:r>
      <w:r>
        <w:rPr>
          <w:color w:val="231F20"/>
          <w:sz w:val="16"/>
        </w:rPr>
        <w:t>brain</w:t>
      </w:r>
      <w:r>
        <w:rPr>
          <w:color w:val="231F20"/>
          <w:spacing w:val="40"/>
          <w:sz w:val="16"/>
        </w:rPr>
        <w:t> </w:t>
      </w:r>
      <w:r>
        <w:rPr>
          <w:color w:val="231F20"/>
          <w:sz w:val="16"/>
        </w:rPr>
        <w:t>stimulation</w:t>
      </w:r>
      <w:r>
        <w:rPr>
          <w:color w:val="231F20"/>
          <w:spacing w:val="40"/>
          <w:sz w:val="16"/>
        </w:rPr>
        <w:t> </w:t>
      </w:r>
      <w:r>
        <w:rPr>
          <w:color w:val="231F20"/>
          <w:sz w:val="16"/>
        </w:rPr>
        <w:t>on</w:t>
      </w:r>
      <w:r>
        <w:rPr>
          <w:color w:val="231F20"/>
          <w:spacing w:val="40"/>
          <w:sz w:val="16"/>
        </w:rPr>
        <w:t> </w:t>
      </w:r>
      <w:r>
        <w:rPr>
          <w:color w:val="231F20"/>
          <w:sz w:val="16"/>
        </w:rPr>
        <w:t>the</w:t>
      </w:r>
      <w:r>
        <w:rPr>
          <w:color w:val="231F20"/>
          <w:spacing w:val="40"/>
          <w:sz w:val="16"/>
        </w:rPr>
        <w:t> </w:t>
      </w:r>
      <w:r>
        <w:rPr>
          <w:color w:val="231F20"/>
          <w:sz w:val="16"/>
        </w:rPr>
        <w:t>function</w:t>
      </w:r>
      <w:r>
        <w:rPr>
          <w:color w:val="231F20"/>
          <w:spacing w:val="40"/>
          <w:sz w:val="16"/>
        </w:rPr>
        <w:t> </w:t>
      </w:r>
      <w:r>
        <w:rPr>
          <w:color w:val="231F20"/>
          <w:sz w:val="16"/>
        </w:rPr>
        <w:t>of</w:t>
      </w:r>
      <w:r>
        <w:rPr>
          <w:color w:val="231F20"/>
          <w:spacing w:val="40"/>
          <w:sz w:val="16"/>
        </w:rPr>
        <w:t> </w:t>
      </w:r>
      <w:r>
        <w:rPr>
          <w:color w:val="231F20"/>
          <w:sz w:val="16"/>
        </w:rPr>
        <w:t>the</w:t>
      </w:r>
      <w:r>
        <w:rPr>
          <w:color w:val="231F20"/>
          <w:spacing w:val="40"/>
          <w:sz w:val="16"/>
        </w:rPr>
        <w:t> </w:t>
      </w:r>
      <w:r>
        <w:rPr>
          <w:color w:val="231F20"/>
          <w:sz w:val="16"/>
        </w:rPr>
        <w:t>urinary</w:t>
      </w:r>
      <w:r>
        <w:rPr>
          <w:color w:val="231F20"/>
          <w:spacing w:val="40"/>
          <w:sz w:val="16"/>
        </w:rPr>
        <w:t> </w:t>
      </w:r>
      <w:r>
        <w:rPr>
          <w:color w:val="231F20"/>
          <w:sz w:val="16"/>
        </w:rPr>
        <w:t>bladder.</w:t>
      </w:r>
      <w:r>
        <w:rPr>
          <w:color w:val="231F20"/>
          <w:spacing w:val="40"/>
          <w:sz w:val="16"/>
        </w:rPr>
        <w:t> </w:t>
      </w:r>
      <w:r>
        <w:rPr>
          <w:color w:val="231F20"/>
          <w:sz w:val="16"/>
        </w:rPr>
        <w:t>Ann Neurol 2004;55:118–120.</w:t>
      </w:r>
    </w:p>
    <w:p>
      <w:pPr>
        <w:pStyle w:val="ListParagraph"/>
        <w:numPr>
          <w:ilvl w:val="0"/>
          <w:numId w:val="3"/>
        </w:numPr>
        <w:tabs>
          <w:tab w:pos="502" w:val="left" w:leader="none"/>
          <w:tab w:pos="504" w:val="left" w:leader="none"/>
        </w:tabs>
        <w:spacing w:line="235" w:lineRule="auto" w:before="1" w:after="0"/>
        <w:ind w:left="504" w:right="216" w:hanging="248"/>
        <w:jc w:val="both"/>
        <w:rPr>
          <w:sz w:val="16"/>
        </w:rPr>
      </w:pPr>
      <w:r>
        <w:rPr>
          <w:color w:val="231F20"/>
          <w:sz w:val="16"/>
        </w:rPr>
        <w:t>Herzog J, Weiss PH, Assmus A, et al. Subthalamic </w:t>
      </w:r>
      <w:r>
        <w:rPr>
          <w:color w:val="231F20"/>
          <w:sz w:val="16"/>
        </w:rPr>
        <w:t>stimulation</w:t>
      </w:r>
      <w:r>
        <w:rPr>
          <w:color w:val="231F20"/>
          <w:spacing w:val="40"/>
          <w:sz w:val="16"/>
        </w:rPr>
        <w:t> </w:t>
      </w:r>
      <w:r>
        <w:rPr>
          <w:color w:val="231F20"/>
          <w:sz w:val="16"/>
        </w:rPr>
        <w:t>modulates cortical control of urinary bladder in Parkinson’s dis-</w:t>
      </w:r>
      <w:r>
        <w:rPr>
          <w:color w:val="231F20"/>
          <w:spacing w:val="40"/>
          <w:sz w:val="16"/>
        </w:rPr>
        <w:t> </w:t>
      </w:r>
      <w:r>
        <w:rPr>
          <w:color w:val="231F20"/>
          <w:sz w:val="16"/>
        </w:rPr>
        <w:t>ease. Brain 2006;129:3366–3375.</w:t>
      </w:r>
    </w:p>
    <w:p>
      <w:pPr>
        <w:pStyle w:val="ListParagraph"/>
        <w:numPr>
          <w:ilvl w:val="0"/>
          <w:numId w:val="3"/>
        </w:numPr>
        <w:tabs>
          <w:tab w:pos="502" w:val="left" w:leader="none"/>
          <w:tab w:pos="504" w:val="left" w:leader="none"/>
        </w:tabs>
        <w:spacing w:line="232" w:lineRule="auto" w:before="0" w:after="0"/>
        <w:ind w:left="504" w:right="215" w:hanging="248"/>
        <w:jc w:val="both"/>
        <w:rPr>
          <w:sz w:val="16"/>
        </w:rPr>
      </w:pPr>
      <w:r>
        <w:rPr>
          <w:color w:val="231F20"/>
          <w:sz w:val="16"/>
        </w:rPr>
        <w:t>Lemaire JJ, Coste J, Ouchchane L, et al. Brain mapping in ste-</w:t>
      </w:r>
      <w:r>
        <w:rPr>
          <w:color w:val="231F20"/>
          <w:spacing w:val="40"/>
          <w:sz w:val="16"/>
        </w:rPr>
        <w:t> </w:t>
      </w:r>
      <w:r>
        <w:rPr>
          <w:color w:val="231F20"/>
          <w:sz w:val="16"/>
        </w:rPr>
        <w:t>reotactic surgery: a brief overview from the probabilistic </w:t>
      </w:r>
      <w:r>
        <w:rPr>
          <w:color w:val="231F20"/>
          <w:sz w:val="16"/>
        </w:rPr>
        <w:t>target-</w:t>
      </w:r>
      <w:r>
        <w:rPr>
          <w:color w:val="231F20"/>
          <w:spacing w:val="40"/>
          <w:sz w:val="16"/>
        </w:rPr>
        <w:t> </w:t>
      </w:r>
      <w:r>
        <w:rPr>
          <w:color w:val="231F20"/>
          <w:sz w:val="16"/>
        </w:rPr>
        <w:t>ing to the patient-based anatomic mapping. Neuroimage 2007;37</w:t>
      </w:r>
      <w:r>
        <w:rPr>
          <w:color w:val="231F20"/>
          <w:spacing w:val="40"/>
          <w:sz w:val="16"/>
        </w:rPr>
        <w:t> </w:t>
      </w:r>
      <w:r>
        <w:rPr>
          <w:color w:val="231F20"/>
          <w:sz w:val="16"/>
        </w:rPr>
        <w:t>(Suppl. 1):S109–S115.</w:t>
      </w:r>
    </w:p>
    <w:p>
      <w:pPr>
        <w:pStyle w:val="ListParagraph"/>
        <w:numPr>
          <w:ilvl w:val="0"/>
          <w:numId w:val="3"/>
        </w:numPr>
        <w:tabs>
          <w:tab w:pos="501" w:val="left" w:leader="none"/>
          <w:tab w:pos="503" w:val="left" w:leader="none"/>
        </w:tabs>
        <w:spacing w:line="235" w:lineRule="auto" w:before="0" w:after="0"/>
        <w:ind w:left="503" w:right="223" w:hanging="248"/>
        <w:jc w:val="both"/>
        <w:rPr>
          <w:sz w:val="16"/>
        </w:rPr>
      </w:pPr>
      <w:r>
        <w:rPr>
          <w:color w:val="231F20"/>
          <w:spacing w:val="-2"/>
          <w:sz w:val="16"/>
        </w:rPr>
        <w:t>Karimi</w:t>
      </w:r>
      <w:r>
        <w:rPr>
          <w:color w:val="231F20"/>
          <w:spacing w:val="-8"/>
          <w:sz w:val="16"/>
        </w:rPr>
        <w:t> </w:t>
      </w:r>
      <w:r>
        <w:rPr>
          <w:color w:val="231F20"/>
          <w:spacing w:val="-2"/>
          <w:sz w:val="16"/>
        </w:rPr>
        <w:t>M,</w:t>
      </w:r>
      <w:r>
        <w:rPr>
          <w:color w:val="231F20"/>
          <w:spacing w:val="-8"/>
          <w:sz w:val="16"/>
        </w:rPr>
        <w:t> </w:t>
      </w:r>
      <w:r>
        <w:rPr>
          <w:color w:val="231F20"/>
          <w:spacing w:val="-2"/>
          <w:sz w:val="16"/>
        </w:rPr>
        <w:t>Golchin</w:t>
      </w:r>
      <w:r>
        <w:rPr>
          <w:color w:val="231F20"/>
          <w:spacing w:val="-8"/>
          <w:sz w:val="16"/>
        </w:rPr>
        <w:t> </w:t>
      </w:r>
      <w:r>
        <w:rPr>
          <w:color w:val="231F20"/>
          <w:spacing w:val="-2"/>
          <w:sz w:val="16"/>
        </w:rPr>
        <w:t>N,</w:t>
      </w:r>
      <w:r>
        <w:rPr>
          <w:color w:val="231F20"/>
          <w:spacing w:val="-8"/>
          <w:sz w:val="16"/>
        </w:rPr>
        <w:t> </w:t>
      </w:r>
      <w:r>
        <w:rPr>
          <w:color w:val="231F20"/>
          <w:spacing w:val="-2"/>
          <w:sz w:val="16"/>
        </w:rPr>
        <w:t>Tabbal</w:t>
      </w:r>
      <w:r>
        <w:rPr>
          <w:color w:val="231F20"/>
          <w:spacing w:val="-8"/>
          <w:sz w:val="16"/>
        </w:rPr>
        <w:t> </w:t>
      </w:r>
      <w:r>
        <w:rPr>
          <w:color w:val="231F20"/>
          <w:spacing w:val="-2"/>
          <w:sz w:val="16"/>
        </w:rPr>
        <w:t>SD,</w:t>
      </w:r>
      <w:r>
        <w:rPr>
          <w:color w:val="231F20"/>
          <w:spacing w:val="-8"/>
          <w:sz w:val="16"/>
        </w:rPr>
        <w:t> </w:t>
      </w:r>
      <w:r>
        <w:rPr>
          <w:color w:val="231F20"/>
          <w:spacing w:val="-2"/>
          <w:sz w:val="16"/>
        </w:rPr>
        <w:t>et</w:t>
      </w:r>
      <w:r>
        <w:rPr>
          <w:color w:val="231F20"/>
          <w:spacing w:val="-8"/>
          <w:sz w:val="16"/>
        </w:rPr>
        <w:t> </w:t>
      </w:r>
      <w:r>
        <w:rPr>
          <w:color w:val="231F20"/>
          <w:spacing w:val="-2"/>
          <w:sz w:val="16"/>
        </w:rPr>
        <w:t>al.</w:t>
      </w:r>
      <w:r>
        <w:rPr>
          <w:color w:val="231F20"/>
          <w:spacing w:val="-8"/>
          <w:sz w:val="16"/>
        </w:rPr>
        <w:t> </w:t>
      </w:r>
      <w:r>
        <w:rPr>
          <w:color w:val="231F20"/>
          <w:spacing w:val="-2"/>
          <w:sz w:val="16"/>
        </w:rPr>
        <w:t>Subthalamic</w:t>
      </w:r>
      <w:r>
        <w:rPr>
          <w:color w:val="231F20"/>
          <w:spacing w:val="-8"/>
          <w:sz w:val="16"/>
        </w:rPr>
        <w:t> </w:t>
      </w:r>
      <w:r>
        <w:rPr>
          <w:color w:val="231F20"/>
          <w:spacing w:val="-2"/>
          <w:sz w:val="16"/>
        </w:rPr>
        <w:t>nucleus</w:t>
      </w:r>
      <w:r>
        <w:rPr>
          <w:color w:val="231F20"/>
          <w:spacing w:val="-8"/>
          <w:sz w:val="16"/>
        </w:rPr>
        <w:t> </w:t>
      </w:r>
      <w:r>
        <w:rPr>
          <w:color w:val="231F20"/>
          <w:spacing w:val="-2"/>
          <w:sz w:val="16"/>
        </w:rPr>
        <w:t>stimula-</w:t>
      </w:r>
      <w:r>
        <w:rPr>
          <w:color w:val="231F20"/>
          <w:spacing w:val="40"/>
          <w:sz w:val="16"/>
        </w:rPr>
        <w:t> </w:t>
      </w:r>
      <w:r>
        <w:rPr>
          <w:color w:val="231F20"/>
          <w:spacing w:val="-4"/>
          <w:sz w:val="16"/>
        </w:rPr>
        <w:t>tion-induced</w:t>
      </w:r>
      <w:r>
        <w:rPr>
          <w:color w:val="231F20"/>
          <w:spacing w:val="-6"/>
          <w:sz w:val="16"/>
        </w:rPr>
        <w:t> </w:t>
      </w:r>
      <w:r>
        <w:rPr>
          <w:color w:val="231F20"/>
          <w:spacing w:val="-4"/>
          <w:sz w:val="16"/>
        </w:rPr>
        <w:t>regional</w:t>
      </w:r>
      <w:r>
        <w:rPr>
          <w:color w:val="231F20"/>
          <w:spacing w:val="-6"/>
          <w:sz w:val="16"/>
        </w:rPr>
        <w:t> </w:t>
      </w:r>
      <w:r>
        <w:rPr>
          <w:color w:val="231F20"/>
          <w:spacing w:val="-4"/>
          <w:sz w:val="16"/>
        </w:rPr>
        <w:t>blood</w:t>
      </w:r>
      <w:r>
        <w:rPr>
          <w:color w:val="231F20"/>
          <w:spacing w:val="-6"/>
          <w:sz w:val="16"/>
        </w:rPr>
        <w:t> </w:t>
      </w:r>
      <w:r>
        <w:rPr>
          <w:color w:val="231F20"/>
          <w:spacing w:val="-4"/>
          <w:sz w:val="16"/>
        </w:rPr>
        <w:t>ﬂow</w:t>
      </w:r>
      <w:r>
        <w:rPr>
          <w:color w:val="231F20"/>
          <w:spacing w:val="-6"/>
          <w:sz w:val="16"/>
        </w:rPr>
        <w:t> </w:t>
      </w:r>
      <w:r>
        <w:rPr>
          <w:color w:val="231F20"/>
          <w:spacing w:val="-4"/>
          <w:sz w:val="16"/>
        </w:rPr>
        <w:t>responses</w:t>
      </w:r>
      <w:r>
        <w:rPr>
          <w:color w:val="231F20"/>
          <w:spacing w:val="-6"/>
          <w:sz w:val="16"/>
        </w:rPr>
        <w:t> </w:t>
      </w:r>
      <w:r>
        <w:rPr>
          <w:color w:val="231F20"/>
          <w:spacing w:val="-4"/>
          <w:sz w:val="16"/>
        </w:rPr>
        <w:t>correlate</w:t>
      </w:r>
      <w:r>
        <w:rPr>
          <w:color w:val="231F20"/>
          <w:spacing w:val="-6"/>
          <w:sz w:val="16"/>
        </w:rPr>
        <w:t> </w:t>
      </w:r>
      <w:r>
        <w:rPr>
          <w:color w:val="231F20"/>
          <w:spacing w:val="-4"/>
          <w:sz w:val="16"/>
        </w:rPr>
        <w:t>with</w:t>
      </w:r>
      <w:r>
        <w:rPr>
          <w:color w:val="231F20"/>
          <w:spacing w:val="-6"/>
          <w:sz w:val="16"/>
        </w:rPr>
        <w:t> </w:t>
      </w:r>
      <w:r>
        <w:rPr>
          <w:color w:val="231F20"/>
          <w:spacing w:val="-4"/>
          <w:sz w:val="16"/>
        </w:rPr>
        <w:t>improvement</w:t>
      </w:r>
      <w:r>
        <w:rPr>
          <w:color w:val="231F20"/>
          <w:spacing w:val="40"/>
          <w:sz w:val="16"/>
        </w:rPr>
        <w:t> </w:t>
      </w:r>
      <w:r>
        <w:rPr>
          <w:color w:val="231F20"/>
          <w:spacing w:val="-2"/>
          <w:sz w:val="16"/>
        </w:rPr>
        <w:t>of motor signs in Parkinson disease. Brain 2008;131:2710–2719.</w:t>
      </w:r>
    </w:p>
    <w:p>
      <w:pPr>
        <w:pStyle w:val="ListParagraph"/>
        <w:numPr>
          <w:ilvl w:val="0"/>
          <w:numId w:val="3"/>
        </w:numPr>
        <w:tabs>
          <w:tab w:pos="501" w:val="left" w:leader="none"/>
          <w:tab w:pos="503" w:val="left" w:leader="none"/>
        </w:tabs>
        <w:spacing w:line="232" w:lineRule="auto" w:before="0" w:after="0"/>
        <w:ind w:left="503" w:right="216" w:hanging="248"/>
        <w:jc w:val="both"/>
        <w:rPr>
          <w:sz w:val="16"/>
        </w:rPr>
      </w:pPr>
      <w:r>
        <w:rPr>
          <w:color w:val="231F20"/>
          <w:sz w:val="16"/>
        </w:rPr>
        <w:t>Poon CC, Irwin MG. Anaesthesia for deep brain stimulation </w:t>
      </w:r>
      <w:r>
        <w:rPr>
          <w:color w:val="231F20"/>
          <w:sz w:val="16"/>
        </w:rPr>
        <w:t>and</w:t>
      </w:r>
      <w:r>
        <w:rPr>
          <w:color w:val="231F20"/>
          <w:spacing w:val="80"/>
          <w:sz w:val="16"/>
        </w:rPr>
        <w:t> </w:t>
      </w:r>
      <w:r>
        <w:rPr>
          <w:color w:val="231F20"/>
          <w:sz w:val="16"/>
        </w:rPr>
        <w:t>in patients with implanted neurostimulator devices. Br J Anaesth</w:t>
      </w:r>
      <w:r>
        <w:rPr>
          <w:color w:val="231F20"/>
          <w:spacing w:val="40"/>
          <w:sz w:val="16"/>
        </w:rPr>
        <w:t> </w:t>
      </w:r>
      <w:r>
        <w:rPr>
          <w:color w:val="231F20"/>
          <w:spacing w:val="-2"/>
          <w:sz w:val="16"/>
        </w:rPr>
        <w:t>2009;103:152–165.</w:t>
      </w:r>
    </w:p>
    <w:p>
      <w:pPr>
        <w:pStyle w:val="ListParagraph"/>
        <w:numPr>
          <w:ilvl w:val="0"/>
          <w:numId w:val="3"/>
        </w:numPr>
        <w:tabs>
          <w:tab w:pos="501" w:val="left" w:leader="none"/>
          <w:tab w:pos="503" w:val="left" w:leader="none"/>
        </w:tabs>
        <w:spacing w:line="235" w:lineRule="auto" w:before="0" w:after="0"/>
        <w:ind w:left="503" w:right="216" w:hanging="248"/>
        <w:jc w:val="both"/>
        <w:rPr>
          <w:sz w:val="16"/>
        </w:rPr>
      </w:pPr>
      <w:r>
        <w:rPr>
          <w:color w:val="231F20"/>
          <w:sz w:val="16"/>
        </w:rPr>
        <w:t>Palkovits M, Sebekova K, Gallatz K, et al. Neuronal activation in</w:t>
      </w:r>
      <w:r>
        <w:rPr>
          <w:color w:val="231F20"/>
          <w:spacing w:val="40"/>
          <w:sz w:val="16"/>
        </w:rPr>
        <w:t> </w:t>
      </w:r>
      <w:r>
        <w:rPr>
          <w:color w:val="231F20"/>
          <w:sz w:val="16"/>
        </w:rPr>
        <w:t>the CNS during different forms of acute renal failure in </w:t>
      </w:r>
      <w:r>
        <w:rPr>
          <w:color w:val="231F20"/>
          <w:sz w:val="16"/>
        </w:rPr>
        <w:t>rats.</w:t>
      </w:r>
      <w:r>
        <w:rPr>
          <w:color w:val="231F20"/>
          <w:spacing w:val="40"/>
          <w:sz w:val="16"/>
        </w:rPr>
        <w:t> </w:t>
      </w:r>
      <w:r>
        <w:rPr>
          <w:color w:val="231F20"/>
          <w:sz w:val="16"/>
        </w:rPr>
        <w:t>Neuroscience 2009;159:862–882.</w:t>
      </w:r>
    </w:p>
    <w:p>
      <w:pPr>
        <w:pStyle w:val="ListParagraph"/>
        <w:numPr>
          <w:ilvl w:val="0"/>
          <w:numId w:val="3"/>
        </w:numPr>
        <w:tabs>
          <w:tab w:pos="501" w:val="left" w:leader="none"/>
          <w:tab w:pos="503" w:val="left" w:leader="none"/>
        </w:tabs>
        <w:spacing w:line="232" w:lineRule="auto" w:before="0" w:after="0"/>
        <w:ind w:left="503" w:right="215" w:hanging="248"/>
        <w:jc w:val="both"/>
        <w:rPr>
          <w:sz w:val="16"/>
        </w:rPr>
      </w:pPr>
      <w:r>
        <w:rPr>
          <w:color w:val="231F20"/>
          <w:sz w:val="16"/>
        </w:rPr>
        <w:t>Turner MS, Gray TS, Mickiewicz AL, Napier TC. Fos </w:t>
      </w:r>
      <w:r>
        <w:rPr>
          <w:color w:val="231F20"/>
          <w:sz w:val="16"/>
        </w:rPr>
        <w:t>expression</w:t>
      </w:r>
      <w:r>
        <w:rPr>
          <w:color w:val="231F20"/>
          <w:spacing w:val="40"/>
          <w:sz w:val="16"/>
        </w:rPr>
        <w:t> </w:t>
      </w:r>
      <w:r>
        <w:rPr>
          <w:color w:val="231F20"/>
          <w:sz w:val="16"/>
        </w:rPr>
        <w:t>following</w:t>
      </w:r>
      <w:r>
        <w:rPr>
          <w:color w:val="231F20"/>
          <w:spacing w:val="11"/>
          <w:sz w:val="16"/>
        </w:rPr>
        <w:t> </w:t>
      </w:r>
      <w:r>
        <w:rPr>
          <w:color w:val="231F20"/>
          <w:sz w:val="16"/>
        </w:rPr>
        <w:t>activation</w:t>
      </w:r>
      <w:r>
        <w:rPr>
          <w:color w:val="231F20"/>
          <w:spacing w:val="11"/>
          <w:sz w:val="16"/>
        </w:rPr>
        <w:t> </w:t>
      </w:r>
      <w:r>
        <w:rPr>
          <w:color w:val="231F20"/>
          <w:sz w:val="16"/>
        </w:rPr>
        <w:t>of</w:t>
      </w:r>
      <w:r>
        <w:rPr>
          <w:color w:val="231F20"/>
          <w:spacing w:val="12"/>
          <w:sz w:val="16"/>
        </w:rPr>
        <w:t> </w:t>
      </w:r>
      <w:r>
        <w:rPr>
          <w:color w:val="231F20"/>
          <w:sz w:val="16"/>
        </w:rPr>
        <w:t>the</w:t>
      </w:r>
      <w:r>
        <w:rPr>
          <w:color w:val="231F20"/>
          <w:spacing w:val="11"/>
          <w:sz w:val="16"/>
        </w:rPr>
        <w:t> </w:t>
      </w:r>
      <w:r>
        <w:rPr>
          <w:color w:val="231F20"/>
          <w:sz w:val="16"/>
        </w:rPr>
        <w:t>ventral</w:t>
      </w:r>
      <w:r>
        <w:rPr>
          <w:color w:val="231F20"/>
          <w:spacing w:val="11"/>
          <w:sz w:val="16"/>
        </w:rPr>
        <w:t> </w:t>
      </w:r>
      <w:r>
        <w:rPr>
          <w:color w:val="231F20"/>
          <w:sz w:val="16"/>
        </w:rPr>
        <w:t>pallidum</w:t>
      </w:r>
      <w:r>
        <w:rPr>
          <w:color w:val="231F20"/>
          <w:spacing w:val="11"/>
          <w:sz w:val="16"/>
        </w:rPr>
        <w:t> </w:t>
      </w:r>
      <w:r>
        <w:rPr>
          <w:color w:val="231F20"/>
          <w:sz w:val="16"/>
        </w:rPr>
        <w:t>in</w:t>
      </w:r>
      <w:r>
        <w:rPr>
          <w:color w:val="231F20"/>
          <w:spacing w:val="11"/>
          <w:sz w:val="16"/>
        </w:rPr>
        <w:t> </w:t>
      </w:r>
      <w:r>
        <w:rPr>
          <w:color w:val="231F20"/>
          <w:sz w:val="16"/>
        </w:rPr>
        <w:t>normal</w:t>
      </w:r>
      <w:r>
        <w:rPr>
          <w:color w:val="231F20"/>
          <w:spacing w:val="12"/>
          <w:sz w:val="16"/>
        </w:rPr>
        <w:t> </w:t>
      </w:r>
      <w:r>
        <w:rPr>
          <w:color w:val="231F20"/>
          <w:sz w:val="16"/>
        </w:rPr>
        <w:t>rats</w:t>
      </w:r>
      <w:r>
        <w:rPr>
          <w:color w:val="231F20"/>
          <w:spacing w:val="12"/>
          <w:sz w:val="16"/>
        </w:rPr>
        <w:t> </w:t>
      </w:r>
      <w:r>
        <w:rPr>
          <w:color w:val="231F20"/>
          <w:sz w:val="16"/>
        </w:rPr>
        <w:t>and</w:t>
      </w:r>
      <w:r>
        <w:rPr>
          <w:color w:val="231F20"/>
          <w:spacing w:val="12"/>
          <w:sz w:val="16"/>
        </w:rPr>
        <w:t> </w:t>
      </w:r>
      <w:r>
        <w:rPr>
          <w:color w:val="231F20"/>
          <w:sz w:val="16"/>
        </w:rPr>
        <w:t>in</w:t>
      </w:r>
      <w:r>
        <w:rPr>
          <w:color w:val="231F20"/>
          <w:spacing w:val="40"/>
          <w:sz w:val="16"/>
        </w:rPr>
        <w:t> </w:t>
      </w:r>
      <w:r>
        <w:rPr>
          <w:color w:val="231F20"/>
          <w:sz w:val="16"/>
        </w:rPr>
        <w:t>a model of Parkinson’s Disease: implications for limbic system</w:t>
      </w:r>
      <w:r>
        <w:rPr>
          <w:color w:val="231F20"/>
          <w:spacing w:val="40"/>
          <w:sz w:val="16"/>
        </w:rPr>
        <w:t> </w:t>
      </w:r>
      <w:r>
        <w:rPr>
          <w:color w:val="231F20"/>
          <w:sz w:val="16"/>
        </w:rPr>
        <w:t>and basal ganglia interactions. Brain Struct Funct 2008;213:197–</w:t>
      </w:r>
      <w:r>
        <w:rPr>
          <w:color w:val="231F20"/>
          <w:spacing w:val="40"/>
          <w:sz w:val="16"/>
        </w:rPr>
        <w:t> </w:t>
      </w:r>
      <w:r>
        <w:rPr>
          <w:color w:val="231F20"/>
          <w:spacing w:val="-4"/>
          <w:sz w:val="16"/>
        </w:rPr>
        <w:t>213.</w:t>
      </w:r>
    </w:p>
    <w:p>
      <w:pPr>
        <w:pStyle w:val="ListParagraph"/>
        <w:numPr>
          <w:ilvl w:val="0"/>
          <w:numId w:val="3"/>
        </w:numPr>
        <w:tabs>
          <w:tab w:pos="501" w:val="left" w:leader="none"/>
          <w:tab w:pos="503" w:val="left" w:leader="none"/>
        </w:tabs>
        <w:spacing w:line="235" w:lineRule="auto" w:before="1" w:after="0"/>
        <w:ind w:left="503" w:right="215" w:hanging="248"/>
        <w:jc w:val="both"/>
        <w:rPr>
          <w:sz w:val="16"/>
        </w:rPr>
      </w:pPr>
      <w:r>
        <w:rPr>
          <w:color w:val="231F20"/>
          <w:sz w:val="16"/>
        </w:rPr>
        <w:t>Kitta T, Matsumoto M, Tanaka H, Mitsui T, Yoshioka M, </w:t>
      </w:r>
      <w:r>
        <w:rPr>
          <w:color w:val="231F20"/>
          <w:sz w:val="16"/>
        </w:rPr>
        <w:t>Non-</w:t>
      </w:r>
      <w:r>
        <w:rPr>
          <w:color w:val="231F20"/>
          <w:spacing w:val="40"/>
          <w:sz w:val="16"/>
        </w:rPr>
        <w:t> </w:t>
      </w:r>
      <w:r>
        <w:rPr>
          <w:color w:val="231F20"/>
          <w:sz w:val="16"/>
        </w:rPr>
        <w:t>omura</w:t>
      </w:r>
      <w:r>
        <w:rPr>
          <w:color w:val="231F20"/>
          <w:spacing w:val="35"/>
          <w:sz w:val="16"/>
        </w:rPr>
        <w:t> </w:t>
      </w:r>
      <w:r>
        <w:rPr>
          <w:color w:val="231F20"/>
          <w:sz w:val="16"/>
        </w:rPr>
        <w:t>K.</w:t>
      </w:r>
      <w:r>
        <w:rPr>
          <w:color w:val="231F20"/>
          <w:spacing w:val="36"/>
          <w:sz w:val="16"/>
        </w:rPr>
        <w:t> </w:t>
      </w:r>
      <w:r>
        <w:rPr>
          <w:color w:val="231F20"/>
          <w:sz w:val="16"/>
        </w:rPr>
        <w:t>GABAergic</w:t>
      </w:r>
      <w:r>
        <w:rPr>
          <w:color w:val="231F20"/>
          <w:spacing w:val="35"/>
          <w:sz w:val="16"/>
        </w:rPr>
        <w:t> </w:t>
      </w:r>
      <w:r>
        <w:rPr>
          <w:color w:val="231F20"/>
          <w:sz w:val="16"/>
        </w:rPr>
        <w:t>mechanism</w:t>
      </w:r>
      <w:r>
        <w:rPr>
          <w:color w:val="231F20"/>
          <w:spacing w:val="35"/>
          <w:sz w:val="16"/>
        </w:rPr>
        <w:t> </w:t>
      </w:r>
      <w:r>
        <w:rPr>
          <w:color w:val="231F20"/>
          <w:sz w:val="16"/>
        </w:rPr>
        <w:t>mediated</w:t>
      </w:r>
      <w:r>
        <w:rPr>
          <w:color w:val="231F20"/>
          <w:spacing w:val="35"/>
          <w:sz w:val="16"/>
        </w:rPr>
        <w:t> </w:t>
      </w:r>
      <w:r>
        <w:rPr>
          <w:color w:val="231F20"/>
          <w:sz w:val="16"/>
        </w:rPr>
        <w:t>via</w:t>
      </w:r>
      <w:r>
        <w:rPr>
          <w:color w:val="231F20"/>
          <w:spacing w:val="37"/>
          <w:sz w:val="16"/>
        </w:rPr>
        <w:t> </w:t>
      </w:r>
      <w:r>
        <w:rPr>
          <w:color w:val="231F20"/>
          <w:sz w:val="16"/>
        </w:rPr>
        <w:t>D</w:t>
      </w:r>
      <w:r>
        <w:rPr>
          <w:color w:val="231F20"/>
          <w:spacing w:val="36"/>
          <w:sz w:val="16"/>
        </w:rPr>
        <w:t> </w:t>
      </w:r>
      <w:r>
        <w:rPr>
          <w:color w:val="231F20"/>
          <w:sz w:val="16"/>
        </w:rPr>
        <w:t>receptors</w:t>
      </w:r>
      <w:r>
        <w:rPr>
          <w:color w:val="231F20"/>
          <w:spacing w:val="36"/>
          <w:sz w:val="16"/>
        </w:rPr>
        <w:t> </w:t>
      </w:r>
      <w:r>
        <w:rPr>
          <w:color w:val="231F20"/>
          <w:sz w:val="16"/>
        </w:rPr>
        <w:t>in</w:t>
      </w:r>
      <w:r>
        <w:rPr>
          <w:color w:val="231F20"/>
          <w:spacing w:val="40"/>
          <w:sz w:val="16"/>
        </w:rPr>
        <w:t> </w:t>
      </w:r>
      <w:r>
        <w:rPr>
          <w:color w:val="231F20"/>
          <w:sz w:val="16"/>
        </w:rPr>
        <w:t>the rat</w:t>
      </w:r>
      <w:r>
        <w:rPr>
          <w:color w:val="231F20"/>
          <w:spacing w:val="24"/>
          <w:sz w:val="16"/>
        </w:rPr>
        <w:t> </w:t>
      </w:r>
      <w:r>
        <w:rPr>
          <w:color w:val="231F20"/>
          <w:sz w:val="16"/>
        </w:rPr>
        <w:t>periaqueductal</w:t>
      </w:r>
      <w:r>
        <w:rPr>
          <w:color w:val="231F20"/>
          <w:spacing w:val="24"/>
          <w:sz w:val="16"/>
        </w:rPr>
        <w:t> </w:t>
      </w:r>
      <w:r>
        <w:rPr>
          <w:color w:val="231F20"/>
          <w:sz w:val="16"/>
        </w:rPr>
        <w:t>gray participates in</w:t>
      </w:r>
      <w:r>
        <w:rPr>
          <w:color w:val="231F20"/>
          <w:spacing w:val="24"/>
          <w:sz w:val="16"/>
        </w:rPr>
        <w:t> </w:t>
      </w:r>
      <w:r>
        <w:rPr>
          <w:color w:val="231F20"/>
          <w:sz w:val="16"/>
        </w:rPr>
        <w:t>the</w:t>
      </w:r>
      <w:r>
        <w:rPr>
          <w:color w:val="231F20"/>
          <w:spacing w:val="24"/>
          <w:sz w:val="16"/>
        </w:rPr>
        <w:t> </w:t>
      </w:r>
      <w:r>
        <w:rPr>
          <w:color w:val="231F20"/>
          <w:sz w:val="16"/>
        </w:rPr>
        <w:t>micturition</w:t>
      </w:r>
      <w:r>
        <w:rPr>
          <w:color w:val="231F20"/>
          <w:spacing w:val="24"/>
          <w:sz w:val="16"/>
        </w:rPr>
        <w:t> </w:t>
      </w:r>
      <w:r>
        <w:rPr>
          <w:color w:val="231F20"/>
          <w:sz w:val="16"/>
        </w:rPr>
        <w:t>reﬂex:</w:t>
      </w:r>
      <w:r>
        <w:rPr>
          <w:color w:val="231F20"/>
          <w:spacing w:val="40"/>
          <w:sz w:val="16"/>
        </w:rPr>
        <w:t> </w:t>
      </w:r>
      <w:r>
        <w:rPr>
          <w:color w:val="231F20"/>
          <w:sz w:val="16"/>
        </w:rPr>
        <w:t>an in vivo microdialysis study. Eur J Neurosci 2008;27:3216–</w:t>
      </w:r>
      <w:r>
        <w:rPr>
          <w:color w:val="231F20"/>
          <w:spacing w:val="40"/>
          <w:sz w:val="16"/>
        </w:rPr>
        <w:t> </w:t>
      </w:r>
      <w:r>
        <w:rPr>
          <w:color w:val="231F20"/>
          <w:spacing w:val="-2"/>
          <w:sz w:val="16"/>
        </w:rPr>
        <w:t>3225.</w:t>
      </w:r>
    </w:p>
    <w:p>
      <w:pPr>
        <w:pStyle w:val="BodyText"/>
        <w:rPr>
          <w:sz w:val="16"/>
        </w:rPr>
      </w:pPr>
    </w:p>
    <w:p>
      <w:pPr>
        <w:pStyle w:val="BodyText"/>
        <w:rPr>
          <w:sz w:val="16"/>
        </w:rPr>
      </w:pPr>
    </w:p>
    <w:p>
      <w:pPr>
        <w:pStyle w:val="BodyText"/>
        <w:spacing w:before="46"/>
        <w:rPr>
          <w:sz w:val="16"/>
        </w:rPr>
      </w:pPr>
    </w:p>
    <w:p>
      <w:pPr>
        <w:pStyle w:val="Heading1"/>
        <w:ind w:left="457"/>
        <w:jc w:val="left"/>
      </w:pPr>
      <w:r>
        <w:rPr>
          <w:color w:val="231F20"/>
          <w:w w:val="105"/>
        </w:rPr>
        <w:t>ADEM</w:t>
      </w:r>
      <w:r>
        <w:rPr>
          <w:color w:val="231F20"/>
          <w:spacing w:val="15"/>
          <w:w w:val="105"/>
        </w:rPr>
        <w:t> </w:t>
      </w:r>
      <w:r>
        <w:rPr>
          <w:color w:val="231F20"/>
          <w:w w:val="105"/>
        </w:rPr>
        <w:t>Presenting</w:t>
      </w:r>
      <w:r>
        <w:rPr>
          <w:color w:val="231F20"/>
          <w:spacing w:val="15"/>
          <w:w w:val="105"/>
        </w:rPr>
        <w:t> </w:t>
      </w:r>
      <w:r>
        <w:rPr>
          <w:color w:val="231F20"/>
          <w:w w:val="105"/>
        </w:rPr>
        <w:t>as</w:t>
      </w:r>
      <w:r>
        <w:rPr>
          <w:color w:val="231F20"/>
          <w:spacing w:val="15"/>
          <w:w w:val="105"/>
        </w:rPr>
        <w:t> </w:t>
      </w:r>
      <w:r>
        <w:rPr>
          <w:color w:val="231F20"/>
          <w:w w:val="105"/>
        </w:rPr>
        <w:t>a</w:t>
      </w:r>
      <w:r>
        <w:rPr>
          <w:color w:val="231F20"/>
          <w:spacing w:val="15"/>
          <w:w w:val="105"/>
        </w:rPr>
        <w:t> </w:t>
      </w:r>
      <w:r>
        <w:rPr>
          <w:color w:val="231F20"/>
          <w:w w:val="105"/>
        </w:rPr>
        <w:t>Movement</w:t>
      </w:r>
      <w:r>
        <w:rPr>
          <w:color w:val="231F20"/>
          <w:spacing w:val="15"/>
          <w:w w:val="105"/>
        </w:rPr>
        <w:t> </w:t>
      </w:r>
      <w:r>
        <w:rPr>
          <w:color w:val="231F20"/>
          <w:spacing w:val="-2"/>
          <w:w w:val="105"/>
        </w:rPr>
        <w:t>Disorder</w:t>
      </w:r>
    </w:p>
    <w:p>
      <w:pPr>
        <w:spacing w:before="238"/>
        <w:ind w:left="456" w:right="0" w:firstLine="2910"/>
        <w:jc w:val="left"/>
        <w:rPr>
          <w:position w:val="-11"/>
          <w:sz w:val="22"/>
        </w:rPr>
      </w:pPr>
      <w:r>
        <w:rPr>
          <w:color w:val="231F20"/>
          <w:sz w:val="22"/>
        </w:rPr>
        <w:t>Video </w:t>
      </w:r>
      <w:r>
        <w:rPr>
          <w:color w:val="231F20"/>
          <w:spacing w:val="5"/>
          <w:position w:val="-11"/>
          <w:sz w:val="22"/>
        </w:rPr>
        <w:drawing>
          <wp:inline distT="0" distB="0" distL="0" distR="0">
            <wp:extent cx="539280" cy="226080"/>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8" cstate="print"/>
                    <a:stretch>
                      <a:fillRect/>
                    </a:stretch>
                  </pic:blipFill>
                  <pic:spPr>
                    <a:xfrm>
                      <a:off x="0" y="0"/>
                      <a:ext cx="539280" cy="226080"/>
                    </a:xfrm>
                    <a:prstGeom prst="rect">
                      <a:avLst/>
                    </a:prstGeom>
                  </pic:spPr>
                </pic:pic>
              </a:graphicData>
            </a:graphic>
          </wp:inline>
        </w:drawing>
      </w:r>
      <w:r>
        <w:rPr>
          <w:color w:val="231F20"/>
          <w:spacing w:val="5"/>
          <w:position w:val="-11"/>
          <w:sz w:val="22"/>
        </w:rPr>
      </w:r>
    </w:p>
    <w:p>
      <w:pPr>
        <w:pStyle w:val="BodyText"/>
        <w:spacing w:line="230" w:lineRule="auto" w:before="194"/>
        <w:ind w:left="256" w:right="217" w:firstLine="199"/>
        <w:jc w:val="both"/>
      </w:pPr>
      <w:r>
        <w:rPr>
          <w:color w:val="231F20"/>
        </w:rPr>
        <w:t>Acute disseminated encephalomyelitis (ADEM) is </w:t>
      </w:r>
      <w:r>
        <w:rPr>
          <w:color w:val="231F20"/>
        </w:rPr>
        <w:t>a demyelinating disease of the central nervous system charac- terized by multifocal neurological deﬁcits and encephalop- athy.</w:t>
      </w:r>
      <w:r>
        <w:rPr>
          <w:color w:val="231F20"/>
          <w:vertAlign w:val="superscript"/>
        </w:rPr>
        <w:t>1</w:t>
      </w:r>
      <w:r>
        <w:rPr>
          <w:color w:val="231F20"/>
          <w:vertAlign w:val="baseline"/>
        </w:rPr>
        <w:t> We report a patient with ADEM who presented with a movement disorder.</w:t>
      </w:r>
    </w:p>
    <w:p>
      <w:pPr>
        <w:pStyle w:val="BodyText"/>
        <w:spacing w:line="230" w:lineRule="auto" w:before="3"/>
        <w:ind w:left="256" w:right="217" w:firstLine="199"/>
        <w:jc w:val="both"/>
      </w:pPr>
      <w:r>
        <w:rPr>
          <w:color w:val="231F20"/>
        </w:rPr>
        <w:t>A 44-year-old woman was admitted with </w:t>
      </w:r>
      <w:r>
        <w:rPr>
          <w:color w:val="231F20"/>
        </w:rPr>
        <w:t>choreiform</w:t>
      </w:r>
      <w:r>
        <w:rPr>
          <w:color w:val="231F20"/>
        </w:rPr>
        <w:t> movements. Her medications included sodium valproate </w:t>
      </w:r>
      <w:r>
        <w:rPr>
          <w:color w:val="231F20"/>
        </w:rPr>
        <w:t>400</w:t>
      </w:r>
      <w:r>
        <w:rPr>
          <w:color w:val="231F20"/>
        </w:rPr>
        <w:t> mg</w:t>
      </w:r>
      <w:r>
        <w:rPr>
          <w:color w:val="231F20"/>
          <w:spacing w:val="40"/>
        </w:rPr>
        <w:t> </w:t>
      </w:r>
      <w:r>
        <w:rPr>
          <w:color w:val="231F20"/>
        </w:rPr>
        <w:t>thrice</w:t>
      </w:r>
      <w:r>
        <w:rPr>
          <w:color w:val="231F20"/>
          <w:spacing w:val="40"/>
        </w:rPr>
        <w:t> </w:t>
      </w:r>
      <w:r>
        <w:rPr>
          <w:color w:val="231F20"/>
        </w:rPr>
        <w:t>daily</w:t>
      </w:r>
      <w:r>
        <w:rPr>
          <w:color w:val="231F20"/>
          <w:spacing w:val="40"/>
        </w:rPr>
        <w:t> </w:t>
      </w:r>
      <w:r>
        <w:rPr>
          <w:color w:val="231F20"/>
        </w:rPr>
        <w:t>for</w:t>
      </w:r>
      <w:r>
        <w:rPr>
          <w:color w:val="231F20"/>
          <w:spacing w:val="40"/>
        </w:rPr>
        <w:t> </w:t>
      </w:r>
      <w:r>
        <w:rPr>
          <w:color w:val="231F20"/>
        </w:rPr>
        <w:t>migraine</w:t>
      </w:r>
      <w:r>
        <w:rPr>
          <w:color w:val="231F20"/>
          <w:spacing w:val="40"/>
        </w:rPr>
        <w:t> </w:t>
      </w:r>
      <w:r>
        <w:rPr>
          <w:color w:val="231F20"/>
        </w:rPr>
        <w:t>and</w:t>
      </w:r>
      <w:r>
        <w:rPr>
          <w:color w:val="231F20"/>
          <w:spacing w:val="40"/>
        </w:rPr>
        <w:t> </w:t>
      </w:r>
      <w:r>
        <w:rPr>
          <w:color w:val="231F20"/>
        </w:rPr>
        <w:t>phenelzine</w:t>
      </w:r>
      <w:r>
        <w:rPr>
          <w:color w:val="231F20"/>
          <w:spacing w:val="40"/>
        </w:rPr>
        <w:t> </w:t>
      </w:r>
      <w:r>
        <w:rPr>
          <w:color w:val="231F20"/>
        </w:rPr>
        <w:t>30</w:t>
      </w:r>
      <w:r>
        <w:rPr>
          <w:color w:val="231F20"/>
          <w:spacing w:val="40"/>
        </w:rPr>
        <w:t> </w:t>
      </w:r>
      <w:r>
        <w:rPr>
          <w:color w:val="231F20"/>
        </w:rPr>
        <w:t>mg</w:t>
      </w:r>
      <w:r>
        <w:rPr>
          <w:color w:val="231F20"/>
          <w:spacing w:val="47"/>
        </w:rPr>
        <w:t> </w:t>
      </w:r>
      <w:r>
        <w:rPr>
          <w:color w:val="231F20"/>
        </w:rPr>
        <w:t>twice daily for schizoaffective disorder. The patient had </w:t>
      </w:r>
      <w:r>
        <w:rPr>
          <w:color w:val="231F20"/>
        </w:rPr>
        <w:t>developed</w:t>
      </w:r>
      <w:r>
        <w:rPr>
          <w:color w:val="231F20"/>
        </w:rPr>
        <w:t> involuntary movements in her left leg 3 days following </w:t>
      </w:r>
      <w:r>
        <w:rPr>
          <w:color w:val="231F20"/>
        </w:rPr>
        <w:t>an</w:t>
      </w:r>
      <w:r>
        <w:rPr>
          <w:color w:val="231F20"/>
        </w:rPr>
        <w:t> upper respiratory tract infection. The movements </w:t>
      </w:r>
      <w:r>
        <w:rPr>
          <w:color w:val="231F20"/>
        </w:rPr>
        <w:t>progressed</w:t>
      </w:r>
      <w:r>
        <w:rPr>
          <w:color w:val="231F20"/>
          <w:spacing w:val="80"/>
        </w:rPr>
        <w:t> </w:t>
      </w:r>
      <w:r>
        <w:rPr>
          <w:color w:val="231F20"/>
        </w:rPr>
        <w:t>to</w:t>
      </w:r>
      <w:r>
        <w:rPr>
          <w:color w:val="231F20"/>
          <w:spacing w:val="40"/>
        </w:rPr>
        <w:t> </w:t>
      </w:r>
      <w:r>
        <w:rPr>
          <w:color w:val="231F20"/>
        </w:rPr>
        <w:t>involve</w:t>
      </w:r>
      <w:r>
        <w:rPr>
          <w:color w:val="231F20"/>
          <w:spacing w:val="40"/>
        </w:rPr>
        <w:t> </w:t>
      </w:r>
      <w:r>
        <w:rPr>
          <w:color w:val="231F20"/>
        </w:rPr>
        <w:t>both</w:t>
      </w:r>
      <w:r>
        <w:rPr>
          <w:color w:val="231F20"/>
          <w:spacing w:val="40"/>
        </w:rPr>
        <w:t> </w:t>
      </w:r>
      <w:r>
        <w:rPr>
          <w:color w:val="231F20"/>
        </w:rPr>
        <w:t>upper</w:t>
      </w:r>
      <w:r>
        <w:rPr>
          <w:color w:val="231F20"/>
          <w:spacing w:val="40"/>
        </w:rPr>
        <w:t> </w:t>
      </w:r>
      <w:r>
        <w:rPr>
          <w:color w:val="231F20"/>
        </w:rPr>
        <w:t>and</w:t>
      </w:r>
      <w:r>
        <w:rPr>
          <w:color w:val="231F20"/>
          <w:spacing w:val="40"/>
        </w:rPr>
        <w:t> </w:t>
      </w:r>
      <w:r>
        <w:rPr>
          <w:color w:val="231F20"/>
        </w:rPr>
        <w:t>lower</w:t>
      </w:r>
      <w:r>
        <w:rPr>
          <w:color w:val="231F20"/>
          <w:spacing w:val="40"/>
        </w:rPr>
        <w:t> </w:t>
      </w:r>
      <w:r>
        <w:rPr>
          <w:color w:val="231F20"/>
        </w:rPr>
        <w:t>limbs.</w:t>
      </w:r>
      <w:r>
        <w:rPr>
          <w:color w:val="231F20"/>
          <w:spacing w:val="40"/>
        </w:rPr>
        <w:t> </w:t>
      </w:r>
      <w:r>
        <w:rPr>
          <w:color w:val="231F20"/>
        </w:rPr>
        <w:t>Phenelzine</w:t>
      </w:r>
      <w:r>
        <w:rPr>
          <w:color w:val="231F20"/>
          <w:spacing w:val="72"/>
        </w:rPr>
        <w:t> </w:t>
      </w:r>
      <w:r>
        <w:rPr>
          <w:color w:val="231F20"/>
        </w:rPr>
        <w:t>was</w:t>
      </w:r>
      <w:r>
        <w:rPr>
          <w:color w:val="231F20"/>
        </w:rPr>
        <w:t> ceased with no improvement. Examination revealed </w:t>
      </w:r>
      <w:r>
        <w:rPr>
          <w:color w:val="231F20"/>
        </w:rPr>
        <w:t>chorei-</w:t>
      </w:r>
      <w:r>
        <w:rPr>
          <w:color w:val="231F20"/>
        </w:rPr>
        <w:t> form movements affecting the upper limb and lower </w:t>
      </w:r>
      <w:r>
        <w:rPr>
          <w:color w:val="231F20"/>
        </w:rPr>
        <w:t>limb, particularly</w:t>
      </w:r>
      <w:r>
        <w:rPr>
          <w:color w:val="231F20"/>
          <w:spacing w:val="40"/>
        </w:rPr>
        <w:t> </w:t>
      </w:r>
      <w:r>
        <w:rPr>
          <w:color w:val="231F20"/>
        </w:rPr>
        <w:t>on</w:t>
      </w:r>
      <w:r>
        <w:rPr>
          <w:color w:val="231F20"/>
          <w:spacing w:val="40"/>
        </w:rPr>
        <w:t> </w:t>
      </w:r>
      <w:r>
        <w:rPr>
          <w:color w:val="231F20"/>
        </w:rPr>
        <w:t>the</w:t>
      </w:r>
      <w:r>
        <w:rPr>
          <w:color w:val="231F20"/>
          <w:spacing w:val="40"/>
        </w:rPr>
        <w:t> </w:t>
      </w:r>
      <w:r>
        <w:rPr>
          <w:color w:val="231F20"/>
        </w:rPr>
        <w:t>left.</w:t>
      </w:r>
      <w:r>
        <w:rPr>
          <w:color w:val="231F20"/>
          <w:spacing w:val="40"/>
        </w:rPr>
        <w:t> </w:t>
      </w:r>
      <w:r>
        <w:rPr>
          <w:color w:val="231F20"/>
        </w:rPr>
        <w:t>The</w:t>
      </w:r>
      <w:r>
        <w:rPr>
          <w:color w:val="231F20"/>
          <w:spacing w:val="40"/>
        </w:rPr>
        <w:t> </w:t>
      </w:r>
      <w:r>
        <w:rPr>
          <w:color w:val="231F20"/>
        </w:rPr>
        <w:t>movements</w:t>
      </w:r>
      <w:r>
        <w:rPr>
          <w:color w:val="231F20"/>
          <w:spacing w:val="40"/>
        </w:rPr>
        <w:t> </w:t>
      </w:r>
      <w:r>
        <w:rPr>
          <w:color w:val="231F20"/>
        </w:rPr>
        <w:t>were</w:t>
      </w:r>
      <w:r>
        <w:rPr>
          <w:color w:val="231F20"/>
          <w:spacing w:val="57"/>
        </w:rPr>
        <w:t> </w:t>
      </w:r>
      <w:r>
        <w:rPr>
          <w:color w:val="231F20"/>
        </w:rPr>
        <w:t>continuous,</w:t>
      </w:r>
      <w:r>
        <w:rPr>
          <w:color w:val="231F20"/>
        </w:rPr>
        <w:t> with intermittent brief jerks (See Video 1).</w:t>
      </w:r>
    </w:p>
    <w:p>
      <w:pPr>
        <w:pStyle w:val="BodyText"/>
        <w:spacing w:line="230" w:lineRule="auto" w:before="6"/>
        <w:ind w:left="256" w:right="217" w:firstLine="199"/>
        <w:jc w:val="both"/>
      </w:pPr>
      <w:r>
        <w:rPr>
          <w:color w:val="231F20"/>
        </w:rPr>
        <w:t>CT brain was unremarkable. Blood glucose was </w:t>
      </w:r>
      <w:r>
        <w:rPr>
          <w:color w:val="231F20"/>
        </w:rPr>
        <w:t>normal.</w:t>
      </w:r>
      <w:r>
        <w:rPr>
          <w:color w:val="231F20"/>
          <w:spacing w:val="40"/>
        </w:rPr>
        <w:t> </w:t>
      </w:r>
      <w:r>
        <w:rPr>
          <w:color w:val="231F20"/>
        </w:rPr>
        <w:t>The creatine kinase (CK) was elevated at 9882 lmol/L, decreasing to 835 lmol/L by day 5. Sodium valproate level</w:t>
      </w:r>
      <w:r>
        <w:rPr>
          <w:color w:val="231F20"/>
          <w:spacing w:val="80"/>
        </w:rPr>
        <w:t> </w:t>
      </w:r>
      <w:r>
        <w:rPr>
          <w:color w:val="231F20"/>
        </w:rPr>
        <w:t>was 106 lmol/L (therapeutic range 350–700 lmol/L). The ASOT was elevated at 473 IU/mL, and increased to 837 IU/ mL after 2 weeks. Anti-DNAse B titre remained negative.</w:t>
      </w:r>
    </w:p>
    <w:p>
      <w:pPr>
        <w:pStyle w:val="BodyText"/>
        <w:spacing w:before="8"/>
        <w:rPr>
          <w:sz w:val="14"/>
        </w:rPr>
      </w:pPr>
      <w:r>
        <w:rPr>
          <w:sz w:val="14"/>
        </w:rPr>
        <mc:AlternateContent>
          <mc:Choice Requires="wps">
            <w:drawing>
              <wp:anchor distT="0" distB="0" distL="0" distR="0" allowOverlap="1" layoutInCell="1" locked="0" behindDoc="1" simplePos="0" relativeHeight="487590912">
                <wp:simplePos x="0" y="0"/>
                <wp:positionH relativeFrom="page">
                  <wp:posOffset>4050004</wp:posOffset>
                </wp:positionH>
                <wp:positionV relativeFrom="paragraph">
                  <wp:posOffset>122687</wp:posOffset>
                </wp:positionV>
                <wp:extent cx="2897505" cy="317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2897505" cy="3175"/>
                        </a:xfrm>
                        <a:custGeom>
                          <a:avLst/>
                          <a:gdLst/>
                          <a:ahLst/>
                          <a:cxnLst/>
                          <a:rect l="l" t="t" r="r" b="b"/>
                          <a:pathLst>
                            <a:path w="2897505" h="3175">
                              <a:moveTo>
                                <a:pt x="0" y="0"/>
                              </a:moveTo>
                              <a:lnTo>
                                <a:pt x="0" y="2882"/>
                              </a:lnTo>
                              <a:lnTo>
                                <a:pt x="2897276" y="2882"/>
                              </a:lnTo>
                              <a:lnTo>
                                <a:pt x="2897276" y="0"/>
                              </a:lnTo>
                              <a:lnTo>
                                <a:pt x="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18.89801pt;margin-top:9.660419pt;width:228.132pt;height:.227pt;mso-position-horizontal-relative:page;mso-position-vertical-relative:paragraph;z-index:-15725568;mso-wrap-distance-left:0;mso-wrap-distance-right:0" id="docshape7" filled="true" fillcolor="#231f20" stroked="false">
                <v:fill type="solid"/>
                <w10:wrap type="topAndBottom"/>
              </v:rect>
            </w:pict>
          </mc:Fallback>
        </mc:AlternateContent>
      </w:r>
    </w:p>
    <w:p>
      <w:pPr>
        <w:spacing w:line="232" w:lineRule="auto" w:before="59"/>
        <w:ind w:left="256" w:right="204" w:firstLine="159"/>
        <w:jc w:val="left"/>
        <w:rPr>
          <w:sz w:val="16"/>
        </w:rPr>
      </w:pPr>
      <w:r>
        <w:rPr>
          <w:color w:val="231F20"/>
          <w:sz w:val="16"/>
        </w:rPr>
        <w:t>Additional Supporting Information may be found in the online </w:t>
      </w:r>
      <w:r>
        <w:rPr>
          <w:color w:val="231F20"/>
          <w:sz w:val="16"/>
        </w:rPr>
        <w:t>ver-</w:t>
      </w:r>
      <w:r>
        <w:rPr>
          <w:color w:val="231F20"/>
          <w:spacing w:val="40"/>
          <w:sz w:val="16"/>
        </w:rPr>
        <w:t> </w:t>
      </w:r>
      <w:r>
        <w:rPr>
          <w:color w:val="231F20"/>
          <w:sz w:val="16"/>
        </w:rPr>
        <w:t>sion of this article.</w:t>
      </w:r>
    </w:p>
    <w:p>
      <w:pPr>
        <w:spacing w:line="184" w:lineRule="exact" w:before="17"/>
        <w:ind w:left="415" w:right="0" w:firstLine="0"/>
        <w:jc w:val="left"/>
        <w:rPr>
          <w:sz w:val="16"/>
        </w:rPr>
      </w:pPr>
      <w:r>
        <w:rPr>
          <w:color w:val="231F20"/>
          <w:sz w:val="16"/>
        </w:rPr>
        <w:t>Potential</w:t>
      </w:r>
      <w:r>
        <w:rPr>
          <w:color w:val="231F20"/>
          <w:spacing w:val="9"/>
          <w:sz w:val="16"/>
        </w:rPr>
        <w:t> </w:t>
      </w:r>
      <w:r>
        <w:rPr>
          <w:color w:val="231F20"/>
          <w:sz w:val="16"/>
        </w:rPr>
        <w:t>conﬂict</w:t>
      </w:r>
      <w:r>
        <w:rPr>
          <w:color w:val="231F20"/>
          <w:spacing w:val="9"/>
          <w:sz w:val="16"/>
        </w:rPr>
        <w:t> </w:t>
      </w:r>
      <w:r>
        <w:rPr>
          <w:color w:val="231F20"/>
          <w:sz w:val="16"/>
        </w:rPr>
        <w:t>of</w:t>
      </w:r>
      <w:r>
        <w:rPr>
          <w:color w:val="231F20"/>
          <w:spacing w:val="11"/>
          <w:sz w:val="16"/>
        </w:rPr>
        <w:t> </w:t>
      </w:r>
      <w:r>
        <w:rPr>
          <w:color w:val="231F20"/>
          <w:sz w:val="16"/>
        </w:rPr>
        <w:t>interest:</w:t>
      </w:r>
      <w:r>
        <w:rPr>
          <w:color w:val="231F20"/>
          <w:spacing w:val="9"/>
          <w:sz w:val="16"/>
        </w:rPr>
        <w:t> </w:t>
      </w:r>
      <w:r>
        <w:rPr>
          <w:color w:val="231F20"/>
          <w:sz w:val="16"/>
        </w:rPr>
        <w:t>Nothing</w:t>
      </w:r>
      <w:r>
        <w:rPr>
          <w:color w:val="231F20"/>
          <w:spacing w:val="10"/>
          <w:sz w:val="16"/>
        </w:rPr>
        <w:t> </w:t>
      </w:r>
      <w:r>
        <w:rPr>
          <w:color w:val="231F20"/>
          <w:sz w:val="16"/>
        </w:rPr>
        <w:t>to</w:t>
      </w:r>
      <w:r>
        <w:rPr>
          <w:color w:val="231F20"/>
          <w:spacing w:val="10"/>
          <w:sz w:val="16"/>
        </w:rPr>
        <w:t> </w:t>
      </w:r>
      <w:r>
        <w:rPr>
          <w:color w:val="231F20"/>
          <w:spacing w:val="-2"/>
          <w:sz w:val="16"/>
        </w:rPr>
        <w:t>report.</w:t>
      </w:r>
    </w:p>
    <w:p>
      <w:pPr>
        <w:spacing w:line="232" w:lineRule="auto" w:before="5"/>
        <w:ind w:left="256" w:right="204" w:firstLine="159"/>
        <w:jc w:val="left"/>
        <w:rPr>
          <w:sz w:val="16"/>
        </w:rPr>
      </w:pPr>
      <w:r>
        <w:rPr>
          <w:color w:val="231F20"/>
          <w:w w:val="105"/>
          <w:sz w:val="16"/>
        </w:rPr>
        <w:t>Published</w:t>
      </w:r>
      <w:r>
        <w:rPr>
          <w:color w:val="231F20"/>
          <w:spacing w:val="40"/>
          <w:w w:val="105"/>
          <w:sz w:val="16"/>
        </w:rPr>
        <w:t> </w:t>
      </w:r>
      <w:r>
        <w:rPr>
          <w:color w:val="231F20"/>
          <w:w w:val="105"/>
          <w:sz w:val="16"/>
        </w:rPr>
        <w:t>online</w:t>
      </w:r>
      <w:r>
        <w:rPr>
          <w:color w:val="231F20"/>
          <w:spacing w:val="40"/>
          <w:w w:val="105"/>
          <w:sz w:val="16"/>
        </w:rPr>
        <w:t> </w:t>
      </w:r>
      <w:r>
        <w:rPr>
          <w:color w:val="231F20"/>
          <w:w w:val="105"/>
          <w:sz w:val="16"/>
        </w:rPr>
        <w:t>24</w:t>
      </w:r>
      <w:r>
        <w:rPr>
          <w:color w:val="231F20"/>
          <w:spacing w:val="40"/>
          <w:w w:val="105"/>
          <w:sz w:val="16"/>
        </w:rPr>
        <w:t> </w:t>
      </w:r>
      <w:r>
        <w:rPr>
          <w:color w:val="231F20"/>
          <w:w w:val="105"/>
          <w:sz w:val="16"/>
        </w:rPr>
        <w:t>August</w:t>
      </w:r>
      <w:r>
        <w:rPr>
          <w:color w:val="231F20"/>
          <w:spacing w:val="40"/>
          <w:w w:val="105"/>
          <w:sz w:val="16"/>
        </w:rPr>
        <w:t> </w:t>
      </w:r>
      <w:r>
        <w:rPr>
          <w:color w:val="231F20"/>
          <w:w w:val="105"/>
          <w:sz w:val="16"/>
        </w:rPr>
        <w:t>2010</w:t>
      </w:r>
      <w:r>
        <w:rPr>
          <w:color w:val="231F20"/>
          <w:spacing w:val="40"/>
          <w:w w:val="105"/>
          <w:sz w:val="16"/>
        </w:rPr>
        <w:t> </w:t>
      </w:r>
      <w:r>
        <w:rPr>
          <w:color w:val="231F20"/>
          <w:w w:val="105"/>
          <w:sz w:val="16"/>
        </w:rPr>
        <w:t>in</w:t>
      </w:r>
      <w:r>
        <w:rPr>
          <w:color w:val="231F20"/>
          <w:spacing w:val="40"/>
          <w:w w:val="105"/>
          <w:sz w:val="16"/>
        </w:rPr>
        <w:t> </w:t>
      </w:r>
      <w:r>
        <w:rPr>
          <w:color w:val="231F20"/>
          <w:w w:val="105"/>
          <w:sz w:val="16"/>
        </w:rPr>
        <w:t>Wiley</w:t>
      </w:r>
      <w:r>
        <w:rPr>
          <w:color w:val="231F20"/>
          <w:spacing w:val="40"/>
          <w:w w:val="105"/>
          <w:sz w:val="16"/>
        </w:rPr>
        <w:t> </w:t>
      </w:r>
      <w:r>
        <w:rPr>
          <w:color w:val="231F20"/>
          <w:w w:val="105"/>
          <w:sz w:val="16"/>
        </w:rPr>
        <w:t>Online</w:t>
      </w:r>
      <w:r>
        <w:rPr>
          <w:color w:val="231F20"/>
          <w:spacing w:val="40"/>
          <w:w w:val="105"/>
          <w:sz w:val="16"/>
        </w:rPr>
        <w:t> </w:t>
      </w:r>
      <w:r>
        <w:rPr>
          <w:color w:val="231F20"/>
          <w:w w:val="105"/>
          <w:sz w:val="16"/>
        </w:rPr>
        <w:t>Library (wileyonlinelibrary.com).</w:t>
      </w:r>
      <w:r>
        <w:rPr>
          <w:color w:val="231F20"/>
          <w:spacing w:val="40"/>
          <w:w w:val="105"/>
          <w:sz w:val="16"/>
        </w:rPr>
        <w:t> </w:t>
      </w:r>
      <w:r>
        <w:rPr>
          <w:color w:val="231F20"/>
          <w:w w:val="105"/>
          <w:sz w:val="16"/>
        </w:rPr>
        <w:t>DOI: 10.1002/mds.23229</w:t>
      </w:r>
    </w:p>
    <w:p>
      <w:pPr>
        <w:spacing w:after="0" w:line="232" w:lineRule="auto"/>
        <w:jc w:val="left"/>
        <w:rPr>
          <w:sz w:val="16"/>
        </w:rPr>
        <w:sectPr>
          <w:type w:val="continuous"/>
          <w:pgSz w:w="12240" w:h="16200"/>
          <w:pgMar w:top="1060" w:bottom="280" w:left="1080" w:right="1080"/>
          <w:cols w:num="2" w:equalWidth="0">
            <w:col w:w="4862" w:space="179"/>
            <w:col w:w="5039"/>
          </w:cols>
        </w:sectPr>
      </w:pPr>
    </w:p>
    <w:p>
      <w:pPr>
        <w:pStyle w:val="BodyText"/>
        <w:rPr>
          <w:sz w:val="14"/>
        </w:rPr>
      </w:pPr>
      <w:r>
        <w:rPr>
          <w:sz w:val="14"/>
        </w:rPr>
        <mc:AlternateContent>
          <mc:Choice Requires="wps">
            <w:drawing>
              <wp:anchor distT="0" distB="0" distL="0" distR="0" allowOverlap="1" layoutInCell="1" locked="0" behindDoc="0" simplePos="0" relativeHeight="15732224">
                <wp:simplePos x="0" y="0"/>
                <wp:positionH relativeFrom="page">
                  <wp:posOffset>7555927</wp:posOffset>
                </wp:positionH>
                <wp:positionV relativeFrom="page">
                  <wp:posOffset>208819</wp:posOffset>
                </wp:positionV>
                <wp:extent cx="95885" cy="987552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95885" cy="9875520"/>
                        </a:xfrm>
                        <a:prstGeom prst="rect">
                          <a:avLst/>
                        </a:prstGeom>
                      </wps:spPr>
                      <wps:txbx>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wps:txbx>
                      <wps:bodyPr wrap="square" lIns="0" tIns="0" rIns="0" bIns="0" rtlCol="0" vert="vert">
                        <a:noAutofit/>
                      </wps:bodyPr>
                    </wps:wsp>
                  </a:graphicData>
                </a:graphic>
              </wp:anchor>
            </w:drawing>
          </mc:Choice>
          <mc:Fallback>
            <w:pict>
              <v:shape style="position:absolute;margin-left:594.954956pt;margin-top:16.442499pt;width:7.55pt;height:777.6pt;mso-position-horizontal-relative:page;mso-position-vertical-relative:page;z-index:15732224" type="#_x0000_t202" id="docshape8" filled="false" stroked="false">
                <v:textbox inset="0,0,0,0" style="layout-flow:vertical">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v:textbox>
                <w10:wrap type="none"/>
              </v:shape>
            </w:pict>
          </mc:Fallback>
        </mc:AlternateContent>
      </w:r>
    </w:p>
    <w:p>
      <w:pPr>
        <w:pStyle w:val="BodyText"/>
        <w:rPr>
          <w:sz w:val="14"/>
        </w:rPr>
      </w:pPr>
    </w:p>
    <w:p>
      <w:pPr>
        <w:pStyle w:val="BodyText"/>
        <w:rPr>
          <w:sz w:val="14"/>
        </w:rPr>
      </w:pPr>
    </w:p>
    <w:p>
      <w:pPr>
        <w:pStyle w:val="BodyText"/>
        <w:spacing w:before="39"/>
        <w:rPr>
          <w:sz w:val="14"/>
        </w:rPr>
      </w:pPr>
    </w:p>
    <w:p>
      <w:pPr>
        <w:spacing w:before="0"/>
        <w:ind w:left="256" w:right="0" w:firstLine="0"/>
        <w:jc w:val="left"/>
        <w:rPr>
          <w:i/>
          <w:sz w:val="14"/>
        </w:rPr>
      </w:pPr>
      <w:r>
        <w:rPr>
          <w:i/>
          <w:color w:val="231F20"/>
          <w:sz w:val="14"/>
        </w:rPr>
        <w:t>Movement</w:t>
      </w:r>
      <w:r>
        <w:rPr>
          <w:i/>
          <w:color w:val="231F20"/>
          <w:spacing w:val="8"/>
          <w:sz w:val="14"/>
        </w:rPr>
        <w:t> </w:t>
      </w:r>
      <w:r>
        <w:rPr>
          <w:i/>
          <w:color w:val="231F20"/>
          <w:sz w:val="14"/>
        </w:rPr>
        <w:t>Disorders,</w:t>
      </w:r>
      <w:r>
        <w:rPr>
          <w:i/>
          <w:color w:val="231F20"/>
          <w:spacing w:val="10"/>
          <w:sz w:val="14"/>
        </w:rPr>
        <w:t> </w:t>
      </w:r>
      <w:r>
        <w:rPr>
          <w:i/>
          <w:color w:val="231F20"/>
          <w:sz w:val="14"/>
        </w:rPr>
        <w:t>Vol.</w:t>
      </w:r>
      <w:r>
        <w:rPr>
          <w:i/>
          <w:color w:val="231F20"/>
          <w:spacing w:val="9"/>
          <w:sz w:val="14"/>
        </w:rPr>
        <w:t> </w:t>
      </w:r>
      <w:r>
        <w:rPr>
          <w:i/>
          <w:color w:val="231F20"/>
          <w:sz w:val="14"/>
        </w:rPr>
        <w:t>25,</w:t>
      </w:r>
      <w:r>
        <w:rPr>
          <w:i/>
          <w:color w:val="231F20"/>
          <w:spacing w:val="9"/>
          <w:sz w:val="14"/>
        </w:rPr>
        <w:t> </w:t>
      </w:r>
      <w:r>
        <w:rPr>
          <w:i/>
          <w:color w:val="231F20"/>
          <w:sz w:val="14"/>
        </w:rPr>
        <w:t>No.</w:t>
      </w:r>
      <w:r>
        <w:rPr>
          <w:i/>
          <w:color w:val="231F20"/>
          <w:spacing w:val="8"/>
          <w:sz w:val="14"/>
        </w:rPr>
        <w:t> </w:t>
      </w:r>
      <w:r>
        <w:rPr>
          <w:i/>
          <w:color w:val="231F20"/>
          <w:sz w:val="14"/>
        </w:rPr>
        <w:t>14,</w:t>
      </w:r>
      <w:r>
        <w:rPr>
          <w:i/>
          <w:color w:val="231F20"/>
          <w:spacing w:val="9"/>
          <w:sz w:val="14"/>
        </w:rPr>
        <w:t> </w:t>
      </w:r>
      <w:r>
        <w:rPr>
          <w:i/>
          <w:color w:val="231F20"/>
          <w:spacing w:val="-4"/>
          <w:sz w:val="14"/>
        </w:rPr>
        <w:t>2010</w:t>
      </w:r>
    </w:p>
    <w:p>
      <w:pPr>
        <w:spacing w:after="0"/>
        <w:jc w:val="left"/>
        <w:rPr>
          <w:i/>
          <w:sz w:val="14"/>
        </w:rPr>
        <w:sectPr>
          <w:type w:val="continuous"/>
          <w:pgSz w:w="12240" w:h="16200"/>
          <w:pgMar w:top="1060" w:bottom="280" w:left="1080" w:right="1080"/>
        </w:sectPr>
      </w:pPr>
    </w:p>
    <w:p>
      <w:pPr>
        <w:pStyle w:val="Heading3"/>
        <w:tabs>
          <w:tab w:pos="9859" w:val="right" w:leader="none"/>
        </w:tabs>
      </w:pPr>
      <w:r>
        <w:rPr>
          <w:color w:val="231F20"/>
        </w:rPr>
        <w:t>LETTERS</w:t>
      </w:r>
      <w:r>
        <w:rPr>
          <w:color w:val="231F20"/>
          <w:spacing w:val="12"/>
        </w:rPr>
        <w:t> </w:t>
      </w:r>
      <w:r>
        <w:rPr>
          <w:color w:val="231F20"/>
        </w:rPr>
        <w:t>TO</w:t>
      </w:r>
      <w:r>
        <w:rPr>
          <w:color w:val="231F20"/>
          <w:spacing w:val="10"/>
        </w:rPr>
        <w:t> </w:t>
      </w:r>
      <w:r>
        <w:rPr>
          <w:color w:val="231F20"/>
        </w:rPr>
        <w:t>THE</w:t>
      </w:r>
      <w:r>
        <w:rPr>
          <w:color w:val="231F20"/>
          <w:spacing w:val="11"/>
        </w:rPr>
        <w:t> </w:t>
      </w:r>
      <w:r>
        <w:rPr>
          <w:color w:val="231F20"/>
          <w:spacing w:val="-2"/>
        </w:rPr>
        <w:t>EDITOR</w:t>
      </w:r>
      <w:r>
        <w:rPr>
          <w:i w:val="0"/>
          <w:color w:val="231F20"/>
        </w:rPr>
        <w:tab/>
      </w:r>
      <w:r>
        <w:rPr>
          <w:color w:val="231F20"/>
          <w:spacing w:val="-4"/>
        </w:rPr>
        <w:t>2465</w:t>
      </w:r>
    </w:p>
    <w:p>
      <w:pPr>
        <w:pStyle w:val="BodyText"/>
        <w:rPr>
          <w:i/>
          <w:sz w:val="20"/>
        </w:rPr>
      </w:pPr>
    </w:p>
    <w:p>
      <w:pPr>
        <w:pStyle w:val="BodyText"/>
        <w:spacing w:before="81"/>
        <w:rPr>
          <w:i/>
          <w:sz w:val="20"/>
        </w:rPr>
      </w:pPr>
      <w:r>
        <w:rPr>
          <w:i/>
          <w:sz w:val="20"/>
        </w:rPr>
        <w:drawing>
          <wp:anchor distT="0" distB="0" distL="0" distR="0" allowOverlap="1" layoutInCell="1" locked="0" behindDoc="1" simplePos="0" relativeHeight="487591936">
            <wp:simplePos x="0" y="0"/>
            <wp:positionH relativeFrom="page">
              <wp:posOffset>1134719</wp:posOffset>
            </wp:positionH>
            <wp:positionV relativeFrom="paragraph">
              <wp:posOffset>213072</wp:posOffset>
            </wp:positionV>
            <wp:extent cx="5534291" cy="4581144"/>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9" cstate="print"/>
                    <a:stretch>
                      <a:fillRect/>
                    </a:stretch>
                  </pic:blipFill>
                  <pic:spPr>
                    <a:xfrm>
                      <a:off x="0" y="0"/>
                      <a:ext cx="5534291" cy="4581144"/>
                    </a:xfrm>
                    <a:prstGeom prst="rect">
                      <a:avLst/>
                    </a:prstGeom>
                  </pic:spPr>
                </pic:pic>
              </a:graphicData>
            </a:graphic>
          </wp:anchor>
        </w:drawing>
      </w:r>
    </w:p>
    <w:p>
      <w:pPr>
        <w:spacing w:line="232" w:lineRule="auto" w:before="90"/>
        <w:ind w:left="256" w:right="216" w:firstLine="0"/>
        <w:jc w:val="both"/>
        <w:rPr>
          <w:sz w:val="16"/>
        </w:rPr>
      </w:pPr>
      <w:r>
        <w:rPr>
          <w:color w:val="231F20"/>
          <w:sz w:val="16"/>
        </w:rPr>
        <w:t>FIG. 1 (A) Axial ﬂuid-attenuated inversion recovery (FLAIR) MRI brain. Multiple foci of hyperintenstiy in the subthalamic regions, brainstem,</w:t>
      </w:r>
      <w:r>
        <w:rPr>
          <w:color w:val="231F20"/>
          <w:spacing w:val="40"/>
          <w:sz w:val="16"/>
        </w:rPr>
        <w:t> </w:t>
      </w:r>
      <w:r>
        <w:rPr>
          <w:color w:val="231F20"/>
          <w:sz w:val="16"/>
        </w:rPr>
        <w:t>cerebellum (not shown), left occipital white matter, and left lentiform nucleus. (B) Repeat axial ﬂuid-attenuated inversion recovery (FLAIR) MRI</w:t>
      </w:r>
      <w:r>
        <w:rPr>
          <w:color w:val="231F20"/>
          <w:spacing w:val="40"/>
          <w:sz w:val="16"/>
        </w:rPr>
        <w:t> </w:t>
      </w:r>
      <w:r>
        <w:rPr>
          <w:color w:val="231F20"/>
          <w:sz w:val="16"/>
        </w:rPr>
        <w:t>brain three months after onset, showing resolution of lesions.</w:t>
      </w:r>
    </w:p>
    <w:p>
      <w:pPr>
        <w:pStyle w:val="BodyText"/>
        <w:spacing w:before="94"/>
        <w:rPr>
          <w:sz w:val="20"/>
        </w:rPr>
      </w:pPr>
    </w:p>
    <w:p>
      <w:pPr>
        <w:pStyle w:val="BodyText"/>
        <w:spacing w:after="0"/>
        <w:rPr>
          <w:sz w:val="20"/>
        </w:rPr>
        <w:sectPr>
          <w:pgSz w:w="12240" w:h="16200"/>
          <w:pgMar w:top="1040" w:bottom="280" w:left="1080" w:right="1080"/>
        </w:sectPr>
      </w:pPr>
    </w:p>
    <w:p>
      <w:pPr>
        <w:pStyle w:val="BodyText"/>
        <w:spacing w:line="230" w:lineRule="auto" w:before="79"/>
        <w:ind w:left="256" w:right="39" w:firstLine="199"/>
        <w:jc w:val="both"/>
      </w:pPr>
      <w:r>
        <w:rPr>
          <w:color w:val="231F20"/>
        </w:rPr>
        <w:t>The patient was commenced on benzylpenicillin and </w:t>
      </w:r>
      <w:r>
        <w:rPr>
          <w:color w:val="231F20"/>
        </w:rPr>
        <w:t>clo- nazepam. Phenelzine was recommenced. Her movement dis- order improved within a few days and resolved over the fol- lowing several days. On the 5th day, the patient developed a fever and left-sided 6th nerve palsy. The cerebrospinal ﬂuid (CSF) showed normal protein and glucose and one mononu- clear cell. Oligoclonal bands were not present. MRI brain revealed multiple nonenhancing foci of hyperintensity in the subthalamic</w:t>
      </w:r>
      <w:r>
        <w:rPr>
          <w:color w:val="231F20"/>
        </w:rPr>
        <w:t> regions bilaterally, brainstem, cerebellum, left lentiform nucleus, and left occipital white matter (Fig. 1A).</w:t>
      </w:r>
    </w:p>
    <w:p>
      <w:pPr>
        <w:pStyle w:val="BodyText"/>
        <w:spacing w:line="230" w:lineRule="auto" w:before="5"/>
        <w:ind w:left="256" w:right="38" w:firstLine="199"/>
        <w:jc w:val="both"/>
      </w:pPr>
      <w:r>
        <w:rPr>
          <w:color w:val="231F20"/>
        </w:rPr>
        <w:t>The patient then deteriorated with delirium, ataxia, nystag- mus,</w:t>
      </w:r>
      <w:r>
        <w:rPr>
          <w:color w:val="231F20"/>
          <w:spacing w:val="-5"/>
        </w:rPr>
        <w:t> </w:t>
      </w:r>
      <w:r>
        <w:rPr>
          <w:color w:val="231F20"/>
        </w:rPr>
        <w:t>a</w:t>
      </w:r>
      <w:r>
        <w:rPr>
          <w:color w:val="231F20"/>
          <w:spacing w:val="-3"/>
        </w:rPr>
        <w:t> </w:t>
      </w:r>
      <w:r>
        <w:rPr>
          <w:color w:val="231F20"/>
        </w:rPr>
        <w:t>left</w:t>
      </w:r>
      <w:r>
        <w:rPr>
          <w:color w:val="231F20"/>
          <w:spacing w:val="-5"/>
        </w:rPr>
        <w:t> </w:t>
      </w:r>
      <w:r>
        <w:rPr>
          <w:color w:val="231F20"/>
        </w:rPr>
        <w:t>Horner’s</w:t>
      </w:r>
      <w:r>
        <w:rPr>
          <w:color w:val="231F20"/>
          <w:spacing w:val="-3"/>
        </w:rPr>
        <w:t> </w:t>
      </w:r>
      <w:r>
        <w:rPr>
          <w:color w:val="231F20"/>
        </w:rPr>
        <w:t>syndrome</w:t>
      </w:r>
      <w:r>
        <w:rPr>
          <w:color w:val="231F20"/>
          <w:spacing w:val="-3"/>
        </w:rPr>
        <w:t> </w:t>
      </w:r>
      <w:r>
        <w:rPr>
          <w:color w:val="231F20"/>
        </w:rPr>
        <w:t>and</w:t>
      </w:r>
      <w:r>
        <w:rPr>
          <w:color w:val="231F20"/>
          <w:spacing w:val="-4"/>
        </w:rPr>
        <w:t> </w:t>
      </w:r>
      <w:r>
        <w:rPr>
          <w:color w:val="231F20"/>
        </w:rPr>
        <w:t>bilateral</w:t>
      </w:r>
      <w:r>
        <w:rPr>
          <w:color w:val="231F20"/>
          <w:spacing w:val="-3"/>
        </w:rPr>
        <w:t> </w:t>
      </w:r>
      <w:r>
        <w:rPr>
          <w:color w:val="231F20"/>
        </w:rPr>
        <w:t>sixth</w:t>
      </w:r>
      <w:r>
        <w:rPr>
          <w:color w:val="231F20"/>
          <w:spacing w:val="-3"/>
        </w:rPr>
        <w:t> </w:t>
      </w:r>
      <w:r>
        <w:rPr>
          <w:color w:val="231F20"/>
        </w:rPr>
        <w:t>nerve</w:t>
      </w:r>
      <w:r>
        <w:rPr>
          <w:color w:val="231F20"/>
          <w:spacing w:val="-3"/>
        </w:rPr>
        <w:t> </w:t>
      </w:r>
      <w:r>
        <w:rPr>
          <w:color w:val="231F20"/>
        </w:rPr>
        <w:t>palsies. Repeat cerebral MRI showed progression of the previous ﬁnd- ings,</w:t>
      </w:r>
      <w:r>
        <w:rPr>
          <w:color w:val="231F20"/>
          <w:spacing w:val="-5"/>
        </w:rPr>
        <w:t> </w:t>
      </w:r>
      <w:r>
        <w:rPr>
          <w:color w:val="231F20"/>
        </w:rPr>
        <w:t>with</w:t>
      </w:r>
      <w:r>
        <w:rPr>
          <w:color w:val="231F20"/>
          <w:spacing w:val="-5"/>
        </w:rPr>
        <w:t> </w:t>
      </w:r>
      <w:r>
        <w:rPr>
          <w:color w:val="231F20"/>
        </w:rPr>
        <w:t>patchy</w:t>
      </w:r>
      <w:r>
        <w:rPr>
          <w:color w:val="231F20"/>
          <w:spacing w:val="-5"/>
        </w:rPr>
        <w:t> </w:t>
      </w:r>
      <w:r>
        <w:rPr>
          <w:color w:val="231F20"/>
        </w:rPr>
        <w:t>areas</w:t>
      </w:r>
      <w:r>
        <w:rPr>
          <w:color w:val="231F20"/>
          <w:spacing w:val="-7"/>
        </w:rPr>
        <w:t> </w:t>
      </w:r>
      <w:r>
        <w:rPr>
          <w:color w:val="231F20"/>
        </w:rPr>
        <w:t>of</w:t>
      </w:r>
      <w:r>
        <w:rPr>
          <w:color w:val="231F20"/>
          <w:spacing w:val="-5"/>
        </w:rPr>
        <w:t> </w:t>
      </w:r>
      <w:r>
        <w:rPr>
          <w:color w:val="231F20"/>
        </w:rPr>
        <w:t>enhancement.</w:t>
      </w:r>
      <w:r>
        <w:rPr>
          <w:color w:val="231F20"/>
          <w:spacing w:val="-6"/>
        </w:rPr>
        <w:t> </w:t>
      </w:r>
      <w:r>
        <w:rPr>
          <w:color w:val="231F20"/>
        </w:rPr>
        <w:t>Methylprednisone</w:t>
      </w:r>
      <w:r>
        <w:rPr>
          <w:color w:val="231F20"/>
          <w:spacing w:val="-5"/>
        </w:rPr>
        <w:t> </w:t>
      </w:r>
      <w:r>
        <w:rPr>
          <w:color w:val="231F20"/>
        </w:rPr>
        <w:t>was commenced. Repeat CSF examination 2 days later showed 12 mononuclear cells, but remained otherwise normal.</w:t>
      </w:r>
    </w:p>
    <w:p>
      <w:pPr>
        <w:pStyle w:val="BodyText"/>
        <w:spacing w:line="230" w:lineRule="auto" w:before="4"/>
        <w:ind w:left="256" w:right="39" w:firstLine="199"/>
        <w:jc w:val="both"/>
      </w:pPr>
      <w:r>
        <w:rPr>
          <w:color w:val="231F20"/>
        </w:rPr>
        <w:t>Tests for HIV, </w:t>
      </w:r>
      <w:r>
        <w:rPr>
          <w:i/>
          <w:color w:val="231F20"/>
        </w:rPr>
        <w:t>Borrelia burgdorferi</w:t>
      </w:r>
      <w:r>
        <w:rPr>
          <w:color w:val="231F20"/>
        </w:rPr>
        <w:t>, </w:t>
      </w:r>
      <w:r>
        <w:rPr>
          <w:i/>
          <w:color w:val="231F20"/>
        </w:rPr>
        <w:t>B. henselae</w:t>
      </w:r>
      <w:r>
        <w:rPr>
          <w:color w:val="231F20"/>
        </w:rPr>
        <w:t>, </w:t>
      </w:r>
      <w:r>
        <w:rPr>
          <w:i/>
          <w:color w:val="231F20"/>
        </w:rPr>
        <w:t>B. </w:t>
      </w:r>
      <w:r>
        <w:rPr>
          <w:i/>
          <w:color w:val="231F20"/>
        </w:rPr>
        <w:t>per- tussis</w:t>
      </w:r>
      <w:r>
        <w:rPr>
          <w:color w:val="231F20"/>
        </w:rPr>
        <w:t>, EBV, CMV, Mycoplasma, Toxoplasmosis, Cryptococ- cal antigen, Q fever, Barmah Forest, HSV 1 and 2, Inﬂuenza</w:t>
      </w:r>
      <w:r>
        <w:rPr>
          <w:color w:val="231F20"/>
          <w:spacing w:val="80"/>
        </w:rPr>
        <w:t> </w:t>
      </w:r>
      <w:r>
        <w:rPr>
          <w:color w:val="231F20"/>
        </w:rPr>
        <w:t>A</w:t>
      </w:r>
      <w:r>
        <w:rPr>
          <w:color w:val="231F20"/>
          <w:spacing w:val="27"/>
        </w:rPr>
        <w:t> </w:t>
      </w:r>
      <w:r>
        <w:rPr>
          <w:color w:val="231F20"/>
        </w:rPr>
        <w:t>and</w:t>
      </w:r>
      <w:r>
        <w:rPr>
          <w:color w:val="231F20"/>
          <w:spacing w:val="28"/>
        </w:rPr>
        <w:t> </w:t>
      </w:r>
      <w:r>
        <w:rPr>
          <w:color w:val="231F20"/>
        </w:rPr>
        <w:t>B,</w:t>
      </w:r>
      <w:r>
        <w:rPr>
          <w:color w:val="231F20"/>
          <w:spacing w:val="28"/>
        </w:rPr>
        <w:t> </w:t>
      </w:r>
      <w:r>
        <w:rPr>
          <w:color w:val="231F20"/>
        </w:rPr>
        <w:t>Flavivirus,</w:t>
      </w:r>
      <w:r>
        <w:rPr>
          <w:color w:val="231F20"/>
          <w:spacing w:val="28"/>
        </w:rPr>
        <w:t> </w:t>
      </w:r>
      <w:r>
        <w:rPr>
          <w:color w:val="231F20"/>
        </w:rPr>
        <w:t>Ross</w:t>
      </w:r>
      <w:r>
        <w:rPr>
          <w:color w:val="231F20"/>
          <w:spacing w:val="28"/>
        </w:rPr>
        <w:t> </w:t>
      </w:r>
      <w:r>
        <w:rPr>
          <w:color w:val="231F20"/>
        </w:rPr>
        <w:t>River,</w:t>
      </w:r>
      <w:r>
        <w:rPr>
          <w:color w:val="231F20"/>
          <w:spacing w:val="27"/>
        </w:rPr>
        <w:t> </w:t>
      </w:r>
      <w:r>
        <w:rPr>
          <w:color w:val="231F20"/>
        </w:rPr>
        <w:t>HHV</w:t>
      </w:r>
      <w:r>
        <w:rPr>
          <w:color w:val="231F20"/>
          <w:spacing w:val="29"/>
        </w:rPr>
        <w:t> </w:t>
      </w:r>
      <w:r>
        <w:rPr>
          <w:color w:val="231F20"/>
        </w:rPr>
        <w:t>6,</w:t>
      </w:r>
      <w:r>
        <w:rPr>
          <w:color w:val="231F20"/>
          <w:spacing w:val="27"/>
        </w:rPr>
        <w:t> </w:t>
      </w:r>
      <w:r>
        <w:rPr>
          <w:color w:val="231F20"/>
        </w:rPr>
        <w:t>VZ,</w:t>
      </w:r>
      <w:r>
        <w:rPr>
          <w:color w:val="231F20"/>
          <w:spacing w:val="28"/>
        </w:rPr>
        <w:t> </w:t>
      </w:r>
      <w:r>
        <w:rPr>
          <w:color w:val="231F20"/>
        </w:rPr>
        <w:t>measles,</w:t>
      </w:r>
      <w:r>
        <w:rPr>
          <w:color w:val="231F20"/>
          <w:spacing w:val="27"/>
        </w:rPr>
        <w:t> </w:t>
      </w:r>
      <w:r>
        <w:rPr>
          <w:color w:val="231F20"/>
          <w:spacing w:val="-5"/>
        </w:rPr>
        <w:t>and</w:t>
      </w:r>
    </w:p>
    <w:p>
      <w:pPr>
        <w:pStyle w:val="BodyText"/>
        <w:spacing w:line="230" w:lineRule="auto" w:before="79"/>
        <w:ind w:left="256" w:right="217"/>
        <w:jc w:val="both"/>
      </w:pPr>
      <w:r>
        <w:rPr/>
        <w:br w:type="column"/>
      </w:r>
      <w:r>
        <w:rPr>
          <w:color w:val="231F20"/>
        </w:rPr>
        <w:t>Rickettsia serology were negative. Testing for metabolic </w:t>
      </w:r>
      <w:r>
        <w:rPr>
          <w:color w:val="231F20"/>
        </w:rPr>
        <w:t>dis- eases, as well as autoimmune markers including anti-GQ1b</w:t>
      </w:r>
      <w:r>
        <w:rPr>
          <w:color w:val="231F20"/>
          <w:spacing w:val="40"/>
        </w:rPr>
        <w:t> </w:t>
      </w:r>
      <w:r>
        <w:rPr>
          <w:color w:val="231F20"/>
        </w:rPr>
        <w:t>IgG antibodies were negative.</w:t>
      </w:r>
    </w:p>
    <w:p>
      <w:pPr>
        <w:pStyle w:val="BodyText"/>
        <w:spacing w:line="230" w:lineRule="auto" w:before="1"/>
        <w:ind w:left="256" w:right="217" w:firstLine="199"/>
        <w:jc w:val="both"/>
      </w:pPr>
      <w:r>
        <w:rPr>
          <w:color w:val="231F20"/>
        </w:rPr>
        <w:t>By day 17, the patient gradually improved, and was </w:t>
      </w:r>
      <w:r>
        <w:rPr>
          <w:color w:val="231F20"/>
        </w:rPr>
        <w:t>dis- charged to rehabilitation.</w:t>
      </w:r>
    </w:p>
    <w:p>
      <w:pPr>
        <w:pStyle w:val="BodyText"/>
        <w:spacing w:line="230" w:lineRule="auto" w:before="2"/>
        <w:ind w:left="256" w:right="223" w:firstLine="199"/>
        <w:jc w:val="both"/>
      </w:pPr>
      <w:r>
        <w:rPr>
          <w:color w:val="231F20"/>
        </w:rPr>
        <w:t>At</w:t>
      </w:r>
      <w:r>
        <w:rPr>
          <w:color w:val="231F20"/>
          <w:spacing w:val="-6"/>
        </w:rPr>
        <w:t> </w:t>
      </w:r>
      <w:r>
        <w:rPr>
          <w:color w:val="231F20"/>
        </w:rPr>
        <w:t>3-month</w:t>
      </w:r>
      <w:r>
        <w:rPr>
          <w:color w:val="231F20"/>
          <w:spacing w:val="-5"/>
        </w:rPr>
        <w:t> </w:t>
      </w:r>
      <w:r>
        <w:rPr>
          <w:color w:val="231F20"/>
        </w:rPr>
        <w:t>follow-up,</w:t>
      </w:r>
      <w:r>
        <w:rPr>
          <w:color w:val="231F20"/>
          <w:spacing w:val="-6"/>
        </w:rPr>
        <w:t> </w:t>
      </w:r>
      <w:r>
        <w:rPr>
          <w:color w:val="231F20"/>
        </w:rPr>
        <w:t>the</w:t>
      </w:r>
      <w:r>
        <w:rPr>
          <w:color w:val="231F20"/>
          <w:spacing w:val="-5"/>
        </w:rPr>
        <w:t> </w:t>
      </w:r>
      <w:r>
        <w:rPr>
          <w:color w:val="231F20"/>
        </w:rPr>
        <w:t>patient</w:t>
      </w:r>
      <w:r>
        <w:rPr>
          <w:color w:val="231F20"/>
          <w:spacing w:val="-5"/>
        </w:rPr>
        <w:t> </w:t>
      </w:r>
      <w:r>
        <w:rPr>
          <w:color w:val="231F20"/>
        </w:rPr>
        <w:t>had</w:t>
      </w:r>
      <w:r>
        <w:rPr>
          <w:color w:val="231F20"/>
          <w:spacing w:val="-7"/>
        </w:rPr>
        <w:t> </w:t>
      </w:r>
      <w:r>
        <w:rPr>
          <w:color w:val="231F20"/>
        </w:rPr>
        <w:t>experienced</w:t>
      </w:r>
      <w:r>
        <w:rPr>
          <w:color w:val="231F20"/>
          <w:spacing w:val="-7"/>
        </w:rPr>
        <w:t> </w:t>
      </w:r>
      <w:r>
        <w:rPr>
          <w:color w:val="231F20"/>
        </w:rPr>
        <w:t>complete resolution of her symptoms and MRI changes (Fig. 1B).</w:t>
      </w:r>
    </w:p>
    <w:p>
      <w:pPr>
        <w:pStyle w:val="BodyText"/>
        <w:spacing w:line="230" w:lineRule="auto"/>
        <w:ind w:left="256" w:right="213" w:firstLine="199"/>
        <w:jc w:val="both"/>
      </w:pPr>
      <w:r>
        <w:rPr>
          <w:color w:val="231F20"/>
        </w:rPr>
        <w:t>The clinical and radiological ﬁndings in our patient were consistent</w:t>
      </w:r>
      <w:r>
        <w:rPr>
          <w:color w:val="231F20"/>
          <w:spacing w:val="40"/>
        </w:rPr>
        <w:t> </w:t>
      </w:r>
      <w:r>
        <w:rPr>
          <w:color w:val="231F20"/>
        </w:rPr>
        <w:t>with</w:t>
      </w:r>
      <w:r>
        <w:rPr>
          <w:color w:val="231F20"/>
          <w:spacing w:val="40"/>
        </w:rPr>
        <w:t> </w:t>
      </w:r>
      <w:r>
        <w:rPr>
          <w:color w:val="231F20"/>
        </w:rPr>
        <w:t>ADEM.</w:t>
      </w:r>
      <w:r>
        <w:rPr>
          <w:color w:val="231F20"/>
          <w:spacing w:val="40"/>
        </w:rPr>
        <w:t> </w:t>
      </w:r>
      <w:r>
        <w:rPr>
          <w:color w:val="231F20"/>
        </w:rPr>
        <w:t>Although</w:t>
      </w:r>
      <w:r>
        <w:rPr>
          <w:color w:val="231F20"/>
          <w:spacing w:val="40"/>
        </w:rPr>
        <w:t> </w:t>
      </w:r>
      <w:r>
        <w:rPr>
          <w:color w:val="231F20"/>
        </w:rPr>
        <w:t>lesions</w:t>
      </w:r>
      <w:r>
        <w:rPr>
          <w:color w:val="231F20"/>
          <w:spacing w:val="40"/>
        </w:rPr>
        <w:t> </w:t>
      </w:r>
      <w:r>
        <w:rPr>
          <w:color w:val="231F20"/>
        </w:rPr>
        <w:t>in</w:t>
      </w:r>
      <w:r>
        <w:rPr>
          <w:color w:val="231F20"/>
          <w:spacing w:val="40"/>
        </w:rPr>
        <w:t> </w:t>
      </w:r>
      <w:r>
        <w:rPr>
          <w:color w:val="231F20"/>
        </w:rPr>
        <w:t>ADEM</w:t>
      </w:r>
      <w:r>
        <w:rPr>
          <w:color w:val="231F20"/>
          <w:spacing w:val="40"/>
        </w:rPr>
        <w:t> </w:t>
      </w:r>
      <w:r>
        <w:rPr>
          <w:color w:val="231F20"/>
        </w:rPr>
        <w:t>typi- cally</w:t>
      </w:r>
      <w:r>
        <w:rPr>
          <w:color w:val="231F20"/>
          <w:spacing w:val="40"/>
        </w:rPr>
        <w:t> </w:t>
      </w:r>
      <w:r>
        <w:rPr>
          <w:color w:val="231F20"/>
        </w:rPr>
        <w:t>enhance</w:t>
      </w:r>
      <w:r>
        <w:rPr>
          <w:color w:val="231F20"/>
          <w:spacing w:val="40"/>
        </w:rPr>
        <w:t> </w:t>
      </w:r>
      <w:r>
        <w:rPr>
          <w:color w:val="231F20"/>
        </w:rPr>
        <w:t>with</w:t>
      </w:r>
      <w:r>
        <w:rPr>
          <w:color w:val="231F20"/>
          <w:spacing w:val="40"/>
        </w:rPr>
        <w:t> </w:t>
      </w:r>
      <w:r>
        <w:rPr>
          <w:color w:val="231F20"/>
        </w:rPr>
        <w:t>gadolinium,</w:t>
      </w:r>
      <w:r>
        <w:rPr>
          <w:color w:val="231F20"/>
          <w:spacing w:val="40"/>
        </w:rPr>
        <w:t> </w:t>
      </w:r>
      <w:r>
        <w:rPr>
          <w:color w:val="231F20"/>
        </w:rPr>
        <w:t>Schwarz</w:t>
      </w:r>
      <w:r>
        <w:rPr>
          <w:color w:val="231F20"/>
          <w:spacing w:val="40"/>
        </w:rPr>
        <w:t> </w:t>
      </w:r>
      <w:r>
        <w:rPr>
          <w:color w:val="231F20"/>
        </w:rPr>
        <w:t>et</w:t>
      </w:r>
      <w:r>
        <w:rPr>
          <w:color w:val="231F20"/>
          <w:spacing w:val="40"/>
        </w:rPr>
        <w:t> </w:t>
      </w:r>
      <w:r>
        <w:rPr>
          <w:color w:val="231F20"/>
        </w:rPr>
        <w:t>al.</w:t>
      </w:r>
      <w:r>
        <w:rPr>
          <w:color w:val="231F20"/>
          <w:spacing w:val="40"/>
        </w:rPr>
        <w:t> </w:t>
      </w:r>
      <w:r>
        <w:rPr>
          <w:color w:val="231F20"/>
        </w:rPr>
        <w:t>reported patchy</w:t>
      </w:r>
      <w:r>
        <w:rPr>
          <w:color w:val="231F20"/>
          <w:spacing w:val="31"/>
        </w:rPr>
        <w:t> </w:t>
      </w:r>
      <w:r>
        <w:rPr>
          <w:color w:val="231F20"/>
        </w:rPr>
        <w:t>enhancement</w:t>
      </w:r>
      <w:r>
        <w:rPr>
          <w:color w:val="231F20"/>
          <w:spacing w:val="31"/>
        </w:rPr>
        <w:t> </w:t>
      </w:r>
      <w:r>
        <w:rPr>
          <w:color w:val="231F20"/>
        </w:rPr>
        <w:t>in</w:t>
      </w:r>
      <w:r>
        <w:rPr>
          <w:color w:val="231F20"/>
          <w:spacing w:val="30"/>
        </w:rPr>
        <w:t> </w:t>
      </w:r>
      <w:r>
        <w:rPr>
          <w:color w:val="231F20"/>
        </w:rPr>
        <w:t>24%</w:t>
      </w:r>
      <w:r>
        <w:rPr>
          <w:color w:val="231F20"/>
          <w:spacing w:val="31"/>
        </w:rPr>
        <w:t> </w:t>
      </w:r>
      <w:r>
        <w:rPr>
          <w:color w:val="231F20"/>
        </w:rPr>
        <w:t>of</w:t>
      </w:r>
      <w:r>
        <w:rPr>
          <w:color w:val="231F20"/>
          <w:spacing w:val="31"/>
        </w:rPr>
        <w:t> </w:t>
      </w:r>
      <w:r>
        <w:rPr>
          <w:color w:val="231F20"/>
        </w:rPr>
        <w:t>cases,</w:t>
      </w:r>
      <w:r>
        <w:rPr>
          <w:color w:val="231F20"/>
          <w:spacing w:val="31"/>
        </w:rPr>
        <w:t> </w:t>
      </w:r>
      <w:r>
        <w:rPr>
          <w:color w:val="231F20"/>
        </w:rPr>
        <w:t>with</w:t>
      </w:r>
      <w:r>
        <w:rPr>
          <w:color w:val="231F20"/>
          <w:spacing w:val="30"/>
        </w:rPr>
        <w:t> </w:t>
      </w:r>
      <w:r>
        <w:rPr>
          <w:color w:val="231F20"/>
        </w:rPr>
        <w:t>no</w:t>
      </w:r>
      <w:r>
        <w:rPr>
          <w:color w:val="231F20"/>
          <w:spacing w:val="30"/>
        </w:rPr>
        <w:t> </w:t>
      </w:r>
      <w:r>
        <w:rPr>
          <w:color w:val="231F20"/>
        </w:rPr>
        <w:t>enhancement in 4%.</w:t>
      </w:r>
      <w:r>
        <w:rPr>
          <w:color w:val="231F20"/>
          <w:vertAlign w:val="superscript"/>
        </w:rPr>
        <w:t>1</w:t>
      </w:r>
      <w:r>
        <w:rPr>
          <w:color w:val="231F20"/>
          <w:vertAlign w:val="baseline"/>
        </w:rPr>
        <w:t> Similarly, although CSF oligoclonal bands were nega- tive,</w:t>
      </w:r>
      <w:r>
        <w:rPr>
          <w:color w:val="231F20"/>
          <w:spacing w:val="-3"/>
          <w:vertAlign w:val="baseline"/>
        </w:rPr>
        <w:t> </w:t>
      </w:r>
      <w:r>
        <w:rPr>
          <w:color w:val="231F20"/>
          <w:vertAlign w:val="baseline"/>
        </w:rPr>
        <w:t>the</w:t>
      </w:r>
      <w:r>
        <w:rPr>
          <w:color w:val="231F20"/>
          <w:spacing w:val="-3"/>
          <w:vertAlign w:val="baseline"/>
        </w:rPr>
        <w:t> </w:t>
      </w:r>
      <w:r>
        <w:rPr>
          <w:color w:val="231F20"/>
          <w:vertAlign w:val="baseline"/>
        </w:rPr>
        <w:t>reported</w:t>
      </w:r>
      <w:r>
        <w:rPr>
          <w:color w:val="231F20"/>
          <w:spacing w:val="-3"/>
          <w:vertAlign w:val="baseline"/>
        </w:rPr>
        <w:t> </w:t>
      </w:r>
      <w:r>
        <w:rPr>
          <w:color w:val="231F20"/>
          <w:vertAlign w:val="baseline"/>
        </w:rPr>
        <w:t>percentage</w:t>
      </w:r>
      <w:r>
        <w:rPr>
          <w:color w:val="231F20"/>
          <w:spacing w:val="-3"/>
          <w:vertAlign w:val="baseline"/>
        </w:rPr>
        <w:t> </w:t>
      </w:r>
      <w:r>
        <w:rPr>
          <w:color w:val="231F20"/>
          <w:vertAlign w:val="baseline"/>
        </w:rPr>
        <w:t>in</w:t>
      </w:r>
      <w:r>
        <w:rPr>
          <w:color w:val="231F20"/>
          <w:spacing w:val="-3"/>
          <w:vertAlign w:val="baseline"/>
        </w:rPr>
        <w:t> </w:t>
      </w:r>
      <w:r>
        <w:rPr>
          <w:color w:val="231F20"/>
          <w:vertAlign w:val="baseline"/>
        </w:rPr>
        <w:t>ADEM</w:t>
      </w:r>
      <w:r>
        <w:rPr>
          <w:color w:val="231F20"/>
          <w:spacing w:val="-3"/>
          <w:vertAlign w:val="baseline"/>
        </w:rPr>
        <w:t> </w:t>
      </w:r>
      <w:r>
        <w:rPr>
          <w:color w:val="231F20"/>
          <w:vertAlign w:val="baseline"/>
        </w:rPr>
        <w:t>varies</w:t>
      </w:r>
      <w:r>
        <w:rPr>
          <w:color w:val="231F20"/>
          <w:spacing w:val="-3"/>
          <w:vertAlign w:val="baseline"/>
        </w:rPr>
        <w:t> </w:t>
      </w:r>
      <w:r>
        <w:rPr>
          <w:color w:val="231F20"/>
          <w:vertAlign w:val="baseline"/>
        </w:rPr>
        <w:t>from</w:t>
      </w:r>
      <w:r>
        <w:rPr>
          <w:color w:val="231F20"/>
          <w:spacing w:val="-3"/>
          <w:vertAlign w:val="baseline"/>
        </w:rPr>
        <w:t> </w:t>
      </w:r>
      <w:r>
        <w:rPr>
          <w:color w:val="231F20"/>
          <w:vertAlign w:val="baseline"/>
        </w:rPr>
        <w:t>0</w:t>
      </w:r>
      <w:r>
        <w:rPr>
          <w:color w:val="231F20"/>
          <w:spacing w:val="-3"/>
          <w:vertAlign w:val="baseline"/>
        </w:rPr>
        <w:t> </w:t>
      </w:r>
      <w:r>
        <w:rPr>
          <w:color w:val="231F20"/>
          <w:vertAlign w:val="baseline"/>
        </w:rPr>
        <w:t>to</w:t>
      </w:r>
      <w:r>
        <w:rPr>
          <w:color w:val="231F20"/>
          <w:spacing w:val="-3"/>
          <w:vertAlign w:val="baseline"/>
        </w:rPr>
        <w:t> </w:t>
      </w:r>
      <w:r>
        <w:rPr>
          <w:color w:val="231F20"/>
          <w:vertAlign w:val="baseline"/>
        </w:rPr>
        <w:t>58%</w:t>
      </w:r>
      <w:r>
        <w:rPr>
          <w:color w:val="231F20"/>
          <w:spacing w:val="-3"/>
          <w:vertAlign w:val="baseline"/>
        </w:rPr>
        <w:t> </w:t>
      </w:r>
      <w:r>
        <w:rPr>
          <w:color w:val="231F20"/>
          <w:vertAlign w:val="baseline"/>
        </w:rPr>
        <w:t>in contrast to multiple sclerosis where oligoclonal bands are detected in 90–95% of cases.</w:t>
      </w:r>
      <w:r>
        <w:rPr>
          <w:color w:val="231F20"/>
          <w:vertAlign w:val="superscript"/>
        </w:rPr>
        <w:t>2</w:t>
      </w:r>
      <w:r>
        <w:rPr>
          <w:color w:val="231F20"/>
          <w:vertAlign w:val="baseline"/>
        </w:rPr>
        <w:t> This lower percentage may be explained by polyclonal, rather than oligoclonal activation in ADEM in response to an antigenic challenge.</w:t>
      </w:r>
    </w:p>
    <w:p>
      <w:pPr>
        <w:pStyle w:val="BodyText"/>
        <w:spacing w:line="230" w:lineRule="auto" w:before="7"/>
        <w:ind w:left="256" w:right="216" w:firstLine="199"/>
        <w:jc w:val="both"/>
      </w:pPr>
      <w:r>
        <w:rPr>
          <w:color w:val="231F20"/>
        </w:rPr>
        <w:t>It is likely that the bilateral subthalamic lesions and </w:t>
      </w:r>
      <w:r>
        <w:rPr>
          <w:color w:val="231F20"/>
        </w:rPr>
        <w:t>possi- bly also the left lentiform nucleus lesion resulted in the de- velopment of chorea in our patient.</w:t>
      </w:r>
    </w:p>
    <w:p>
      <w:pPr>
        <w:pStyle w:val="BodyText"/>
        <w:spacing w:after="0" w:line="230" w:lineRule="auto"/>
        <w:jc w:val="both"/>
        <w:sectPr>
          <w:type w:val="continuous"/>
          <w:pgSz w:w="12240" w:h="16200"/>
          <w:pgMar w:top="1060" w:bottom="280" w:left="1080" w:right="1080"/>
          <w:cols w:num="2" w:equalWidth="0">
            <w:col w:w="4862" w:space="179"/>
            <w:col w:w="5039"/>
          </w:cols>
        </w:sectPr>
      </w:pPr>
    </w:p>
    <w:p>
      <w:pPr>
        <w:pStyle w:val="BodyText"/>
        <w:rPr>
          <w:sz w:val="14"/>
        </w:rPr>
      </w:pPr>
      <w:r>
        <w:rPr>
          <w:sz w:val="14"/>
        </w:rPr>
        <mc:AlternateContent>
          <mc:Choice Requires="wps">
            <w:drawing>
              <wp:anchor distT="0" distB="0" distL="0" distR="0" allowOverlap="1" layoutInCell="1" locked="0" behindDoc="0" simplePos="0" relativeHeight="15733248">
                <wp:simplePos x="0" y="0"/>
                <wp:positionH relativeFrom="page">
                  <wp:posOffset>7555927</wp:posOffset>
                </wp:positionH>
                <wp:positionV relativeFrom="page">
                  <wp:posOffset>208819</wp:posOffset>
                </wp:positionV>
                <wp:extent cx="95885" cy="987552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5885" cy="9875520"/>
                        </a:xfrm>
                        <a:prstGeom prst="rect">
                          <a:avLst/>
                        </a:prstGeom>
                      </wps:spPr>
                      <wps:txbx>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wps:txbx>
                      <wps:bodyPr wrap="square" lIns="0" tIns="0" rIns="0" bIns="0" rtlCol="0" vert="vert">
                        <a:noAutofit/>
                      </wps:bodyPr>
                    </wps:wsp>
                  </a:graphicData>
                </a:graphic>
              </wp:anchor>
            </w:drawing>
          </mc:Choice>
          <mc:Fallback>
            <w:pict>
              <v:shape style="position:absolute;margin-left:594.954956pt;margin-top:16.442499pt;width:7.55pt;height:777.6pt;mso-position-horizontal-relative:page;mso-position-vertical-relative:page;z-index:15733248" type="#_x0000_t202" id="docshape9" filled="false" stroked="false">
                <v:textbox inset="0,0,0,0" style="layout-flow:vertical">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v:textbox>
                <w10:wrap type="none"/>
              </v:shape>
            </w:pict>
          </mc:Fallback>
        </mc:AlternateContent>
      </w:r>
    </w:p>
    <w:p>
      <w:pPr>
        <w:pStyle w:val="BodyText"/>
        <w:rPr>
          <w:sz w:val="14"/>
        </w:rPr>
      </w:pPr>
    </w:p>
    <w:p>
      <w:pPr>
        <w:pStyle w:val="BodyText"/>
        <w:rPr>
          <w:sz w:val="14"/>
        </w:rPr>
      </w:pPr>
    </w:p>
    <w:p>
      <w:pPr>
        <w:pStyle w:val="BodyText"/>
        <w:spacing w:before="39"/>
        <w:rPr>
          <w:sz w:val="14"/>
        </w:rPr>
      </w:pPr>
    </w:p>
    <w:p>
      <w:pPr>
        <w:spacing w:before="0"/>
        <w:ind w:left="0" w:right="217" w:firstLine="0"/>
        <w:jc w:val="right"/>
        <w:rPr>
          <w:i/>
          <w:sz w:val="14"/>
        </w:rPr>
      </w:pPr>
      <w:r>
        <w:rPr>
          <w:i/>
          <w:color w:val="231F20"/>
          <w:sz w:val="14"/>
        </w:rPr>
        <w:t>Movement</w:t>
      </w:r>
      <w:r>
        <w:rPr>
          <w:i/>
          <w:color w:val="231F20"/>
          <w:spacing w:val="9"/>
          <w:sz w:val="14"/>
        </w:rPr>
        <w:t> </w:t>
      </w:r>
      <w:r>
        <w:rPr>
          <w:i/>
          <w:color w:val="231F20"/>
          <w:sz w:val="14"/>
        </w:rPr>
        <w:t>Disorders,</w:t>
      </w:r>
      <w:r>
        <w:rPr>
          <w:i/>
          <w:color w:val="231F20"/>
          <w:spacing w:val="9"/>
          <w:sz w:val="14"/>
        </w:rPr>
        <w:t> </w:t>
      </w:r>
      <w:r>
        <w:rPr>
          <w:i/>
          <w:color w:val="231F20"/>
          <w:sz w:val="14"/>
        </w:rPr>
        <w:t>Vol.</w:t>
      </w:r>
      <w:r>
        <w:rPr>
          <w:i/>
          <w:color w:val="231F20"/>
          <w:spacing w:val="8"/>
          <w:sz w:val="14"/>
        </w:rPr>
        <w:t> </w:t>
      </w:r>
      <w:r>
        <w:rPr>
          <w:i/>
          <w:color w:val="231F20"/>
          <w:sz w:val="14"/>
        </w:rPr>
        <w:t>25,</w:t>
      </w:r>
      <w:r>
        <w:rPr>
          <w:i/>
          <w:color w:val="231F20"/>
          <w:spacing w:val="9"/>
          <w:sz w:val="14"/>
        </w:rPr>
        <w:t> </w:t>
      </w:r>
      <w:r>
        <w:rPr>
          <w:i/>
          <w:color w:val="231F20"/>
          <w:sz w:val="14"/>
        </w:rPr>
        <w:t>No.</w:t>
      </w:r>
      <w:r>
        <w:rPr>
          <w:i/>
          <w:color w:val="231F20"/>
          <w:spacing w:val="9"/>
          <w:sz w:val="14"/>
        </w:rPr>
        <w:t> </w:t>
      </w:r>
      <w:r>
        <w:rPr>
          <w:i/>
          <w:color w:val="231F20"/>
          <w:sz w:val="14"/>
        </w:rPr>
        <w:t>14,</w:t>
      </w:r>
      <w:r>
        <w:rPr>
          <w:i/>
          <w:color w:val="231F20"/>
          <w:spacing w:val="8"/>
          <w:sz w:val="14"/>
        </w:rPr>
        <w:t> </w:t>
      </w:r>
      <w:r>
        <w:rPr>
          <w:i/>
          <w:color w:val="231F20"/>
          <w:spacing w:val="-4"/>
          <w:sz w:val="14"/>
        </w:rPr>
        <w:t>2010</w:t>
      </w:r>
    </w:p>
    <w:p>
      <w:pPr>
        <w:spacing w:after="0"/>
        <w:jc w:val="right"/>
        <w:rPr>
          <w:i/>
          <w:sz w:val="14"/>
        </w:rPr>
        <w:sectPr>
          <w:type w:val="continuous"/>
          <w:pgSz w:w="12240" w:h="16200"/>
          <w:pgMar w:top="1060" w:bottom="280" w:left="1080" w:right="1080"/>
        </w:sectPr>
      </w:pPr>
    </w:p>
    <w:p>
      <w:pPr>
        <w:pStyle w:val="Heading3"/>
        <w:tabs>
          <w:tab w:pos="3890" w:val="left" w:leader="none"/>
        </w:tabs>
        <w:ind w:left="256"/>
      </w:pPr>
      <w:r>
        <w:rPr>
          <w:color w:val="231F20"/>
          <w:spacing w:val="-4"/>
        </w:rPr>
        <w:t>2466</w:t>
      </w:r>
      <w:r>
        <w:rPr>
          <w:color w:val="231F20"/>
        </w:rPr>
        <w:tab/>
        <w:t>LETTERS</w:t>
      </w:r>
      <w:r>
        <w:rPr>
          <w:color w:val="231F20"/>
          <w:spacing w:val="12"/>
        </w:rPr>
        <w:t> </w:t>
      </w:r>
      <w:r>
        <w:rPr>
          <w:color w:val="231F20"/>
        </w:rPr>
        <w:t>TO</w:t>
      </w:r>
      <w:r>
        <w:rPr>
          <w:color w:val="231F20"/>
          <w:spacing w:val="10"/>
        </w:rPr>
        <w:t> </w:t>
      </w:r>
      <w:r>
        <w:rPr>
          <w:color w:val="231F20"/>
        </w:rPr>
        <w:t>THE</w:t>
      </w:r>
      <w:r>
        <w:rPr>
          <w:color w:val="231F20"/>
          <w:spacing w:val="11"/>
        </w:rPr>
        <w:t> </w:t>
      </w:r>
      <w:r>
        <w:rPr>
          <w:color w:val="231F20"/>
          <w:spacing w:val="-2"/>
        </w:rPr>
        <w:t>EDITOR</w:t>
      </w:r>
    </w:p>
    <w:p>
      <w:pPr>
        <w:pStyle w:val="BodyText"/>
        <w:spacing w:before="82"/>
        <w:rPr>
          <w:i/>
          <w:sz w:val="20"/>
        </w:rPr>
      </w:pPr>
    </w:p>
    <w:p>
      <w:pPr>
        <w:pStyle w:val="BodyText"/>
        <w:spacing w:after="0"/>
        <w:rPr>
          <w:i/>
          <w:sz w:val="20"/>
        </w:rPr>
        <w:sectPr>
          <w:pgSz w:w="12240" w:h="16200"/>
          <w:pgMar w:top="1040" w:bottom="280" w:left="1080" w:right="1080"/>
        </w:sectPr>
      </w:pPr>
    </w:p>
    <w:p>
      <w:pPr>
        <w:pStyle w:val="BodyText"/>
        <w:spacing w:line="230" w:lineRule="auto" w:before="78"/>
        <w:ind w:left="256" w:right="39" w:firstLine="199"/>
        <w:jc w:val="both"/>
      </w:pPr>
      <w:r>
        <w:rPr>
          <w:color w:val="231F20"/>
        </w:rPr>
        <w:t>The ﬁnding of an elevated ASOT raises the possibility of Sydenham’s chorea, but in the setting of a persistently </w:t>
      </w:r>
      <w:r>
        <w:rPr>
          <w:color w:val="231F20"/>
        </w:rPr>
        <w:t>nega- tive anti-DNAse B is insufﬁcient evidence to support a recent streptococcal infection. A normal value for anti-streptococcal antibody is difﬁcult to deﬁne, owing to disparities due to age, geography, and seasonal variation.</w:t>
      </w:r>
      <w:r>
        <w:rPr>
          <w:color w:val="231F20"/>
          <w:vertAlign w:val="superscript"/>
        </w:rPr>
        <w:t>3</w:t>
      </w:r>
    </w:p>
    <w:p>
      <w:pPr>
        <w:pStyle w:val="BodyText"/>
        <w:spacing w:line="230" w:lineRule="auto" w:before="3"/>
        <w:ind w:left="256" w:right="39" w:firstLine="199"/>
        <w:jc w:val="both"/>
      </w:pPr>
      <w:r>
        <w:rPr>
          <w:color w:val="231F20"/>
        </w:rPr>
        <w:t>Reports of choreiform movements associated with </w:t>
      </w:r>
      <w:r>
        <w:rPr>
          <w:color w:val="231F20"/>
        </w:rPr>
        <w:t>sodium valproate</w:t>
      </w:r>
      <w:r>
        <w:rPr>
          <w:color w:val="231F20"/>
          <w:spacing w:val="-2"/>
        </w:rPr>
        <w:t> </w:t>
      </w:r>
      <w:r>
        <w:rPr>
          <w:color w:val="231F20"/>
        </w:rPr>
        <w:t>have</w:t>
      </w:r>
      <w:r>
        <w:rPr>
          <w:color w:val="231F20"/>
          <w:spacing w:val="-3"/>
        </w:rPr>
        <w:t> </w:t>
      </w:r>
      <w:r>
        <w:rPr>
          <w:color w:val="231F20"/>
        </w:rPr>
        <w:t>been</w:t>
      </w:r>
      <w:r>
        <w:rPr>
          <w:color w:val="231F20"/>
          <w:spacing w:val="-2"/>
        </w:rPr>
        <w:t> </w:t>
      </w:r>
      <w:r>
        <w:rPr>
          <w:color w:val="231F20"/>
        </w:rPr>
        <w:t>described.</w:t>
      </w:r>
      <w:r>
        <w:rPr>
          <w:color w:val="231F20"/>
          <w:vertAlign w:val="superscript"/>
        </w:rPr>
        <w:t>4</w:t>
      </w:r>
      <w:r>
        <w:rPr>
          <w:color w:val="231F20"/>
          <w:spacing w:val="-3"/>
          <w:vertAlign w:val="baseline"/>
        </w:rPr>
        <w:t> </w:t>
      </w:r>
      <w:r>
        <w:rPr>
          <w:color w:val="231F20"/>
          <w:vertAlign w:val="baseline"/>
        </w:rPr>
        <w:t>However</w:t>
      </w:r>
      <w:r>
        <w:rPr>
          <w:color w:val="231F20"/>
          <w:spacing w:val="-2"/>
          <w:vertAlign w:val="baseline"/>
        </w:rPr>
        <w:t> </w:t>
      </w:r>
      <w:r>
        <w:rPr>
          <w:color w:val="231F20"/>
          <w:vertAlign w:val="baseline"/>
        </w:rPr>
        <w:t>our</w:t>
      </w:r>
      <w:r>
        <w:rPr>
          <w:color w:val="231F20"/>
          <w:spacing w:val="-3"/>
          <w:vertAlign w:val="baseline"/>
        </w:rPr>
        <w:t> </w:t>
      </w:r>
      <w:r>
        <w:rPr>
          <w:color w:val="231F20"/>
          <w:vertAlign w:val="baseline"/>
        </w:rPr>
        <w:t>patient</w:t>
      </w:r>
      <w:r>
        <w:rPr>
          <w:color w:val="231F20"/>
          <w:spacing w:val="-3"/>
          <w:vertAlign w:val="baseline"/>
        </w:rPr>
        <w:t> </w:t>
      </w:r>
      <w:r>
        <w:rPr>
          <w:color w:val="231F20"/>
          <w:vertAlign w:val="baseline"/>
        </w:rPr>
        <w:t>improved despite continuation of this medication. We have found one report of chorea associated with monoamine oxidase inhibi- tors.</w:t>
      </w:r>
      <w:r>
        <w:rPr>
          <w:color w:val="231F20"/>
          <w:vertAlign w:val="superscript"/>
        </w:rPr>
        <w:t>5</w:t>
      </w:r>
      <w:r>
        <w:rPr>
          <w:color w:val="231F20"/>
          <w:vertAlign w:val="baseline"/>
        </w:rPr>
        <w:t> However, the patient also improved despite recom- mencement</w:t>
      </w:r>
      <w:r>
        <w:rPr>
          <w:color w:val="231F20"/>
          <w:spacing w:val="-7"/>
          <w:vertAlign w:val="baseline"/>
        </w:rPr>
        <w:t> </w:t>
      </w:r>
      <w:r>
        <w:rPr>
          <w:color w:val="231F20"/>
          <w:vertAlign w:val="baseline"/>
        </w:rPr>
        <w:t>and</w:t>
      </w:r>
      <w:r>
        <w:rPr>
          <w:color w:val="231F20"/>
          <w:spacing w:val="-7"/>
          <w:vertAlign w:val="baseline"/>
        </w:rPr>
        <w:t> </w:t>
      </w:r>
      <w:r>
        <w:rPr>
          <w:color w:val="231F20"/>
          <w:vertAlign w:val="baseline"/>
        </w:rPr>
        <w:t>maintenance</w:t>
      </w:r>
      <w:r>
        <w:rPr>
          <w:color w:val="231F20"/>
          <w:spacing w:val="-7"/>
          <w:vertAlign w:val="baseline"/>
        </w:rPr>
        <w:t> </w:t>
      </w:r>
      <w:r>
        <w:rPr>
          <w:color w:val="231F20"/>
          <w:vertAlign w:val="baseline"/>
        </w:rPr>
        <w:t>of</w:t>
      </w:r>
      <w:r>
        <w:rPr>
          <w:color w:val="231F20"/>
          <w:spacing w:val="-7"/>
          <w:vertAlign w:val="baseline"/>
        </w:rPr>
        <w:t> </w:t>
      </w:r>
      <w:r>
        <w:rPr>
          <w:color w:val="231F20"/>
          <w:vertAlign w:val="baseline"/>
        </w:rPr>
        <w:t>her</w:t>
      </w:r>
      <w:r>
        <w:rPr>
          <w:color w:val="231F20"/>
          <w:spacing w:val="-7"/>
          <w:vertAlign w:val="baseline"/>
        </w:rPr>
        <w:t> </w:t>
      </w:r>
      <w:r>
        <w:rPr>
          <w:color w:val="231F20"/>
          <w:vertAlign w:val="baseline"/>
        </w:rPr>
        <w:t>monoamine</w:t>
      </w:r>
      <w:r>
        <w:rPr>
          <w:color w:val="231F20"/>
          <w:spacing w:val="-7"/>
          <w:vertAlign w:val="baseline"/>
        </w:rPr>
        <w:t> </w:t>
      </w:r>
      <w:r>
        <w:rPr>
          <w:color w:val="231F20"/>
          <w:vertAlign w:val="baseline"/>
        </w:rPr>
        <w:t>oxidase</w:t>
      </w:r>
      <w:r>
        <w:rPr>
          <w:color w:val="231F20"/>
          <w:spacing w:val="-7"/>
          <w:vertAlign w:val="baseline"/>
        </w:rPr>
        <w:t> </w:t>
      </w:r>
      <w:r>
        <w:rPr>
          <w:color w:val="231F20"/>
          <w:vertAlign w:val="baseline"/>
        </w:rPr>
        <w:t>inhibi- tor. An adverse reaction to this medication, such as serotonin syndrome, is therefore also unlikely. The elevation in CK is presumably related to muscle damage in the setting of intense and prolonged involuntary movements.</w:t>
      </w:r>
    </w:p>
    <w:p>
      <w:pPr>
        <w:pStyle w:val="BodyText"/>
        <w:spacing w:line="230" w:lineRule="auto" w:before="5"/>
        <w:ind w:left="256" w:right="39" w:firstLine="199"/>
        <w:jc w:val="both"/>
      </w:pPr>
      <w:r>
        <w:rPr>
          <w:color w:val="231F20"/>
        </w:rPr>
        <w:t>Intravenous</w:t>
      </w:r>
      <w:r>
        <w:rPr>
          <w:color w:val="231F20"/>
          <w:spacing w:val="34"/>
        </w:rPr>
        <w:t> </w:t>
      </w:r>
      <w:r>
        <w:rPr>
          <w:color w:val="231F20"/>
        </w:rPr>
        <w:t>immunoglobulin</w:t>
      </w:r>
      <w:r>
        <w:rPr>
          <w:color w:val="231F20"/>
          <w:spacing w:val="34"/>
        </w:rPr>
        <w:t> </w:t>
      </w:r>
      <w:r>
        <w:rPr>
          <w:color w:val="231F20"/>
        </w:rPr>
        <w:t>has</w:t>
      </w:r>
      <w:r>
        <w:rPr>
          <w:color w:val="231F20"/>
          <w:spacing w:val="34"/>
        </w:rPr>
        <w:t> </w:t>
      </w:r>
      <w:r>
        <w:rPr>
          <w:color w:val="231F20"/>
        </w:rPr>
        <w:t>been</w:t>
      </w:r>
      <w:r>
        <w:rPr>
          <w:color w:val="231F20"/>
          <w:spacing w:val="34"/>
        </w:rPr>
        <w:t> </w:t>
      </w:r>
      <w:r>
        <w:rPr>
          <w:color w:val="231F20"/>
        </w:rPr>
        <w:t>used</w:t>
      </w:r>
      <w:r>
        <w:rPr>
          <w:color w:val="231F20"/>
          <w:spacing w:val="34"/>
        </w:rPr>
        <w:t> </w:t>
      </w:r>
      <w:r>
        <w:rPr>
          <w:color w:val="231F20"/>
        </w:rPr>
        <w:t>for</w:t>
      </w:r>
      <w:r>
        <w:rPr>
          <w:color w:val="231F20"/>
          <w:spacing w:val="34"/>
        </w:rPr>
        <w:t> </w:t>
      </w:r>
      <w:r>
        <w:rPr>
          <w:color w:val="231F20"/>
        </w:rPr>
        <w:t>treatment of steroid-resistant ADEM with success in a few cases, however it is unclear whether the improvement was co-inci- dental with the self-limiting nature of the disease.</w:t>
      </w:r>
      <w:r>
        <w:rPr>
          <w:color w:val="231F20"/>
          <w:vertAlign w:val="superscript"/>
        </w:rPr>
        <w:t>6</w:t>
      </w:r>
      <w:r>
        <w:rPr>
          <w:color w:val="231F20"/>
          <w:vertAlign w:val="baseline"/>
        </w:rPr>
        <w:t> Reports regarding the effectiveness of plasmapheresis have been </w:t>
      </w:r>
      <w:r>
        <w:rPr>
          <w:color w:val="231F20"/>
          <w:spacing w:val="-2"/>
          <w:vertAlign w:val="baseline"/>
        </w:rPr>
        <w:t>inconsistent.</w:t>
      </w:r>
      <w:r>
        <w:rPr>
          <w:color w:val="231F20"/>
          <w:spacing w:val="-2"/>
          <w:vertAlign w:val="superscript"/>
        </w:rPr>
        <w:t>7</w:t>
      </w:r>
    </w:p>
    <w:p>
      <w:pPr>
        <w:pStyle w:val="BodyText"/>
        <w:spacing w:line="230" w:lineRule="auto" w:before="4"/>
        <w:ind w:left="256" w:right="40" w:firstLine="199"/>
        <w:jc w:val="both"/>
      </w:pPr>
      <w:r>
        <w:rPr>
          <w:color w:val="231F20"/>
        </w:rPr>
        <w:t>In conclusion, we describe an adult patient who </w:t>
      </w:r>
      <w:r>
        <w:rPr>
          <w:color w:val="231F20"/>
        </w:rPr>
        <w:t>presented with an involuntary movement disorder and subsequently</w:t>
      </w:r>
      <w:r>
        <w:rPr>
          <w:color w:val="231F20"/>
          <w:spacing w:val="80"/>
        </w:rPr>
        <w:t> </w:t>
      </w:r>
      <w:r>
        <w:rPr>
          <w:color w:val="231F20"/>
        </w:rPr>
        <w:t>went on to develop a typical clinical course and radiological ﬁndings consistent with ADEM.</w:t>
      </w:r>
    </w:p>
    <w:p>
      <w:pPr>
        <w:pStyle w:val="Heading2"/>
        <w:spacing w:before="185"/>
        <w:ind w:left="1657"/>
        <w:jc w:val="both"/>
      </w:pPr>
      <w:r>
        <w:rPr>
          <w:color w:val="231F20"/>
          <w:w w:val="105"/>
        </w:rPr>
        <w:t>Legend</w:t>
      </w:r>
      <w:r>
        <w:rPr>
          <w:color w:val="231F20"/>
          <w:spacing w:val="18"/>
          <w:w w:val="105"/>
        </w:rPr>
        <w:t> </w:t>
      </w:r>
      <w:r>
        <w:rPr>
          <w:color w:val="231F20"/>
          <w:w w:val="105"/>
        </w:rPr>
        <w:t>to</w:t>
      </w:r>
      <w:r>
        <w:rPr>
          <w:color w:val="231F20"/>
          <w:spacing w:val="16"/>
          <w:w w:val="105"/>
        </w:rPr>
        <w:t> </w:t>
      </w:r>
      <w:r>
        <w:rPr>
          <w:color w:val="231F20"/>
          <w:w w:val="105"/>
        </w:rPr>
        <w:t>the</w:t>
      </w:r>
      <w:r>
        <w:rPr>
          <w:color w:val="231F20"/>
          <w:spacing w:val="18"/>
          <w:w w:val="105"/>
        </w:rPr>
        <w:t> </w:t>
      </w:r>
      <w:r>
        <w:rPr>
          <w:color w:val="231F20"/>
          <w:spacing w:val="-2"/>
          <w:w w:val="105"/>
        </w:rPr>
        <w:t>Video</w:t>
      </w:r>
    </w:p>
    <w:p>
      <w:pPr>
        <w:pStyle w:val="BodyText"/>
        <w:spacing w:line="230" w:lineRule="auto" w:before="93"/>
        <w:ind w:left="256" w:right="40" w:firstLine="199"/>
        <w:jc w:val="both"/>
      </w:pPr>
      <w:r>
        <w:rPr>
          <w:color w:val="231F20"/>
        </w:rPr>
        <w:t>Video clip of initial examination showing </w:t>
      </w:r>
      <w:r>
        <w:rPr>
          <w:color w:val="231F20"/>
        </w:rPr>
        <w:t>choreiform movements affecting upper limbs and lower limbs, particu- larly on the left.</w:t>
      </w:r>
    </w:p>
    <w:p>
      <w:pPr>
        <w:pStyle w:val="BodyText"/>
        <w:spacing w:line="198" w:lineRule="exact"/>
        <w:ind w:left="456"/>
        <w:jc w:val="both"/>
      </w:pPr>
      <w:r>
        <w:rPr>
          <w:color w:val="231F20"/>
        </w:rPr>
        <w:t>Financial</w:t>
      </w:r>
      <w:r>
        <w:rPr>
          <w:color w:val="231F20"/>
          <w:spacing w:val="31"/>
        </w:rPr>
        <w:t> </w:t>
      </w:r>
      <w:r>
        <w:rPr>
          <w:color w:val="231F20"/>
        </w:rPr>
        <w:t>Disclosures:</w:t>
      </w:r>
      <w:r>
        <w:rPr>
          <w:color w:val="231F20"/>
          <w:spacing w:val="31"/>
        </w:rPr>
        <w:t> </w:t>
      </w:r>
      <w:r>
        <w:rPr>
          <w:color w:val="231F20"/>
        </w:rPr>
        <w:t>Nothing</w:t>
      </w:r>
      <w:r>
        <w:rPr>
          <w:color w:val="231F20"/>
          <w:spacing w:val="31"/>
        </w:rPr>
        <w:t> </w:t>
      </w:r>
      <w:r>
        <w:rPr>
          <w:color w:val="231F20"/>
        </w:rPr>
        <w:t>to</w:t>
      </w:r>
      <w:r>
        <w:rPr>
          <w:color w:val="231F20"/>
          <w:spacing w:val="31"/>
        </w:rPr>
        <w:t> </w:t>
      </w:r>
      <w:r>
        <w:rPr>
          <w:color w:val="231F20"/>
          <w:spacing w:val="-2"/>
        </w:rPr>
        <w:t>disclose.</w:t>
      </w:r>
    </w:p>
    <w:p>
      <w:pPr>
        <w:pStyle w:val="BodyText"/>
        <w:spacing w:line="230" w:lineRule="auto" w:before="3"/>
        <w:ind w:left="256" w:right="39" w:firstLine="199"/>
        <w:jc w:val="both"/>
      </w:pPr>
      <w:r>
        <w:rPr>
          <w:color w:val="231F20"/>
        </w:rPr>
        <w:t>Author Roles: Ainhi Ha: Writing of the ﬁrst draft, </w:t>
      </w:r>
      <w:r>
        <w:rPr>
          <w:color w:val="231F20"/>
        </w:rPr>
        <w:t>Review and Critique of Manuscript. Carolyn Sue: Conception, Orga- nization, Execution of Research project; Design, Execution, Review and Critique of Statistical Analysis; and Writing of</w:t>
      </w:r>
      <w:r>
        <w:rPr>
          <w:color w:val="231F20"/>
          <w:spacing w:val="80"/>
        </w:rPr>
        <w:t> </w:t>
      </w:r>
      <w:r>
        <w:rPr>
          <w:color w:val="231F20"/>
        </w:rPr>
        <w:t>the ﬁrst draft, Review and Critique of Manuscript.</w:t>
      </w:r>
    </w:p>
    <w:p>
      <w:pPr>
        <w:spacing w:line="230" w:lineRule="auto" w:before="99"/>
        <w:ind w:left="2764" w:right="39" w:firstLine="541"/>
        <w:jc w:val="right"/>
        <w:rPr>
          <w:i/>
          <w:sz w:val="18"/>
        </w:rPr>
      </w:pPr>
      <w:r>
        <w:rPr>
          <w:color w:val="231F20"/>
          <w:sz w:val="18"/>
        </w:rPr>
        <w:t>Ainhi D. Ha, </w:t>
      </w:r>
      <w:r>
        <w:rPr>
          <w:color w:val="231F20"/>
          <w:sz w:val="18"/>
        </w:rPr>
        <w:t>MBBS </w:t>
      </w:r>
      <w:r>
        <w:rPr>
          <w:i/>
          <w:color w:val="231F20"/>
          <w:sz w:val="18"/>
        </w:rPr>
        <w:t>Department of Neurology Royal</w:t>
      </w:r>
      <w:r>
        <w:rPr>
          <w:i/>
          <w:color w:val="231F20"/>
          <w:spacing w:val="12"/>
          <w:sz w:val="18"/>
        </w:rPr>
        <w:t> </w:t>
      </w:r>
      <w:r>
        <w:rPr>
          <w:i/>
          <w:color w:val="231F20"/>
          <w:sz w:val="18"/>
        </w:rPr>
        <w:t>North</w:t>
      </w:r>
      <w:r>
        <w:rPr>
          <w:i/>
          <w:color w:val="231F20"/>
          <w:spacing w:val="11"/>
          <w:sz w:val="18"/>
        </w:rPr>
        <w:t> </w:t>
      </w:r>
      <w:r>
        <w:rPr>
          <w:i/>
          <w:color w:val="231F20"/>
          <w:sz w:val="18"/>
        </w:rPr>
        <w:t>Shore</w:t>
      </w:r>
      <w:r>
        <w:rPr>
          <w:i/>
          <w:color w:val="231F20"/>
          <w:spacing w:val="12"/>
          <w:sz w:val="18"/>
        </w:rPr>
        <w:t> </w:t>
      </w:r>
      <w:r>
        <w:rPr>
          <w:i/>
          <w:color w:val="231F20"/>
          <w:spacing w:val="-2"/>
          <w:sz w:val="18"/>
        </w:rPr>
        <w:t>Hospital</w:t>
      </w:r>
    </w:p>
    <w:p>
      <w:pPr>
        <w:spacing w:line="202" w:lineRule="exact" w:before="0"/>
        <w:ind w:left="0" w:right="39" w:firstLine="0"/>
        <w:jc w:val="right"/>
        <w:rPr>
          <w:i/>
          <w:sz w:val="18"/>
        </w:rPr>
      </w:pPr>
      <w:r>
        <w:rPr>
          <w:i/>
          <w:color w:val="231F20"/>
          <w:spacing w:val="-2"/>
          <w:sz w:val="18"/>
        </w:rPr>
        <w:t>Sydney</w:t>
      </w:r>
    </w:p>
    <w:p>
      <w:pPr>
        <w:spacing w:line="230" w:lineRule="auto" w:before="199"/>
        <w:ind w:left="2051" w:right="39" w:firstLine="77"/>
        <w:jc w:val="right"/>
        <w:rPr>
          <w:i/>
          <w:sz w:val="18"/>
        </w:rPr>
      </w:pPr>
      <w:r>
        <w:rPr>
          <w:color w:val="231F20"/>
          <w:sz w:val="18"/>
        </w:rPr>
        <w:t>Carolyn Sue, MBBS, PhD, </w:t>
      </w:r>
      <w:r>
        <w:rPr>
          <w:color w:val="231F20"/>
          <w:sz w:val="18"/>
        </w:rPr>
        <w:t>FRACP* </w:t>
      </w:r>
      <w:r>
        <w:rPr>
          <w:i/>
          <w:color w:val="231F20"/>
          <w:sz w:val="18"/>
        </w:rPr>
        <w:t>Medicine, Northern Clinical School Kolling Institute of Medical Research Royal North Shore Hospital</w:t>
      </w:r>
    </w:p>
    <w:p>
      <w:pPr>
        <w:spacing w:line="230" w:lineRule="auto" w:before="2"/>
        <w:ind w:left="3115" w:right="39" w:hanging="143"/>
        <w:jc w:val="right"/>
        <w:rPr>
          <w:i/>
          <w:sz w:val="18"/>
        </w:rPr>
      </w:pPr>
      <w:r>
        <w:rPr>
          <w:i/>
          <w:color w:val="231F20"/>
          <w:sz w:val="18"/>
        </w:rPr>
        <w:t>The University of </w:t>
      </w:r>
      <w:r>
        <w:rPr>
          <w:i/>
          <w:color w:val="231F20"/>
          <w:sz w:val="18"/>
        </w:rPr>
        <w:t>Sydney New</w:t>
      </w:r>
      <w:r>
        <w:rPr>
          <w:i/>
          <w:color w:val="231F20"/>
          <w:spacing w:val="10"/>
          <w:sz w:val="18"/>
        </w:rPr>
        <w:t> </w:t>
      </w:r>
      <w:r>
        <w:rPr>
          <w:i/>
          <w:color w:val="231F20"/>
          <w:sz w:val="18"/>
        </w:rPr>
        <w:t>South</w:t>
      </w:r>
      <w:r>
        <w:rPr>
          <w:i/>
          <w:color w:val="231F20"/>
          <w:spacing w:val="10"/>
          <w:sz w:val="18"/>
        </w:rPr>
        <w:t> </w:t>
      </w:r>
      <w:r>
        <w:rPr>
          <w:i/>
          <w:color w:val="231F20"/>
          <w:sz w:val="18"/>
        </w:rPr>
        <w:t>Wales</w:t>
      </w:r>
      <w:r>
        <w:rPr>
          <w:i/>
          <w:color w:val="231F20"/>
          <w:spacing w:val="11"/>
          <w:sz w:val="18"/>
        </w:rPr>
        <w:t> </w:t>
      </w:r>
      <w:r>
        <w:rPr>
          <w:i/>
          <w:color w:val="231F20"/>
          <w:spacing w:val="-4"/>
          <w:sz w:val="18"/>
        </w:rPr>
        <w:t>2006</w:t>
      </w:r>
    </w:p>
    <w:p>
      <w:pPr>
        <w:spacing w:line="197" w:lineRule="exact" w:before="0"/>
        <w:ind w:left="0" w:right="39" w:firstLine="0"/>
        <w:jc w:val="right"/>
        <w:rPr>
          <w:i/>
          <w:sz w:val="18"/>
        </w:rPr>
      </w:pPr>
      <w:r>
        <w:rPr>
          <w:i/>
          <w:color w:val="231F20"/>
          <w:spacing w:val="-2"/>
          <w:sz w:val="18"/>
        </w:rPr>
        <w:t>Australia</w:t>
      </w:r>
    </w:p>
    <w:p>
      <w:pPr>
        <w:spacing w:line="203" w:lineRule="exact" w:before="0"/>
        <w:ind w:left="0" w:right="40" w:firstLine="0"/>
        <w:jc w:val="right"/>
        <w:rPr>
          <w:i/>
          <w:sz w:val="18"/>
        </w:rPr>
      </w:pPr>
      <w:r>
        <w:rPr>
          <w:i/>
          <w:color w:val="231F20"/>
          <w:sz w:val="18"/>
        </w:rPr>
        <w:t>*E-mail:</w:t>
      </w:r>
      <w:r>
        <w:rPr>
          <w:i/>
          <w:color w:val="231F20"/>
          <w:spacing w:val="8"/>
          <w:sz w:val="18"/>
        </w:rPr>
        <w:t> </w:t>
      </w:r>
      <w:hyperlink r:id="rId10">
        <w:r>
          <w:rPr>
            <w:i/>
            <w:color w:val="231F20"/>
            <w:spacing w:val="-2"/>
            <w:sz w:val="18"/>
          </w:rPr>
          <w:t>csue@med.usyd.edu.au</w:t>
        </w:r>
      </w:hyperlink>
    </w:p>
    <w:p>
      <w:pPr>
        <w:pStyle w:val="BodyText"/>
        <w:spacing w:before="173"/>
        <w:rPr>
          <w:i/>
        </w:rPr>
      </w:pPr>
    </w:p>
    <w:p>
      <w:pPr>
        <w:pStyle w:val="Heading2"/>
      </w:pPr>
      <w:r>
        <w:rPr>
          <w:color w:val="231F20"/>
          <w:spacing w:val="-2"/>
          <w:w w:val="105"/>
        </w:rPr>
        <w:t>References</w:t>
      </w:r>
    </w:p>
    <w:p>
      <w:pPr>
        <w:pStyle w:val="ListParagraph"/>
        <w:numPr>
          <w:ilvl w:val="0"/>
          <w:numId w:val="4"/>
        </w:numPr>
        <w:tabs>
          <w:tab w:pos="502" w:val="left" w:leader="none"/>
          <w:tab w:pos="504" w:val="left" w:leader="none"/>
        </w:tabs>
        <w:spacing w:line="235" w:lineRule="auto" w:before="190" w:after="0"/>
        <w:ind w:left="504" w:right="38" w:hanging="248"/>
        <w:jc w:val="both"/>
        <w:rPr>
          <w:sz w:val="16"/>
        </w:rPr>
      </w:pPr>
      <w:r>
        <w:rPr>
          <w:color w:val="231F20"/>
          <w:sz w:val="16"/>
        </w:rPr>
        <w:t>Schwarz S, Mohr A, Knauth M, Wildemann B, Storch-Hagen-</w:t>
      </w:r>
      <w:r>
        <w:rPr>
          <w:color w:val="231F20"/>
          <w:spacing w:val="40"/>
          <w:sz w:val="16"/>
        </w:rPr>
        <w:t> </w:t>
      </w:r>
      <w:r>
        <w:rPr>
          <w:color w:val="231F20"/>
          <w:sz w:val="16"/>
        </w:rPr>
        <w:t>locher B. Acute disseminated encephalomyelitis: a follow-</w:t>
      </w:r>
      <w:r>
        <w:rPr>
          <w:color w:val="231F20"/>
          <w:sz w:val="16"/>
        </w:rPr>
        <w:t>up</w:t>
      </w:r>
      <w:r>
        <w:rPr>
          <w:color w:val="231F20"/>
          <w:spacing w:val="80"/>
          <w:sz w:val="16"/>
        </w:rPr>
        <w:t> </w:t>
      </w:r>
      <w:r>
        <w:rPr>
          <w:color w:val="231F20"/>
          <w:sz w:val="16"/>
        </w:rPr>
        <w:t>study of 40 adult patients. Neurology 2001;56:1313–1318.</w:t>
      </w:r>
    </w:p>
    <w:p>
      <w:pPr>
        <w:spacing w:line="232" w:lineRule="auto" w:before="81"/>
        <w:ind w:left="504" w:right="216" w:firstLine="0"/>
        <w:jc w:val="both"/>
        <w:rPr>
          <w:sz w:val="16"/>
        </w:rPr>
      </w:pPr>
      <w:r>
        <w:rPr/>
        <w:br w:type="column"/>
      </w:r>
      <w:r>
        <w:rPr>
          <w:color w:val="231F20"/>
          <w:sz w:val="16"/>
        </w:rPr>
        <w:t>cian or primary care physician. Pediatr Infect Dis J </w:t>
      </w:r>
      <w:r>
        <w:rPr>
          <w:color w:val="231F20"/>
          <w:sz w:val="16"/>
        </w:rPr>
        <w:t>2002;21:420–</w:t>
      </w:r>
      <w:r>
        <w:rPr>
          <w:color w:val="231F20"/>
          <w:spacing w:val="40"/>
          <w:sz w:val="16"/>
        </w:rPr>
        <w:t> </w:t>
      </w:r>
      <w:r>
        <w:rPr>
          <w:color w:val="231F20"/>
          <w:sz w:val="16"/>
        </w:rPr>
        <w:t>456; quiz 427–430.</w:t>
      </w:r>
    </w:p>
    <w:p>
      <w:pPr>
        <w:pStyle w:val="ListParagraph"/>
        <w:numPr>
          <w:ilvl w:val="0"/>
          <w:numId w:val="5"/>
        </w:numPr>
        <w:tabs>
          <w:tab w:pos="502" w:val="left" w:leader="none"/>
          <w:tab w:pos="504" w:val="left" w:leader="none"/>
        </w:tabs>
        <w:spacing w:line="232" w:lineRule="auto" w:before="1" w:after="0"/>
        <w:ind w:left="504" w:right="216" w:hanging="248"/>
        <w:jc w:val="both"/>
        <w:rPr>
          <w:sz w:val="16"/>
        </w:rPr>
      </w:pPr>
      <w:r>
        <w:rPr>
          <w:color w:val="231F20"/>
          <w:sz w:val="16"/>
        </w:rPr>
        <w:t>Gunal DI, Guleryuz M, Bingol CA. Reversible valproate-</w:t>
      </w:r>
      <w:r>
        <w:rPr>
          <w:color w:val="231F20"/>
          <w:sz w:val="16"/>
        </w:rPr>
        <w:t>induced</w:t>
      </w:r>
      <w:r>
        <w:rPr>
          <w:color w:val="231F20"/>
          <w:spacing w:val="40"/>
          <w:sz w:val="16"/>
        </w:rPr>
        <w:t> </w:t>
      </w:r>
      <w:r>
        <w:rPr>
          <w:color w:val="231F20"/>
          <w:sz w:val="16"/>
        </w:rPr>
        <w:t>choreiform movements. Seizure 2002;11:205–206.</w:t>
      </w:r>
    </w:p>
    <w:p>
      <w:pPr>
        <w:pStyle w:val="ListParagraph"/>
        <w:numPr>
          <w:ilvl w:val="0"/>
          <w:numId w:val="5"/>
        </w:numPr>
        <w:tabs>
          <w:tab w:pos="502" w:val="left" w:leader="none"/>
          <w:tab w:pos="504" w:val="left" w:leader="none"/>
        </w:tabs>
        <w:spacing w:line="235" w:lineRule="auto" w:before="0" w:after="0"/>
        <w:ind w:left="504" w:right="215" w:hanging="248"/>
        <w:jc w:val="both"/>
        <w:rPr>
          <w:sz w:val="16"/>
        </w:rPr>
      </w:pPr>
      <w:r>
        <w:rPr>
          <w:color w:val="231F20"/>
          <w:sz w:val="16"/>
        </w:rPr>
        <w:t>Macleod DM. Chorea induced by Tranquillisers. Lancet </w:t>
      </w:r>
      <w:r>
        <w:rPr>
          <w:color w:val="231F20"/>
          <w:sz w:val="16"/>
        </w:rPr>
        <w:t>1964;1:</w:t>
      </w:r>
      <w:r>
        <w:rPr>
          <w:color w:val="231F20"/>
          <w:spacing w:val="40"/>
          <w:sz w:val="16"/>
        </w:rPr>
        <w:t> </w:t>
      </w:r>
      <w:r>
        <w:rPr>
          <w:color w:val="231F20"/>
          <w:spacing w:val="-2"/>
          <w:sz w:val="16"/>
        </w:rPr>
        <w:t>388–389.</w:t>
      </w:r>
    </w:p>
    <w:p>
      <w:pPr>
        <w:pStyle w:val="ListParagraph"/>
        <w:numPr>
          <w:ilvl w:val="0"/>
          <w:numId w:val="5"/>
        </w:numPr>
        <w:tabs>
          <w:tab w:pos="502" w:val="left" w:leader="none"/>
          <w:tab w:pos="504" w:val="left" w:leader="none"/>
        </w:tabs>
        <w:spacing w:line="232" w:lineRule="auto" w:before="1" w:after="0"/>
        <w:ind w:left="504" w:right="217" w:hanging="248"/>
        <w:jc w:val="both"/>
        <w:rPr>
          <w:sz w:val="16"/>
        </w:rPr>
      </w:pPr>
      <w:r>
        <w:rPr>
          <w:color w:val="231F20"/>
          <w:sz w:val="16"/>
        </w:rPr>
        <w:t>Ravaglia S, Piccolo G, Ceroni M, et al. Severe steroid-</w:t>
      </w:r>
      <w:r>
        <w:rPr>
          <w:color w:val="231F20"/>
          <w:sz w:val="16"/>
        </w:rPr>
        <w:t>resistant</w:t>
      </w:r>
      <w:r>
        <w:rPr>
          <w:color w:val="231F20"/>
          <w:spacing w:val="40"/>
          <w:sz w:val="16"/>
        </w:rPr>
        <w:t> </w:t>
      </w:r>
      <w:r>
        <w:rPr>
          <w:color w:val="231F20"/>
          <w:sz w:val="16"/>
        </w:rPr>
        <w:t>post-infectious encephalomyelitis: general features and effects of</w:t>
      </w:r>
      <w:r>
        <w:rPr>
          <w:color w:val="231F20"/>
          <w:spacing w:val="40"/>
          <w:sz w:val="16"/>
        </w:rPr>
        <w:t> </w:t>
      </w:r>
      <w:r>
        <w:rPr>
          <w:color w:val="231F20"/>
          <w:sz w:val="16"/>
        </w:rPr>
        <w:t>IVIg. J Neurol 2007;254:1518–1523.</w:t>
      </w:r>
    </w:p>
    <w:p>
      <w:pPr>
        <w:pStyle w:val="ListParagraph"/>
        <w:numPr>
          <w:ilvl w:val="0"/>
          <w:numId w:val="5"/>
        </w:numPr>
        <w:tabs>
          <w:tab w:pos="502" w:val="left" w:leader="none"/>
          <w:tab w:pos="504" w:val="left" w:leader="none"/>
        </w:tabs>
        <w:spacing w:line="232" w:lineRule="auto" w:before="2" w:after="0"/>
        <w:ind w:left="504" w:right="215" w:hanging="248"/>
        <w:jc w:val="both"/>
        <w:rPr>
          <w:sz w:val="16"/>
        </w:rPr>
      </w:pPr>
      <w:r>
        <w:rPr>
          <w:color w:val="231F20"/>
          <w:sz w:val="16"/>
        </w:rPr>
        <w:t>Kaynar L, Altuntas F, Aydogdu I, et al. Therapeutic </w:t>
      </w:r>
      <w:r>
        <w:rPr>
          <w:color w:val="231F20"/>
          <w:sz w:val="16"/>
        </w:rPr>
        <w:t>plasma</w:t>
      </w:r>
      <w:r>
        <w:rPr>
          <w:color w:val="231F20"/>
          <w:spacing w:val="40"/>
          <w:sz w:val="16"/>
        </w:rPr>
        <w:t> </w:t>
      </w:r>
      <w:r>
        <w:rPr>
          <w:color w:val="231F20"/>
          <w:sz w:val="16"/>
        </w:rPr>
        <w:t>exchange in patients with neurologic diseases: retrospective mul-</w:t>
      </w:r>
      <w:r>
        <w:rPr>
          <w:color w:val="231F20"/>
          <w:spacing w:val="40"/>
          <w:sz w:val="16"/>
        </w:rPr>
        <w:t> </w:t>
      </w:r>
      <w:r>
        <w:rPr>
          <w:color w:val="231F20"/>
          <w:sz w:val="16"/>
        </w:rPr>
        <w:t>ticenter study. Transfus Apher Sci 2008;38:109–115.</w:t>
      </w:r>
    </w:p>
    <w:p>
      <w:pPr>
        <w:pStyle w:val="BodyText"/>
        <w:spacing w:before="56"/>
        <w:rPr>
          <w:sz w:val="16"/>
        </w:rPr>
      </w:pPr>
    </w:p>
    <w:p>
      <w:pPr>
        <w:pStyle w:val="Heading1"/>
        <w:spacing w:line="244" w:lineRule="auto" w:before="1"/>
        <w:ind w:left="367" w:right="326" w:hanging="3"/>
      </w:pPr>
      <w:r>
        <w:rPr>
          <w:color w:val="231F20"/>
          <w:w w:val="105"/>
        </w:rPr>
        <w:t>Pet Findings in Reversible Improvement of Olfactory Dysfunction After STN </w:t>
      </w:r>
      <w:r>
        <w:rPr>
          <w:color w:val="231F20"/>
          <w:w w:val="105"/>
        </w:rPr>
        <w:t>Stimulation in a Parkinson’s Disease Patient</w:t>
      </w:r>
    </w:p>
    <w:p>
      <w:pPr>
        <w:pStyle w:val="BodyText"/>
        <w:spacing w:before="10"/>
        <w:rPr>
          <w:sz w:val="22"/>
        </w:rPr>
      </w:pPr>
    </w:p>
    <w:p>
      <w:pPr>
        <w:pStyle w:val="BodyText"/>
        <w:spacing w:line="230" w:lineRule="auto"/>
        <w:ind w:left="256" w:right="216" w:firstLine="199"/>
        <w:jc w:val="both"/>
      </w:pPr>
      <w:r>
        <w:rPr>
          <w:color w:val="231F20"/>
        </w:rPr>
        <w:t>Olfactory dysfunction (OD) is one of the earliest </w:t>
      </w:r>
      <w:r>
        <w:rPr>
          <w:color w:val="231F20"/>
        </w:rPr>
        <w:t>nonmotor symptoms of Idiopathic Parkinson’s disease (PD).</w:t>
      </w:r>
      <w:r>
        <w:rPr>
          <w:color w:val="231F20"/>
          <w:vertAlign w:val="superscript"/>
        </w:rPr>
        <w:t>1</w:t>
      </w:r>
      <w:r>
        <w:rPr>
          <w:color w:val="231F20"/>
          <w:vertAlign w:val="baseline"/>
        </w:rPr>
        <w:t> Hyposmia in PD is generally bilateral and remains unaffected by parkin- sonian medication.</w:t>
      </w:r>
      <w:r>
        <w:rPr>
          <w:color w:val="231F20"/>
          <w:vertAlign w:val="superscript"/>
        </w:rPr>
        <w:t>1</w:t>
      </w:r>
      <w:r>
        <w:rPr>
          <w:color w:val="231F20"/>
          <w:vertAlign w:val="baseline"/>
        </w:rPr>
        <w:t> Despite of its high occurrence, little is really known about the mechanisms of olfactory loss.</w:t>
      </w:r>
      <w:r>
        <w:rPr>
          <w:color w:val="231F20"/>
          <w:vertAlign w:val="superscript"/>
        </w:rPr>
        <w:t>2</w:t>
      </w:r>
      <w:r>
        <w:rPr>
          <w:color w:val="231F20"/>
          <w:vertAlign w:val="baseline"/>
        </w:rPr>
        <w:t> Most hypotheses raised to explain this phenomenon involve neuro- degenerative processes of olfactory structures.</w:t>
      </w:r>
      <w:r>
        <w:rPr>
          <w:color w:val="231F20"/>
          <w:vertAlign w:val="superscript"/>
        </w:rPr>
        <w:t>3</w:t>
      </w:r>
      <w:r>
        <w:rPr>
          <w:color w:val="231F20"/>
          <w:vertAlign w:val="baseline"/>
        </w:rPr>
        <w:t> The authors report a case and the ﬂuorodeoxyglucose (FDG)-PET ﬁndings of</w:t>
      </w:r>
      <w:r>
        <w:rPr>
          <w:color w:val="231F20"/>
          <w:spacing w:val="33"/>
          <w:vertAlign w:val="baseline"/>
        </w:rPr>
        <w:t> </w:t>
      </w:r>
      <w:r>
        <w:rPr>
          <w:color w:val="231F20"/>
          <w:vertAlign w:val="baseline"/>
        </w:rPr>
        <w:t>a</w:t>
      </w:r>
      <w:r>
        <w:rPr>
          <w:color w:val="231F20"/>
          <w:spacing w:val="33"/>
          <w:vertAlign w:val="baseline"/>
        </w:rPr>
        <w:t> </w:t>
      </w:r>
      <w:r>
        <w:rPr>
          <w:color w:val="231F20"/>
          <w:vertAlign w:val="baseline"/>
        </w:rPr>
        <w:t>patient</w:t>
      </w:r>
      <w:r>
        <w:rPr>
          <w:color w:val="231F20"/>
          <w:spacing w:val="32"/>
          <w:vertAlign w:val="baseline"/>
        </w:rPr>
        <w:t> </w:t>
      </w:r>
      <w:r>
        <w:rPr>
          <w:color w:val="231F20"/>
          <w:vertAlign w:val="baseline"/>
        </w:rPr>
        <w:t>who</w:t>
      </w:r>
      <w:r>
        <w:rPr>
          <w:color w:val="231F20"/>
          <w:spacing w:val="33"/>
          <w:vertAlign w:val="baseline"/>
        </w:rPr>
        <w:t> </w:t>
      </w:r>
      <w:r>
        <w:rPr>
          <w:color w:val="231F20"/>
          <w:vertAlign w:val="baseline"/>
        </w:rPr>
        <w:t>underwent</w:t>
      </w:r>
      <w:r>
        <w:rPr>
          <w:color w:val="231F20"/>
          <w:spacing w:val="33"/>
          <w:vertAlign w:val="baseline"/>
        </w:rPr>
        <w:t> </w:t>
      </w:r>
      <w:r>
        <w:rPr>
          <w:color w:val="231F20"/>
          <w:vertAlign w:val="baseline"/>
        </w:rPr>
        <w:t>bilateral</w:t>
      </w:r>
      <w:r>
        <w:rPr>
          <w:color w:val="231F20"/>
          <w:spacing w:val="33"/>
          <w:vertAlign w:val="baseline"/>
        </w:rPr>
        <w:t> </w:t>
      </w:r>
      <w:r>
        <w:rPr>
          <w:color w:val="231F20"/>
          <w:vertAlign w:val="baseline"/>
        </w:rPr>
        <w:t>deep</w:t>
      </w:r>
      <w:r>
        <w:rPr>
          <w:color w:val="231F20"/>
          <w:spacing w:val="33"/>
          <w:vertAlign w:val="baseline"/>
        </w:rPr>
        <w:t> </w:t>
      </w:r>
      <w:r>
        <w:rPr>
          <w:color w:val="231F20"/>
          <w:vertAlign w:val="baseline"/>
        </w:rPr>
        <w:t>brain</w:t>
      </w:r>
      <w:r>
        <w:rPr>
          <w:color w:val="231F20"/>
          <w:spacing w:val="32"/>
          <w:vertAlign w:val="baseline"/>
        </w:rPr>
        <w:t> </w:t>
      </w:r>
      <w:r>
        <w:rPr>
          <w:color w:val="231F20"/>
          <w:vertAlign w:val="baseline"/>
        </w:rPr>
        <w:t>stimulation of the subthalamic nucleus (STN-DBS) and subsequently developed a great improvement in motor symptoms paral-</w:t>
      </w:r>
      <w:r>
        <w:rPr>
          <w:color w:val="231F20"/>
          <w:spacing w:val="40"/>
          <w:vertAlign w:val="baseline"/>
        </w:rPr>
        <w:t> </w:t>
      </w:r>
      <w:r>
        <w:rPr>
          <w:color w:val="231F20"/>
          <w:vertAlign w:val="baseline"/>
        </w:rPr>
        <w:t>leled by an impressive recovery of olfaction after surgery.</w:t>
      </w:r>
    </w:p>
    <w:p>
      <w:pPr>
        <w:pStyle w:val="BodyText"/>
        <w:spacing w:line="230" w:lineRule="auto" w:before="7"/>
        <w:ind w:left="256" w:right="216" w:firstLine="199"/>
        <w:jc w:val="both"/>
      </w:pPr>
      <w:r>
        <w:rPr>
          <w:color w:val="231F20"/>
        </w:rPr>
        <w:t>A 51-year-old man with advanced PD, severe motor </w:t>
      </w:r>
      <w:r>
        <w:rPr>
          <w:color w:val="231F20"/>
        </w:rPr>
        <w:t>ﬂuc- tuations, and incapacitating levodopa-induced dyskinesias underwent bilateral STN-DBS. He presented early onset of</w:t>
      </w:r>
      <w:r>
        <w:rPr>
          <w:color w:val="231F20"/>
          <w:spacing w:val="80"/>
          <w:w w:val="150"/>
        </w:rPr>
        <w:t> </w:t>
      </w:r>
      <w:r>
        <w:rPr>
          <w:color w:val="231F20"/>
        </w:rPr>
        <w:t>PD symptoms (35 years-old). Eight years ago, he started complaining of severe loss of olfaction discrimination (he seldom</w:t>
      </w:r>
      <w:r>
        <w:rPr>
          <w:color w:val="231F20"/>
          <w:spacing w:val="40"/>
        </w:rPr>
        <w:t> </w:t>
      </w:r>
      <w:r>
        <w:rPr>
          <w:color w:val="231F20"/>
        </w:rPr>
        <w:t>perceived</w:t>
      </w:r>
      <w:r>
        <w:rPr>
          <w:color w:val="231F20"/>
          <w:spacing w:val="40"/>
        </w:rPr>
        <w:t> </w:t>
      </w:r>
      <w:r>
        <w:rPr>
          <w:color w:val="231F20"/>
        </w:rPr>
        <w:t>very</w:t>
      </w:r>
      <w:r>
        <w:rPr>
          <w:color w:val="231F20"/>
          <w:spacing w:val="40"/>
        </w:rPr>
        <w:t> </w:t>
      </w:r>
      <w:r>
        <w:rPr>
          <w:color w:val="231F20"/>
        </w:rPr>
        <w:t>intense</w:t>
      </w:r>
      <w:r>
        <w:rPr>
          <w:color w:val="231F20"/>
          <w:spacing w:val="40"/>
        </w:rPr>
        <w:t> </w:t>
      </w:r>
      <w:r>
        <w:rPr>
          <w:color w:val="231F20"/>
        </w:rPr>
        <w:t>and</w:t>
      </w:r>
      <w:r>
        <w:rPr>
          <w:color w:val="231F20"/>
          <w:spacing w:val="40"/>
        </w:rPr>
        <w:t> </w:t>
      </w:r>
      <w:r>
        <w:rPr>
          <w:color w:val="231F20"/>
        </w:rPr>
        <w:t>unpleasant</w:t>
      </w:r>
      <w:r>
        <w:rPr>
          <w:color w:val="231F20"/>
          <w:spacing w:val="40"/>
        </w:rPr>
        <w:t> </w:t>
      </w:r>
      <w:r>
        <w:rPr>
          <w:color w:val="231F20"/>
        </w:rPr>
        <w:t>fragrances) and</w:t>
      </w:r>
      <w:r>
        <w:rPr>
          <w:color w:val="231F20"/>
          <w:spacing w:val="27"/>
        </w:rPr>
        <w:t> </w:t>
      </w:r>
      <w:r>
        <w:rPr>
          <w:color w:val="231F20"/>
        </w:rPr>
        <w:t>loss</w:t>
      </w:r>
      <w:r>
        <w:rPr>
          <w:color w:val="231F20"/>
          <w:spacing w:val="27"/>
        </w:rPr>
        <w:t> </w:t>
      </w:r>
      <w:r>
        <w:rPr>
          <w:color w:val="231F20"/>
        </w:rPr>
        <w:t>of</w:t>
      </w:r>
      <w:r>
        <w:rPr>
          <w:color w:val="231F20"/>
          <w:spacing w:val="27"/>
        </w:rPr>
        <w:t> </w:t>
      </w:r>
      <w:r>
        <w:rPr>
          <w:color w:val="231F20"/>
        </w:rPr>
        <w:t>libido.</w:t>
      </w:r>
      <w:r>
        <w:rPr>
          <w:color w:val="231F20"/>
          <w:spacing w:val="27"/>
        </w:rPr>
        <w:t> </w:t>
      </w:r>
      <w:r>
        <w:rPr>
          <w:color w:val="231F20"/>
        </w:rPr>
        <w:t>His</w:t>
      </w:r>
      <w:r>
        <w:rPr>
          <w:color w:val="231F20"/>
          <w:spacing w:val="27"/>
        </w:rPr>
        <w:t> </w:t>
      </w:r>
      <w:r>
        <w:rPr>
          <w:color w:val="231F20"/>
        </w:rPr>
        <w:t>motor</w:t>
      </w:r>
      <w:r>
        <w:rPr>
          <w:color w:val="231F20"/>
          <w:spacing w:val="27"/>
        </w:rPr>
        <w:t> </w:t>
      </w:r>
      <w:r>
        <w:rPr>
          <w:color w:val="231F20"/>
        </w:rPr>
        <w:t>scores</w:t>
      </w:r>
      <w:r>
        <w:rPr>
          <w:color w:val="231F20"/>
          <w:spacing w:val="28"/>
        </w:rPr>
        <w:t> </w:t>
      </w:r>
      <w:r>
        <w:rPr>
          <w:color w:val="231F20"/>
        </w:rPr>
        <w:t>on</w:t>
      </w:r>
      <w:r>
        <w:rPr>
          <w:color w:val="231F20"/>
          <w:spacing w:val="26"/>
        </w:rPr>
        <w:t> </w:t>
      </w:r>
      <w:r>
        <w:rPr>
          <w:color w:val="231F20"/>
        </w:rPr>
        <w:t>the</w:t>
      </w:r>
      <w:r>
        <w:rPr>
          <w:color w:val="231F20"/>
          <w:spacing w:val="26"/>
        </w:rPr>
        <w:t> </w:t>
      </w:r>
      <w:r>
        <w:rPr>
          <w:color w:val="231F20"/>
        </w:rPr>
        <w:t>UPDRS</w:t>
      </w:r>
      <w:r>
        <w:rPr>
          <w:color w:val="231F20"/>
          <w:spacing w:val="28"/>
        </w:rPr>
        <w:t> </w:t>
      </w:r>
      <w:r>
        <w:rPr>
          <w:color w:val="231F20"/>
        </w:rPr>
        <w:t>part</w:t>
      </w:r>
      <w:r>
        <w:rPr>
          <w:color w:val="231F20"/>
          <w:spacing w:val="27"/>
        </w:rPr>
        <w:t> </w:t>
      </w:r>
      <w:r>
        <w:rPr>
          <w:color w:val="231F20"/>
        </w:rPr>
        <w:t>III in ON medication were 35 and 74 in OFF medication condi- tion. Chronic monopolar stimulation was applied on the con- tacts corresponding to the STN (two distal contacts on each side as the cathodes—1.7 V (right), 2.0 V (left), pulse width 210 ls, and frequency of 130 Hz). At ﬁve months on postop- erative</w:t>
      </w:r>
      <w:r>
        <w:rPr>
          <w:color w:val="231F20"/>
          <w:spacing w:val="35"/>
        </w:rPr>
        <w:t> </w:t>
      </w:r>
      <w:r>
        <w:rPr>
          <w:color w:val="231F20"/>
        </w:rPr>
        <w:t>follow-up,</w:t>
      </w:r>
      <w:r>
        <w:rPr>
          <w:color w:val="231F20"/>
          <w:spacing w:val="35"/>
        </w:rPr>
        <w:t> </w:t>
      </w:r>
      <w:r>
        <w:rPr>
          <w:color w:val="231F20"/>
        </w:rPr>
        <w:t>the</w:t>
      </w:r>
      <w:r>
        <w:rPr>
          <w:color w:val="231F20"/>
          <w:spacing w:val="36"/>
        </w:rPr>
        <w:t> </w:t>
      </w:r>
      <w:r>
        <w:rPr>
          <w:color w:val="231F20"/>
        </w:rPr>
        <w:t>patient</w:t>
      </w:r>
      <w:r>
        <w:rPr>
          <w:color w:val="231F20"/>
          <w:spacing w:val="35"/>
        </w:rPr>
        <w:t> </w:t>
      </w:r>
      <w:r>
        <w:rPr>
          <w:color w:val="231F20"/>
        </w:rPr>
        <w:t>had</w:t>
      </w:r>
      <w:r>
        <w:rPr>
          <w:color w:val="231F20"/>
          <w:spacing w:val="35"/>
        </w:rPr>
        <w:t> </w:t>
      </w:r>
      <w:r>
        <w:rPr>
          <w:color w:val="231F20"/>
        </w:rPr>
        <w:t>experienced</w:t>
      </w:r>
      <w:r>
        <w:rPr>
          <w:color w:val="231F20"/>
          <w:spacing w:val="35"/>
        </w:rPr>
        <w:t> </w:t>
      </w:r>
      <w:r>
        <w:rPr>
          <w:color w:val="231F20"/>
        </w:rPr>
        <w:t>improvement in the UPDRS part III score (16 ONmed/ONstim vs. 39 OFFmed/ONstim). During a routine visit, the patient sponta- neously reported marked improvement in his olfactory func- tion. Olfaction was assessed using the brief smell identiﬁca- tion test (12-items, B-SIT).</w:t>
      </w:r>
      <w:r>
        <w:rPr>
          <w:color w:val="231F20"/>
          <w:vertAlign w:val="superscript"/>
        </w:rPr>
        <w:t>4</w:t>
      </w:r>
      <w:r>
        <w:rPr>
          <w:color w:val="231F20"/>
          <w:vertAlign w:val="baseline"/>
        </w:rPr>
        <w:t> He recognized the odor of eight</w:t>
      </w:r>
      <w:r>
        <w:rPr>
          <w:color w:val="231F20"/>
          <w:spacing w:val="80"/>
          <w:vertAlign w:val="baseline"/>
        </w:rPr>
        <w:t> </w:t>
      </w:r>
      <w:r>
        <w:rPr>
          <w:color w:val="231F20"/>
          <w:vertAlign w:val="baseline"/>
        </w:rPr>
        <w:t>of twelve substances, score considered normal olfaction for someone his age, according to the Doty’s values.</w:t>
      </w:r>
      <w:r>
        <w:rPr>
          <w:color w:val="231F20"/>
          <w:vertAlign w:val="superscript"/>
        </w:rPr>
        <w:t>1</w:t>
      </w:r>
    </w:p>
    <w:p>
      <w:pPr>
        <w:pStyle w:val="BodyText"/>
        <w:spacing w:line="230" w:lineRule="auto" w:before="11"/>
        <w:ind w:left="256" w:right="216" w:firstLine="199"/>
        <w:jc w:val="both"/>
      </w:pPr>
      <w:r>
        <w:rPr>
          <w:color w:val="231F20"/>
        </w:rPr>
        <w:t>Six months after surgery, under informed consent, </w:t>
      </w:r>
      <w:r>
        <w:rPr>
          <w:color w:val="231F20"/>
        </w:rPr>
        <w:t>the patient underwent FDG-PET scan study, in the ONstim/ ONmed vs. the OFFstim/ONmed conditions. The ﬁrst study was performed with the stimulator ON and under routine medication (best functional condition). The radiotracer was injected</w:t>
      </w:r>
      <w:r>
        <w:rPr>
          <w:color w:val="231F20"/>
          <w:spacing w:val="16"/>
        </w:rPr>
        <w:t> </w:t>
      </w:r>
      <w:r>
        <w:rPr>
          <w:color w:val="231F20"/>
        </w:rPr>
        <w:t>at</w:t>
      </w:r>
      <w:r>
        <w:rPr>
          <w:color w:val="231F20"/>
          <w:spacing w:val="15"/>
        </w:rPr>
        <w:t> </w:t>
      </w:r>
      <w:r>
        <w:rPr>
          <w:color w:val="231F20"/>
        </w:rPr>
        <w:t>rest,</w:t>
      </w:r>
      <w:r>
        <w:rPr>
          <w:color w:val="231F20"/>
          <w:spacing w:val="16"/>
        </w:rPr>
        <w:t> </w:t>
      </w:r>
      <w:r>
        <w:rPr>
          <w:color w:val="231F20"/>
        </w:rPr>
        <w:t>in</w:t>
      </w:r>
      <w:r>
        <w:rPr>
          <w:color w:val="231F20"/>
          <w:spacing w:val="15"/>
        </w:rPr>
        <w:t> </w:t>
      </w:r>
      <w:r>
        <w:rPr>
          <w:color w:val="231F20"/>
        </w:rPr>
        <w:t>a</w:t>
      </w:r>
      <w:r>
        <w:rPr>
          <w:color w:val="231F20"/>
          <w:spacing w:val="15"/>
        </w:rPr>
        <w:t> </w:t>
      </w:r>
      <w:r>
        <w:rPr>
          <w:color w:val="231F20"/>
        </w:rPr>
        <w:t>dark</w:t>
      </w:r>
      <w:r>
        <w:rPr>
          <w:color w:val="231F20"/>
          <w:spacing w:val="15"/>
        </w:rPr>
        <w:t> </w:t>
      </w:r>
      <w:r>
        <w:rPr>
          <w:color w:val="231F20"/>
        </w:rPr>
        <w:t>and</w:t>
      </w:r>
      <w:r>
        <w:rPr>
          <w:color w:val="231F20"/>
          <w:spacing w:val="16"/>
        </w:rPr>
        <w:t> </w:t>
      </w:r>
      <w:r>
        <w:rPr>
          <w:color w:val="231F20"/>
        </w:rPr>
        <w:t>quiet</w:t>
      </w:r>
      <w:r>
        <w:rPr>
          <w:color w:val="231F20"/>
          <w:spacing w:val="16"/>
        </w:rPr>
        <w:t> </w:t>
      </w:r>
      <w:r>
        <w:rPr>
          <w:color w:val="231F20"/>
        </w:rPr>
        <w:t>room</w:t>
      </w:r>
      <w:r>
        <w:rPr>
          <w:color w:val="231F20"/>
          <w:spacing w:val="16"/>
        </w:rPr>
        <w:t> </w:t>
      </w:r>
      <w:r>
        <w:rPr>
          <w:color w:val="231F20"/>
        </w:rPr>
        <w:t>during</w:t>
      </w:r>
      <w:r>
        <w:rPr>
          <w:color w:val="231F20"/>
          <w:spacing w:val="16"/>
        </w:rPr>
        <w:t> </w:t>
      </w:r>
      <w:r>
        <w:rPr>
          <w:color w:val="231F20"/>
        </w:rPr>
        <w:t>odor</w:t>
      </w:r>
      <w:r>
        <w:rPr>
          <w:color w:val="231F20"/>
          <w:spacing w:val="15"/>
        </w:rPr>
        <w:t> </w:t>
      </w:r>
      <w:r>
        <w:rPr>
          <w:color w:val="231F20"/>
          <w:spacing w:val="-2"/>
        </w:rPr>
        <w:t>exposi-</w:t>
      </w:r>
    </w:p>
    <w:p>
      <w:pPr>
        <w:pStyle w:val="BodyText"/>
        <w:spacing w:after="0" w:line="230" w:lineRule="auto"/>
        <w:jc w:val="both"/>
        <w:sectPr>
          <w:type w:val="continuous"/>
          <w:pgSz w:w="12240" w:h="16200"/>
          <w:pgMar w:top="1060" w:bottom="280" w:left="1080" w:right="1080"/>
          <w:cols w:num="2" w:equalWidth="0">
            <w:col w:w="4862" w:space="179"/>
            <w:col w:w="5039"/>
          </w:cols>
        </w:sectPr>
      </w:pPr>
    </w:p>
    <w:p>
      <w:pPr>
        <w:pStyle w:val="ListParagraph"/>
        <w:numPr>
          <w:ilvl w:val="0"/>
          <w:numId w:val="4"/>
        </w:numPr>
        <w:tabs>
          <w:tab w:pos="502" w:val="left" w:leader="none"/>
          <w:tab w:pos="5297" w:val="left" w:leader="none"/>
          <w:tab w:pos="9860" w:val="left" w:leader="none"/>
        </w:tabs>
        <w:spacing w:line="179" w:lineRule="exact" w:before="0" w:after="0"/>
        <w:ind w:left="502" w:right="0" w:hanging="246"/>
        <w:jc w:val="left"/>
        <w:rPr>
          <w:sz w:val="16"/>
        </w:rPr>
      </w:pPr>
      <w:r>
        <w:rPr>
          <w:color w:val="231F20"/>
          <w:sz w:val="16"/>
        </w:rPr>
        <w:t>Franciotta</w:t>
      </w:r>
      <w:r>
        <w:rPr>
          <w:color w:val="231F20"/>
          <w:spacing w:val="11"/>
          <w:sz w:val="16"/>
        </w:rPr>
        <w:t> </w:t>
      </w:r>
      <w:r>
        <w:rPr>
          <w:color w:val="231F20"/>
          <w:sz w:val="16"/>
        </w:rPr>
        <w:t>D,</w:t>
      </w:r>
      <w:r>
        <w:rPr>
          <w:color w:val="231F20"/>
          <w:spacing w:val="13"/>
          <w:sz w:val="16"/>
        </w:rPr>
        <w:t> </w:t>
      </w:r>
      <w:r>
        <w:rPr>
          <w:color w:val="231F20"/>
          <w:sz w:val="16"/>
        </w:rPr>
        <w:t>Columba-Cabezas</w:t>
      </w:r>
      <w:r>
        <w:rPr>
          <w:color w:val="231F20"/>
          <w:spacing w:val="13"/>
          <w:sz w:val="16"/>
        </w:rPr>
        <w:t> </w:t>
      </w:r>
      <w:r>
        <w:rPr>
          <w:color w:val="231F20"/>
          <w:sz w:val="16"/>
        </w:rPr>
        <w:t>S,</w:t>
      </w:r>
      <w:r>
        <w:rPr>
          <w:color w:val="231F20"/>
          <w:spacing w:val="13"/>
          <w:sz w:val="16"/>
        </w:rPr>
        <w:t> </w:t>
      </w:r>
      <w:r>
        <w:rPr>
          <w:color w:val="231F20"/>
          <w:sz w:val="16"/>
        </w:rPr>
        <w:t>Andreoni</w:t>
      </w:r>
      <w:r>
        <w:rPr>
          <w:color w:val="231F20"/>
          <w:spacing w:val="14"/>
          <w:sz w:val="16"/>
        </w:rPr>
        <w:t> </w:t>
      </w:r>
      <w:r>
        <w:rPr>
          <w:color w:val="231F20"/>
          <w:sz w:val="16"/>
        </w:rPr>
        <w:t>L,</w:t>
      </w:r>
      <w:r>
        <w:rPr>
          <w:color w:val="231F20"/>
          <w:spacing w:val="12"/>
          <w:sz w:val="16"/>
        </w:rPr>
        <w:t> </w:t>
      </w:r>
      <w:r>
        <w:rPr>
          <w:color w:val="231F20"/>
          <w:sz w:val="16"/>
        </w:rPr>
        <w:t>et</w:t>
      </w:r>
      <w:r>
        <w:rPr>
          <w:color w:val="231F20"/>
          <w:spacing w:val="13"/>
          <w:sz w:val="16"/>
        </w:rPr>
        <w:t> </w:t>
      </w:r>
      <w:r>
        <w:rPr>
          <w:color w:val="231F20"/>
          <w:sz w:val="16"/>
        </w:rPr>
        <w:t>al.</w:t>
      </w:r>
      <w:r>
        <w:rPr>
          <w:color w:val="231F20"/>
          <w:spacing w:val="14"/>
          <w:sz w:val="16"/>
        </w:rPr>
        <w:t> </w:t>
      </w:r>
      <w:r>
        <w:rPr>
          <w:color w:val="231F20"/>
          <w:spacing w:val="-2"/>
          <w:sz w:val="16"/>
        </w:rPr>
        <w:t>Oligoclonal</w:t>
      </w:r>
      <w:r>
        <w:rPr>
          <w:color w:val="231F20"/>
          <w:sz w:val="16"/>
        </w:rPr>
        <w:tab/>
      </w:r>
      <w:r>
        <w:rPr>
          <w:color w:val="231F20"/>
          <w:sz w:val="16"/>
          <w:u w:val="single" w:color="231F20"/>
        </w:rPr>
        <w:tab/>
      </w:r>
    </w:p>
    <w:p>
      <w:pPr>
        <w:pStyle w:val="ListParagraph"/>
        <w:spacing w:after="0" w:line="179" w:lineRule="exact"/>
        <w:jc w:val="left"/>
        <w:rPr>
          <w:sz w:val="16"/>
        </w:rPr>
        <w:sectPr>
          <w:type w:val="continuous"/>
          <w:pgSz w:w="12240" w:h="16200"/>
          <w:pgMar w:top="1060" w:bottom="280" w:left="1080" w:right="1080"/>
        </w:sectPr>
      </w:pPr>
    </w:p>
    <w:p>
      <w:pPr>
        <w:spacing w:line="232" w:lineRule="auto" w:before="0"/>
        <w:ind w:left="504" w:right="0" w:firstLine="0"/>
        <w:jc w:val="left"/>
        <w:rPr>
          <w:sz w:val="16"/>
        </w:rPr>
      </w:pPr>
      <w:r>
        <w:rPr>
          <w:color w:val="231F20"/>
          <w:sz w:val="16"/>
        </w:rPr>
        <w:t>IgG</w:t>
      </w:r>
      <w:r>
        <w:rPr>
          <w:color w:val="231F20"/>
          <w:spacing w:val="40"/>
          <w:sz w:val="16"/>
        </w:rPr>
        <w:t> </w:t>
      </w:r>
      <w:r>
        <w:rPr>
          <w:color w:val="231F20"/>
          <w:sz w:val="16"/>
        </w:rPr>
        <w:t>band</w:t>
      </w:r>
      <w:r>
        <w:rPr>
          <w:color w:val="231F20"/>
          <w:spacing w:val="40"/>
          <w:sz w:val="16"/>
        </w:rPr>
        <w:t> </w:t>
      </w:r>
      <w:r>
        <w:rPr>
          <w:color w:val="231F20"/>
          <w:sz w:val="16"/>
        </w:rPr>
        <w:t>patterns</w:t>
      </w:r>
      <w:r>
        <w:rPr>
          <w:color w:val="231F20"/>
          <w:spacing w:val="40"/>
          <w:sz w:val="16"/>
        </w:rPr>
        <w:t> </w:t>
      </w:r>
      <w:r>
        <w:rPr>
          <w:color w:val="231F20"/>
          <w:sz w:val="16"/>
        </w:rPr>
        <w:t>in</w:t>
      </w:r>
      <w:r>
        <w:rPr>
          <w:color w:val="231F20"/>
          <w:spacing w:val="40"/>
          <w:sz w:val="16"/>
        </w:rPr>
        <w:t> </w:t>
      </w:r>
      <w:r>
        <w:rPr>
          <w:color w:val="231F20"/>
          <w:sz w:val="16"/>
        </w:rPr>
        <w:t>inﬂammatory</w:t>
      </w:r>
      <w:r>
        <w:rPr>
          <w:color w:val="231F20"/>
          <w:spacing w:val="40"/>
          <w:sz w:val="16"/>
        </w:rPr>
        <w:t> </w:t>
      </w:r>
      <w:r>
        <w:rPr>
          <w:color w:val="231F20"/>
          <w:sz w:val="16"/>
        </w:rPr>
        <w:t>demyelinating</w:t>
      </w:r>
      <w:r>
        <w:rPr>
          <w:color w:val="231F20"/>
          <w:spacing w:val="40"/>
          <w:sz w:val="16"/>
        </w:rPr>
        <w:t> </w:t>
      </w:r>
      <w:r>
        <w:rPr>
          <w:color w:val="231F20"/>
          <w:sz w:val="16"/>
        </w:rPr>
        <w:t>human</w:t>
      </w:r>
      <w:r>
        <w:rPr>
          <w:color w:val="231F20"/>
          <w:spacing w:val="40"/>
          <w:sz w:val="16"/>
        </w:rPr>
        <w:t> </w:t>
      </w:r>
      <w:r>
        <w:rPr>
          <w:color w:val="231F20"/>
          <w:sz w:val="16"/>
        </w:rPr>
        <w:t>and</w:t>
      </w:r>
      <w:r>
        <w:rPr>
          <w:color w:val="231F20"/>
          <w:spacing w:val="40"/>
          <w:sz w:val="16"/>
        </w:rPr>
        <w:t> </w:t>
      </w:r>
      <w:r>
        <w:rPr>
          <w:color w:val="231F20"/>
          <w:sz w:val="16"/>
        </w:rPr>
        <w:t>mouse diseases. J Neuroimmunol 2008;200:125–128.</w:t>
      </w:r>
    </w:p>
    <w:p>
      <w:pPr>
        <w:pStyle w:val="ListParagraph"/>
        <w:numPr>
          <w:ilvl w:val="0"/>
          <w:numId w:val="4"/>
        </w:numPr>
        <w:tabs>
          <w:tab w:pos="502" w:val="left" w:leader="none"/>
          <w:tab w:pos="504" w:val="left" w:leader="none"/>
        </w:tabs>
        <w:spacing w:line="232" w:lineRule="auto" w:before="1" w:after="0"/>
        <w:ind w:left="504" w:right="38" w:hanging="248"/>
        <w:jc w:val="left"/>
        <w:rPr>
          <w:sz w:val="16"/>
        </w:rPr>
      </w:pPr>
      <w:r>
        <w:rPr>
          <w:color w:val="231F20"/>
          <w:sz w:val="16"/>
        </w:rPr>
        <w:t>Shet</w:t>
      </w:r>
      <w:r>
        <w:rPr>
          <w:color w:val="231F20"/>
          <w:spacing w:val="30"/>
          <w:sz w:val="16"/>
        </w:rPr>
        <w:t> </w:t>
      </w:r>
      <w:r>
        <w:rPr>
          <w:color w:val="231F20"/>
          <w:sz w:val="16"/>
        </w:rPr>
        <w:t>A,</w:t>
      </w:r>
      <w:r>
        <w:rPr>
          <w:color w:val="231F20"/>
          <w:spacing w:val="31"/>
          <w:sz w:val="16"/>
        </w:rPr>
        <w:t> </w:t>
      </w:r>
      <w:r>
        <w:rPr>
          <w:color w:val="231F20"/>
          <w:sz w:val="16"/>
        </w:rPr>
        <w:t>Kaplan</w:t>
      </w:r>
      <w:r>
        <w:rPr>
          <w:color w:val="231F20"/>
          <w:spacing w:val="30"/>
          <w:sz w:val="16"/>
        </w:rPr>
        <w:t> </w:t>
      </w:r>
      <w:r>
        <w:rPr>
          <w:color w:val="231F20"/>
          <w:sz w:val="16"/>
        </w:rPr>
        <w:t>EL.</w:t>
      </w:r>
      <w:r>
        <w:rPr>
          <w:color w:val="231F20"/>
          <w:spacing w:val="31"/>
          <w:sz w:val="16"/>
        </w:rPr>
        <w:t> </w:t>
      </w:r>
      <w:r>
        <w:rPr>
          <w:color w:val="231F20"/>
          <w:sz w:val="16"/>
        </w:rPr>
        <w:t>Clinical</w:t>
      </w:r>
      <w:r>
        <w:rPr>
          <w:color w:val="231F20"/>
          <w:spacing w:val="31"/>
          <w:sz w:val="16"/>
        </w:rPr>
        <w:t> </w:t>
      </w:r>
      <w:r>
        <w:rPr>
          <w:color w:val="231F20"/>
          <w:sz w:val="16"/>
        </w:rPr>
        <w:t>use</w:t>
      </w:r>
      <w:r>
        <w:rPr>
          <w:color w:val="231F20"/>
          <w:spacing w:val="30"/>
          <w:sz w:val="16"/>
        </w:rPr>
        <w:t> </w:t>
      </w:r>
      <w:r>
        <w:rPr>
          <w:color w:val="231F20"/>
          <w:sz w:val="16"/>
        </w:rPr>
        <w:t>and</w:t>
      </w:r>
      <w:r>
        <w:rPr>
          <w:color w:val="231F20"/>
          <w:spacing w:val="31"/>
          <w:sz w:val="16"/>
        </w:rPr>
        <w:t> </w:t>
      </w:r>
      <w:r>
        <w:rPr>
          <w:color w:val="231F20"/>
          <w:sz w:val="16"/>
        </w:rPr>
        <w:t>interpretation</w:t>
      </w:r>
      <w:r>
        <w:rPr>
          <w:color w:val="231F20"/>
          <w:spacing w:val="31"/>
          <w:sz w:val="16"/>
        </w:rPr>
        <w:t> </w:t>
      </w:r>
      <w:r>
        <w:rPr>
          <w:color w:val="231F20"/>
          <w:sz w:val="16"/>
        </w:rPr>
        <w:t>of</w:t>
      </w:r>
      <w:r>
        <w:rPr>
          <w:color w:val="231F20"/>
          <w:spacing w:val="31"/>
          <w:sz w:val="16"/>
        </w:rPr>
        <w:t> </w:t>
      </w:r>
      <w:r>
        <w:rPr>
          <w:color w:val="231F20"/>
          <w:sz w:val="16"/>
        </w:rPr>
        <w:t>group</w:t>
      </w:r>
      <w:r>
        <w:rPr>
          <w:color w:val="231F20"/>
          <w:spacing w:val="29"/>
          <w:sz w:val="16"/>
        </w:rPr>
        <w:t> </w:t>
      </w:r>
      <w:r>
        <w:rPr>
          <w:color w:val="231F20"/>
          <w:sz w:val="16"/>
        </w:rPr>
        <w:t>A</w:t>
      </w:r>
      <w:r>
        <w:rPr>
          <w:color w:val="231F20"/>
          <w:spacing w:val="40"/>
          <w:sz w:val="16"/>
        </w:rPr>
        <w:t> </w:t>
      </w:r>
      <w:r>
        <w:rPr>
          <w:color w:val="231F20"/>
          <w:sz w:val="16"/>
        </w:rPr>
        <w:t>streptococcal antibody tests: a practical approach for the pediatri-</w:t>
      </w:r>
    </w:p>
    <w:p>
      <w:pPr>
        <w:spacing w:line="232" w:lineRule="auto" w:before="0"/>
        <w:ind w:left="256" w:right="0" w:firstLine="159"/>
        <w:jc w:val="left"/>
        <w:rPr>
          <w:sz w:val="16"/>
        </w:rPr>
      </w:pPr>
      <w:r>
        <w:rPr/>
        <w:br w:type="column"/>
      </w:r>
      <w:r>
        <w:rPr>
          <w:color w:val="231F20"/>
          <w:sz w:val="16"/>
        </w:rPr>
        <w:t>Potential</w:t>
      </w:r>
      <w:r>
        <w:rPr>
          <w:color w:val="231F20"/>
          <w:spacing w:val="40"/>
          <w:sz w:val="16"/>
        </w:rPr>
        <w:t> </w:t>
      </w:r>
      <w:r>
        <w:rPr>
          <w:color w:val="231F20"/>
          <w:sz w:val="16"/>
        </w:rPr>
        <w:t>conﬂict</w:t>
      </w:r>
      <w:r>
        <w:rPr>
          <w:color w:val="231F20"/>
          <w:spacing w:val="40"/>
          <w:sz w:val="16"/>
        </w:rPr>
        <w:t> </w:t>
      </w:r>
      <w:r>
        <w:rPr>
          <w:color w:val="231F20"/>
          <w:sz w:val="16"/>
        </w:rPr>
        <w:t>of</w:t>
      </w:r>
      <w:r>
        <w:rPr>
          <w:color w:val="231F20"/>
          <w:spacing w:val="40"/>
          <w:sz w:val="16"/>
        </w:rPr>
        <w:t> </w:t>
      </w:r>
      <w:r>
        <w:rPr>
          <w:color w:val="231F20"/>
          <w:sz w:val="16"/>
        </w:rPr>
        <w:t>interest:</w:t>
      </w:r>
      <w:r>
        <w:rPr>
          <w:color w:val="231F20"/>
          <w:spacing w:val="40"/>
          <w:sz w:val="16"/>
        </w:rPr>
        <w:t> </w:t>
      </w:r>
      <w:r>
        <w:rPr>
          <w:color w:val="231F20"/>
          <w:sz w:val="16"/>
        </w:rPr>
        <w:t>The</w:t>
      </w:r>
      <w:r>
        <w:rPr>
          <w:color w:val="231F20"/>
          <w:spacing w:val="40"/>
          <w:sz w:val="16"/>
        </w:rPr>
        <w:t> </w:t>
      </w:r>
      <w:r>
        <w:rPr>
          <w:color w:val="231F20"/>
          <w:sz w:val="16"/>
        </w:rPr>
        <w:t>authors</w:t>
      </w:r>
      <w:r>
        <w:rPr>
          <w:color w:val="231F20"/>
          <w:spacing w:val="40"/>
          <w:sz w:val="16"/>
        </w:rPr>
        <w:t> </w:t>
      </w:r>
      <w:r>
        <w:rPr>
          <w:color w:val="231F20"/>
          <w:sz w:val="16"/>
        </w:rPr>
        <w:t>report</w:t>
      </w:r>
      <w:r>
        <w:rPr>
          <w:color w:val="231F20"/>
          <w:spacing w:val="40"/>
          <w:sz w:val="16"/>
        </w:rPr>
        <w:t> </w:t>
      </w:r>
      <w:r>
        <w:rPr>
          <w:color w:val="231F20"/>
          <w:sz w:val="16"/>
        </w:rPr>
        <w:t>no</w:t>
      </w:r>
      <w:r>
        <w:rPr>
          <w:color w:val="231F20"/>
          <w:spacing w:val="40"/>
          <w:sz w:val="16"/>
        </w:rPr>
        <w:t> </w:t>
      </w:r>
      <w:r>
        <w:rPr>
          <w:color w:val="231F20"/>
          <w:sz w:val="16"/>
        </w:rPr>
        <w:t>conﬂicts</w:t>
      </w:r>
      <w:r>
        <w:rPr>
          <w:color w:val="231F20"/>
          <w:spacing w:val="40"/>
          <w:sz w:val="16"/>
        </w:rPr>
        <w:t> </w:t>
      </w:r>
      <w:r>
        <w:rPr>
          <w:color w:val="231F20"/>
          <w:sz w:val="16"/>
        </w:rPr>
        <w:t>of</w:t>
      </w:r>
      <w:r>
        <w:rPr>
          <w:color w:val="231F20"/>
          <w:spacing w:val="40"/>
          <w:sz w:val="16"/>
        </w:rPr>
        <w:t> </w:t>
      </w:r>
      <w:r>
        <w:rPr>
          <w:color w:val="231F20"/>
          <w:spacing w:val="-2"/>
          <w:sz w:val="16"/>
        </w:rPr>
        <w:t>interest.</w:t>
      </w:r>
    </w:p>
    <w:p>
      <w:pPr>
        <w:spacing w:line="232" w:lineRule="auto" w:before="1"/>
        <w:ind w:left="256" w:right="204" w:firstLine="159"/>
        <w:jc w:val="left"/>
        <w:rPr>
          <w:sz w:val="16"/>
        </w:rPr>
      </w:pPr>
      <w:r>
        <w:rPr>
          <w:color w:val="231F20"/>
          <w:w w:val="105"/>
          <w:sz w:val="16"/>
        </w:rPr>
        <w:t>Published</w:t>
      </w:r>
      <w:r>
        <w:rPr>
          <w:color w:val="231F20"/>
          <w:spacing w:val="40"/>
          <w:w w:val="105"/>
          <w:sz w:val="16"/>
        </w:rPr>
        <w:t> </w:t>
      </w:r>
      <w:r>
        <w:rPr>
          <w:color w:val="231F20"/>
          <w:w w:val="105"/>
          <w:sz w:val="16"/>
        </w:rPr>
        <w:t>online</w:t>
      </w:r>
      <w:r>
        <w:rPr>
          <w:color w:val="231F20"/>
          <w:spacing w:val="40"/>
          <w:w w:val="105"/>
          <w:sz w:val="16"/>
        </w:rPr>
        <w:t> </w:t>
      </w:r>
      <w:r>
        <w:rPr>
          <w:color w:val="231F20"/>
          <w:w w:val="105"/>
          <w:sz w:val="16"/>
        </w:rPr>
        <w:t>4</w:t>
      </w:r>
      <w:r>
        <w:rPr>
          <w:color w:val="231F20"/>
          <w:spacing w:val="40"/>
          <w:w w:val="105"/>
          <w:sz w:val="16"/>
        </w:rPr>
        <w:t> </w:t>
      </w:r>
      <w:r>
        <w:rPr>
          <w:color w:val="231F20"/>
          <w:w w:val="105"/>
          <w:sz w:val="16"/>
        </w:rPr>
        <w:t>August</w:t>
      </w:r>
      <w:r>
        <w:rPr>
          <w:color w:val="231F20"/>
          <w:spacing w:val="40"/>
          <w:w w:val="105"/>
          <w:sz w:val="16"/>
        </w:rPr>
        <w:t> </w:t>
      </w:r>
      <w:r>
        <w:rPr>
          <w:color w:val="231F20"/>
          <w:w w:val="105"/>
          <w:sz w:val="16"/>
        </w:rPr>
        <w:t>2010</w:t>
      </w:r>
      <w:r>
        <w:rPr>
          <w:color w:val="231F20"/>
          <w:spacing w:val="40"/>
          <w:w w:val="105"/>
          <w:sz w:val="16"/>
        </w:rPr>
        <w:t> </w:t>
      </w:r>
      <w:r>
        <w:rPr>
          <w:color w:val="231F20"/>
          <w:w w:val="105"/>
          <w:sz w:val="16"/>
        </w:rPr>
        <w:t>in</w:t>
      </w:r>
      <w:r>
        <w:rPr>
          <w:color w:val="231F20"/>
          <w:spacing w:val="40"/>
          <w:w w:val="105"/>
          <w:sz w:val="16"/>
        </w:rPr>
        <w:t> </w:t>
      </w:r>
      <w:r>
        <w:rPr>
          <w:color w:val="231F20"/>
          <w:w w:val="105"/>
          <w:sz w:val="16"/>
        </w:rPr>
        <w:t>Wiley</w:t>
      </w:r>
      <w:r>
        <w:rPr>
          <w:color w:val="231F20"/>
          <w:spacing w:val="40"/>
          <w:w w:val="105"/>
          <w:sz w:val="16"/>
        </w:rPr>
        <w:t> </w:t>
      </w:r>
      <w:r>
        <w:rPr>
          <w:color w:val="231F20"/>
          <w:w w:val="105"/>
          <w:sz w:val="16"/>
        </w:rPr>
        <w:t>Online</w:t>
      </w:r>
      <w:r>
        <w:rPr>
          <w:color w:val="231F20"/>
          <w:spacing w:val="40"/>
          <w:w w:val="105"/>
          <w:sz w:val="16"/>
        </w:rPr>
        <w:t> </w:t>
      </w:r>
      <w:r>
        <w:rPr>
          <w:color w:val="231F20"/>
          <w:w w:val="105"/>
          <w:sz w:val="16"/>
        </w:rPr>
        <w:t>Library</w:t>
      </w:r>
      <w:r>
        <w:rPr>
          <w:color w:val="231F20"/>
          <w:spacing w:val="80"/>
          <w:w w:val="105"/>
          <w:sz w:val="16"/>
        </w:rPr>
        <w:t> </w:t>
      </w:r>
      <w:r>
        <w:rPr>
          <w:color w:val="231F20"/>
          <w:w w:val="105"/>
          <w:sz w:val="16"/>
        </w:rPr>
        <w:t>(wileyonlinelibrary.com).</w:t>
      </w:r>
      <w:r>
        <w:rPr>
          <w:color w:val="231F20"/>
          <w:spacing w:val="40"/>
          <w:w w:val="105"/>
          <w:sz w:val="16"/>
        </w:rPr>
        <w:t> </w:t>
      </w:r>
      <w:r>
        <w:rPr>
          <w:color w:val="231F20"/>
          <w:w w:val="105"/>
          <w:sz w:val="16"/>
        </w:rPr>
        <w:t>DOI: 10.1002/mds.23253</w:t>
      </w:r>
    </w:p>
    <w:p>
      <w:pPr>
        <w:spacing w:after="0" w:line="232" w:lineRule="auto"/>
        <w:jc w:val="left"/>
        <w:rPr>
          <w:sz w:val="16"/>
        </w:rPr>
        <w:sectPr>
          <w:type w:val="continuous"/>
          <w:pgSz w:w="12240" w:h="16200"/>
          <w:pgMar w:top="1060" w:bottom="280" w:left="1080" w:right="1080"/>
          <w:cols w:num="2" w:equalWidth="0">
            <w:col w:w="4860" w:space="181"/>
            <w:col w:w="5039"/>
          </w:cols>
        </w:sectPr>
      </w:pPr>
    </w:p>
    <w:p>
      <w:pPr>
        <w:pStyle w:val="BodyText"/>
        <w:rPr>
          <w:sz w:val="14"/>
        </w:rPr>
      </w:pPr>
      <w:r>
        <w:rPr>
          <w:sz w:val="14"/>
        </w:rPr>
        <mc:AlternateContent>
          <mc:Choice Requires="wps">
            <w:drawing>
              <wp:anchor distT="0" distB="0" distL="0" distR="0" allowOverlap="1" layoutInCell="1" locked="0" behindDoc="0" simplePos="0" relativeHeight="15733760">
                <wp:simplePos x="0" y="0"/>
                <wp:positionH relativeFrom="page">
                  <wp:posOffset>7555927</wp:posOffset>
                </wp:positionH>
                <wp:positionV relativeFrom="page">
                  <wp:posOffset>208819</wp:posOffset>
                </wp:positionV>
                <wp:extent cx="95885" cy="987552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95885" cy="9875520"/>
                        </a:xfrm>
                        <a:prstGeom prst="rect">
                          <a:avLst/>
                        </a:prstGeom>
                      </wps:spPr>
                      <wps:txbx>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wps:txbx>
                      <wps:bodyPr wrap="square" lIns="0" tIns="0" rIns="0" bIns="0" rtlCol="0" vert="vert">
                        <a:noAutofit/>
                      </wps:bodyPr>
                    </wps:wsp>
                  </a:graphicData>
                </a:graphic>
              </wp:anchor>
            </w:drawing>
          </mc:Choice>
          <mc:Fallback>
            <w:pict>
              <v:shape style="position:absolute;margin-left:594.954956pt;margin-top:16.442499pt;width:7.55pt;height:777.6pt;mso-position-horizontal-relative:page;mso-position-vertical-relative:page;z-index:15733760" type="#_x0000_t202" id="docshape10" filled="false" stroked="false">
                <v:textbox inset="0,0,0,0" style="layout-flow:vertical">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v:textbox>
                <w10:wrap type="none"/>
              </v:shape>
            </w:pict>
          </mc:Fallback>
        </mc:AlternateContent>
      </w:r>
    </w:p>
    <w:p>
      <w:pPr>
        <w:pStyle w:val="BodyText"/>
        <w:rPr>
          <w:sz w:val="14"/>
        </w:rPr>
      </w:pPr>
    </w:p>
    <w:p>
      <w:pPr>
        <w:pStyle w:val="BodyText"/>
        <w:rPr>
          <w:sz w:val="14"/>
        </w:rPr>
      </w:pPr>
    </w:p>
    <w:p>
      <w:pPr>
        <w:pStyle w:val="BodyText"/>
        <w:spacing w:before="39"/>
        <w:rPr>
          <w:sz w:val="14"/>
        </w:rPr>
      </w:pPr>
    </w:p>
    <w:p>
      <w:pPr>
        <w:spacing w:before="0"/>
        <w:ind w:left="256" w:right="0" w:firstLine="0"/>
        <w:jc w:val="left"/>
        <w:rPr>
          <w:i/>
          <w:sz w:val="14"/>
        </w:rPr>
      </w:pPr>
      <w:r>
        <w:rPr>
          <w:i/>
          <w:color w:val="231F20"/>
          <w:sz w:val="14"/>
        </w:rPr>
        <w:t>Movement</w:t>
      </w:r>
      <w:r>
        <w:rPr>
          <w:i/>
          <w:color w:val="231F20"/>
          <w:spacing w:val="8"/>
          <w:sz w:val="14"/>
        </w:rPr>
        <w:t> </w:t>
      </w:r>
      <w:r>
        <w:rPr>
          <w:i/>
          <w:color w:val="231F20"/>
          <w:sz w:val="14"/>
        </w:rPr>
        <w:t>Disorders,</w:t>
      </w:r>
      <w:r>
        <w:rPr>
          <w:i/>
          <w:color w:val="231F20"/>
          <w:spacing w:val="10"/>
          <w:sz w:val="14"/>
        </w:rPr>
        <w:t> </w:t>
      </w:r>
      <w:r>
        <w:rPr>
          <w:i/>
          <w:color w:val="231F20"/>
          <w:sz w:val="14"/>
        </w:rPr>
        <w:t>Vol.</w:t>
      </w:r>
      <w:r>
        <w:rPr>
          <w:i/>
          <w:color w:val="231F20"/>
          <w:spacing w:val="9"/>
          <w:sz w:val="14"/>
        </w:rPr>
        <w:t> </w:t>
      </w:r>
      <w:r>
        <w:rPr>
          <w:i/>
          <w:color w:val="231F20"/>
          <w:sz w:val="14"/>
        </w:rPr>
        <w:t>25,</w:t>
      </w:r>
      <w:r>
        <w:rPr>
          <w:i/>
          <w:color w:val="231F20"/>
          <w:spacing w:val="9"/>
          <w:sz w:val="14"/>
        </w:rPr>
        <w:t> </w:t>
      </w:r>
      <w:r>
        <w:rPr>
          <w:i/>
          <w:color w:val="231F20"/>
          <w:sz w:val="14"/>
        </w:rPr>
        <w:t>No.</w:t>
      </w:r>
      <w:r>
        <w:rPr>
          <w:i/>
          <w:color w:val="231F20"/>
          <w:spacing w:val="8"/>
          <w:sz w:val="14"/>
        </w:rPr>
        <w:t> </w:t>
      </w:r>
      <w:r>
        <w:rPr>
          <w:i/>
          <w:color w:val="231F20"/>
          <w:sz w:val="14"/>
        </w:rPr>
        <w:t>14,</w:t>
      </w:r>
      <w:r>
        <w:rPr>
          <w:i/>
          <w:color w:val="231F20"/>
          <w:spacing w:val="9"/>
          <w:sz w:val="14"/>
        </w:rPr>
        <w:t> </w:t>
      </w:r>
      <w:r>
        <w:rPr>
          <w:i/>
          <w:color w:val="231F20"/>
          <w:spacing w:val="-4"/>
          <w:sz w:val="14"/>
        </w:rPr>
        <w:t>2010</w:t>
      </w:r>
    </w:p>
    <w:p>
      <w:pPr>
        <w:spacing w:after="0"/>
        <w:jc w:val="left"/>
        <w:rPr>
          <w:i/>
          <w:sz w:val="14"/>
        </w:rPr>
        <w:sectPr>
          <w:type w:val="continuous"/>
          <w:pgSz w:w="12240" w:h="16200"/>
          <w:pgMar w:top="1060" w:bottom="280" w:left="1080" w:right="1080"/>
        </w:sectPr>
      </w:pPr>
    </w:p>
    <w:p>
      <w:pPr>
        <w:pStyle w:val="Heading3"/>
        <w:tabs>
          <w:tab w:pos="9859" w:val="right" w:leader="none"/>
        </w:tabs>
      </w:pPr>
      <w:r>
        <w:rPr>
          <w:color w:val="231F20"/>
        </w:rPr>
        <w:t>LETTERS</w:t>
      </w:r>
      <w:r>
        <w:rPr>
          <w:color w:val="231F20"/>
          <w:spacing w:val="12"/>
        </w:rPr>
        <w:t> </w:t>
      </w:r>
      <w:r>
        <w:rPr>
          <w:color w:val="231F20"/>
        </w:rPr>
        <w:t>TO</w:t>
      </w:r>
      <w:r>
        <w:rPr>
          <w:color w:val="231F20"/>
          <w:spacing w:val="10"/>
        </w:rPr>
        <w:t> </w:t>
      </w:r>
      <w:r>
        <w:rPr>
          <w:color w:val="231F20"/>
        </w:rPr>
        <w:t>THE</w:t>
      </w:r>
      <w:r>
        <w:rPr>
          <w:color w:val="231F20"/>
          <w:spacing w:val="11"/>
        </w:rPr>
        <w:t> </w:t>
      </w:r>
      <w:r>
        <w:rPr>
          <w:color w:val="231F20"/>
          <w:spacing w:val="-2"/>
        </w:rPr>
        <w:t>EDITOR</w:t>
      </w:r>
      <w:r>
        <w:rPr>
          <w:i w:val="0"/>
          <w:color w:val="231F20"/>
        </w:rPr>
        <w:tab/>
      </w:r>
      <w:r>
        <w:rPr>
          <w:color w:val="231F20"/>
          <w:spacing w:val="-4"/>
        </w:rPr>
        <w:t>2467</w:t>
      </w:r>
    </w:p>
    <w:p>
      <w:pPr>
        <w:pStyle w:val="BodyText"/>
        <w:spacing w:before="177"/>
        <w:rPr>
          <w:i/>
          <w:sz w:val="20"/>
        </w:rPr>
      </w:pPr>
      <w:r>
        <w:rPr>
          <w:i/>
          <w:sz w:val="20"/>
        </w:rPr>
        <w:drawing>
          <wp:anchor distT="0" distB="0" distL="0" distR="0" allowOverlap="1" layoutInCell="1" locked="0" behindDoc="1" simplePos="0" relativeHeight="487593472">
            <wp:simplePos x="0" y="0"/>
            <wp:positionH relativeFrom="page">
              <wp:posOffset>1843214</wp:posOffset>
            </wp:positionH>
            <wp:positionV relativeFrom="paragraph">
              <wp:posOffset>273722</wp:posOffset>
            </wp:positionV>
            <wp:extent cx="4119799" cy="194310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1" cstate="print"/>
                    <a:stretch>
                      <a:fillRect/>
                    </a:stretch>
                  </pic:blipFill>
                  <pic:spPr>
                    <a:xfrm>
                      <a:off x="0" y="0"/>
                      <a:ext cx="4119799" cy="1943100"/>
                    </a:xfrm>
                    <a:prstGeom prst="rect">
                      <a:avLst/>
                    </a:prstGeom>
                  </pic:spPr>
                </pic:pic>
              </a:graphicData>
            </a:graphic>
          </wp:anchor>
        </w:drawing>
      </w:r>
    </w:p>
    <w:p>
      <w:pPr>
        <w:spacing w:line="232" w:lineRule="auto" w:before="87"/>
        <w:ind w:left="256" w:right="215" w:firstLine="0"/>
        <w:jc w:val="both"/>
        <w:rPr>
          <w:sz w:val="16"/>
        </w:rPr>
      </w:pPr>
      <w:r>
        <w:rPr>
          <w:color w:val="231F20"/>
          <w:sz w:val="16"/>
        </w:rPr>
        <w:t>FIG.</w:t>
      </w:r>
      <w:r>
        <w:rPr>
          <w:color w:val="231F20"/>
          <w:spacing w:val="-10"/>
          <w:sz w:val="16"/>
        </w:rPr>
        <w:t> </w:t>
      </w:r>
      <w:r>
        <w:rPr>
          <w:color w:val="231F20"/>
          <w:sz w:val="16"/>
        </w:rPr>
        <w:t>1.</w:t>
      </w:r>
      <w:r>
        <w:rPr>
          <w:color w:val="231F20"/>
          <w:spacing w:val="-10"/>
          <w:sz w:val="16"/>
        </w:rPr>
        <w:t> </w:t>
      </w:r>
      <w:r>
        <w:rPr>
          <w:color w:val="231F20"/>
          <w:sz w:val="16"/>
        </w:rPr>
        <w:t>Results</w:t>
      </w:r>
      <w:r>
        <w:rPr>
          <w:color w:val="231F20"/>
          <w:spacing w:val="-10"/>
          <w:sz w:val="16"/>
        </w:rPr>
        <w:t> </w:t>
      </w:r>
      <w:r>
        <w:rPr>
          <w:color w:val="231F20"/>
          <w:sz w:val="16"/>
        </w:rPr>
        <w:t>of</w:t>
      </w:r>
      <w:r>
        <w:rPr>
          <w:color w:val="231F20"/>
          <w:spacing w:val="-10"/>
          <w:sz w:val="16"/>
        </w:rPr>
        <w:t> </w:t>
      </w:r>
      <w:r>
        <w:rPr>
          <w:color w:val="231F20"/>
          <w:sz w:val="16"/>
        </w:rPr>
        <w:t>regional</w:t>
      </w:r>
      <w:r>
        <w:rPr>
          <w:color w:val="231F20"/>
          <w:spacing w:val="-10"/>
          <w:sz w:val="16"/>
        </w:rPr>
        <w:t> </w:t>
      </w:r>
      <w:r>
        <w:rPr>
          <w:color w:val="231F20"/>
          <w:sz w:val="16"/>
        </w:rPr>
        <w:t>brain</w:t>
      </w:r>
      <w:r>
        <w:rPr>
          <w:color w:val="231F20"/>
          <w:spacing w:val="-10"/>
          <w:sz w:val="16"/>
        </w:rPr>
        <w:t> </w:t>
      </w:r>
      <w:r>
        <w:rPr>
          <w:color w:val="231F20"/>
          <w:sz w:val="16"/>
        </w:rPr>
        <w:t>activation</w:t>
      </w:r>
      <w:r>
        <w:rPr>
          <w:color w:val="231F20"/>
          <w:spacing w:val="-10"/>
          <w:sz w:val="16"/>
        </w:rPr>
        <w:t> </w:t>
      </w:r>
      <w:r>
        <w:rPr>
          <w:color w:val="231F20"/>
          <w:sz w:val="16"/>
        </w:rPr>
        <w:t>related</w:t>
      </w:r>
      <w:r>
        <w:rPr>
          <w:color w:val="231F20"/>
          <w:spacing w:val="-10"/>
          <w:sz w:val="16"/>
        </w:rPr>
        <w:t> </w:t>
      </w:r>
      <w:r>
        <w:rPr>
          <w:color w:val="231F20"/>
          <w:sz w:val="16"/>
        </w:rPr>
        <w:t>to</w:t>
      </w:r>
      <w:r>
        <w:rPr>
          <w:color w:val="231F20"/>
          <w:spacing w:val="-10"/>
          <w:sz w:val="16"/>
        </w:rPr>
        <w:t> </w:t>
      </w:r>
      <w:r>
        <w:rPr>
          <w:color w:val="231F20"/>
          <w:sz w:val="16"/>
        </w:rPr>
        <w:t>the</w:t>
      </w:r>
      <w:r>
        <w:rPr>
          <w:color w:val="231F20"/>
          <w:spacing w:val="-10"/>
          <w:sz w:val="16"/>
        </w:rPr>
        <w:t> </w:t>
      </w:r>
      <w:r>
        <w:rPr>
          <w:color w:val="231F20"/>
          <w:sz w:val="16"/>
        </w:rPr>
        <w:t>olfactory</w:t>
      </w:r>
      <w:r>
        <w:rPr>
          <w:color w:val="231F20"/>
          <w:spacing w:val="-10"/>
          <w:sz w:val="16"/>
        </w:rPr>
        <w:t> </w:t>
      </w:r>
      <w:r>
        <w:rPr>
          <w:color w:val="231F20"/>
          <w:sz w:val="16"/>
        </w:rPr>
        <w:t>paradigm</w:t>
      </w:r>
      <w:r>
        <w:rPr>
          <w:color w:val="231F20"/>
          <w:spacing w:val="-10"/>
          <w:sz w:val="16"/>
        </w:rPr>
        <w:t> </w:t>
      </w:r>
      <w:r>
        <w:rPr>
          <w:color w:val="231F20"/>
          <w:sz w:val="16"/>
        </w:rPr>
        <w:t>during</w:t>
      </w:r>
      <w:r>
        <w:rPr>
          <w:color w:val="231F20"/>
          <w:spacing w:val="-10"/>
          <w:sz w:val="16"/>
        </w:rPr>
        <w:t> </w:t>
      </w:r>
      <w:r>
        <w:rPr>
          <w:color w:val="231F20"/>
          <w:sz w:val="16"/>
        </w:rPr>
        <w:t>bilateral</w:t>
      </w:r>
      <w:r>
        <w:rPr>
          <w:color w:val="231F20"/>
          <w:spacing w:val="-10"/>
          <w:sz w:val="16"/>
        </w:rPr>
        <w:t> </w:t>
      </w:r>
      <w:r>
        <w:rPr>
          <w:color w:val="231F20"/>
          <w:sz w:val="16"/>
        </w:rPr>
        <w:t>STN</w:t>
      </w:r>
      <w:r>
        <w:rPr>
          <w:color w:val="231F20"/>
          <w:spacing w:val="-10"/>
          <w:sz w:val="16"/>
        </w:rPr>
        <w:t> </w:t>
      </w:r>
      <w:r>
        <w:rPr>
          <w:color w:val="231F20"/>
          <w:sz w:val="16"/>
        </w:rPr>
        <w:t>stimulation.</w:t>
      </w:r>
      <w:r>
        <w:rPr>
          <w:color w:val="231F20"/>
          <w:spacing w:val="-10"/>
          <w:sz w:val="16"/>
        </w:rPr>
        <w:t> </w:t>
      </w:r>
      <w:r>
        <w:rPr>
          <w:color w:val="231F20"/>
          <w:sz w:val="16"/>
        </w:rPr>
        <w:t>Images</w:t>
      </w:r>
      <w:r>
        <w:rPr>
          <w:color w:val="231F20"/>
          <w:spacing w:val="-10"/>
          <w:sz w:val="16"/>
        </w:rPr>
        <w:t> </w:t>
      </w:r>
      <w:r>
        <w:rPr>
          <w:color w:val="231F20"/>
          <w:sz w:val="16"/>
        </w:rPr>
        <w:t>corresponding</w:t>
      </w:r>
      <w:r>
        <w:rPr>
          <w:color w:val="231F20"/>
          <w:spacing w:val="-10"/>
          <w:sz w:val="16"/>
        </w:rPr>
        <w:t> </w:t>
      </w:r>
      <w:r>
        <w:rPr>
          <w:color w:val="231F20"/>
          <w:sz w:val="16"/>
        </w:rPr>
        <w:t>to</w:t>
      </w:r>
      <w:r>
        <w:rPr>
          <w:color w:val="231F20"/>
          <w:spacing w:val="-10"/>
          <w:sz w:val="16"/>
        </w:rPr>
        <w:t> </w:t>
      </w:r>
      <w:r>
        <w:rPr>
          <w:color w:val="231F20"/>
          <w:sz w:val="16"/>
        </w:rPr>
        <w:t>‘‘on’’</w:t>
      </w:r>
      <w:r>
        <w:rPr>
          <w:color w:val="231F20"/>
          <w:spacing w:val="-10"/>
          <w:sz w:val="16"/>
        </w:rPr>
        <w:t> </w:t>
      </w:r>
      <w:r>
        <w:rPr>
          <w:color w:val="231F20"/>
          <w:sz w:val="16"/>
        </w:rPr>
        <w:t>and</w:t>
      </w:r>
      <w:r>
        <w:rPr>
          <w:color w:val="231F20"/>
          <w:spacing w:val="-10"/>
          <w:sz w:val="16"/>
        </w:rPr>
        <w:t> </w:t>
      </w:r>
      <w:r>
        <w:rPr>
          <w:color w:val="231F20"/>
          <w:sz w:val="16"/>
        </w:rPr>
        <w:t>‘‘off’’</w:t>
      </w:r>
      <w:r>
        <w:rPr>
          <w:color w:val="231F20"/>
          <w:spacing w:val="40"/>
          <w:sz w:val="16"/>
        </w:rPr>
        <w:t> </w:t>
      </w:r>
      <w:r>
        <w:rPr>
          <w:color w:val="231F20"/>
          <w:sz w:val="16"/>
        </w:rPr>
        <w:t>conditions</w:t>
      </w:r>
      <w:r>
        <w:rPr>
          <w:color w:val="231F20"/>
          <w:spacing w:val="-1"/>
          <w:sz w:val="16"/>
        </w:rPr>
        <w:t> </w:t>
      </w:r>
      <w:r>
        <w:rPr>
          <w:color w:val="231F20"/>
          <w:sz w:val="16"/>
        </w:rPr>
        <w:t>were</w:t>
      </w:r>
      <w:r>
        <w:rPr>
          <w:color w:val="231F20"/>
          <w:spacing w:val="-1"/>
          <w:sz w:val="16"/>
        </w:rPr>
        <w:t> </w:t>
      </w:r>
      <w:r>
        <w:rPr>
          <w:color w:val="231F20"/>
          <w:sz w:val="16"/>
        </w:rPr>
        <w:t>compared</w:t>
      </w:r>
      <w:r>
        <w:rPr>
          <w:color w:val="231F20"/>
          <w:spacing w:val="-1"/>
          <w:sz w:val="16"/>
        </w:rPr>
        <w:t> </w:t>
      </w:r>
      <w:r>
        <w:rPr>
          <w:color w:val="231F20"/>
          <w:sz w:val="16"/>
        </w:rPr>
        <w:t>through computerized</w:t>
      </w:r>
      <w:r>
        <w:rPr>
          <w:color w:val="231F20"/>
          <w:spacing w:val="-2"/>
          <w:sz w:val="16"/>
        </w:rPr>
        <w:t> </w:t>
      </w:r>
      <w:r>
        <w:rPr>
          <w:color w:val="231F20"/>
          <w:sz w:val="16"/>
        </w:rPr>
        <w:t>voxel-based image subtraction (Matlab</w:t>
      </w:r>
      <w:r>
        <w:rPr>
          <w:rFonts w:ascii="Arial" w:hAnsi="Arial"/>
          <w:color w:val="231F20"/>
          <w:sz w:val="16"/>
          <w:vertAlign w:val="superscript"/>
        </w:rPr>
        <w:t>1</w:t>
      </w:r>
      <w:r>
        <w:rPr>
          <w:color w:val="231F20"/>
          <w:sz w:val="16"/>
          <w:vertAlign w:val="baseline"/>
        </w:rPr>
        <w:t>/ImageJ</w:t>
      </w:r>
      <w:r>
        <w:rPr>
          <w:rFonts w:ascii="Arial" w:hAnsi="Arial"/>
          <w:color w:val="231F20"/>
          <w:sz w:val="16"/>
          <w:vertAlign w:val="superscript"/>
        </w:rPr>
        <w:t>1</w:t>
      </w:r>
      <w:r>
        <w:rPr>
          <w:color w:val="231F20"/>
          <w:sz w:val="16"/>
          <w:vertAlign w:val="baseline"/>
        </w:rPr>
        <w:t>),</w:t>
      </w:r>
      <w:r>
        <w:rPr>
          <w:color w:val="231F20"/>
          <w:spacing w:val="-2"/>
          <w:sz w:val="16"/>
          <w:vertAlign w:val="baseline"/>
        </w:rPr>
        <w:t> </w:t>
      </w:r>
      <w:r>
        <w:rPr>
          <w:color w:val="231F20"/>
          <w:sz w:val="16"/>
          <w:vertAlign w:val="baseline"/>
        </w:rPr>
        <w:t>fused onto the MRI (Osirix</w:t>
      </w:r>
      <w:r>
        <w:rPr>
          <w:rFonts w:ascii="Arial" w:hAnsi="Arial"/>
          <w:color w:val="231F20"/>
          <w:sz w:val="16"/>
          <w:vertAlign w:val="superscript"/>
        </w:rPr>
        <w:t>1</w:t>
      </w:r>
      <w:r>
        <w:rPr>
          <w:color w:val="231F20"/>
          <w:sz w:val="16"/>
          <w:vertAlign w:val="baseline"/>
        </w:rPr>
        <w:t>) and plotted into the</w:t>
      </w:r>
      <w:r>
        <w:rPr>
          <w:color w:val="231F20"/>
          <w:spacing w:val="40"/>
          <w:sz w:val="16"/>
          <w:vertAlign w:val="baseline"/>
        </w:rPr>
        <w:t> </w:t>
      </w:r>
      <w:r>
        <w:rPr>
          <w:color w:val="231F20"/>
          <w:sz w:val="16"/>
          <w:vertAlign w:val="baseline"/>
        </w:rPr>
        <w:t>Tailarach</w:t>
      </w:r>
      <w:r>
        <w:rPr>
          <w:color w:val="231F20"/>
          <w:spacing w:val="-1"/>
          <w:sz w:val="16"/>
          <w:vertAlign w:val="baseline"/>
        </w:rPr>
        <w:t> </w:t>
      </w:r>
      <w:r>
        <w:rPr>
          <w:color w:val="231F20"/>
          <w:sz w:val="16"/>
          <w:vertAlign w:val="baseline"/>
        </w:rPr>
        <w:t>atlas (Brainsight</w:t>
      </w:r>
      <w:r>
        <w:rPr>
          <w:rFonts w:ascii="Arial" w:hAnsi="Arial"/>
          <w:color w:val="231F20"/>
          <w:sz w:val="16"/>
          <w:vertAlign w:val="superscript"/>
        </w:rPr>
        <w:t>1</w:t>
      </w:r>
      <w:r>
        <w:rPr>
          <w:color w:val="231F20"/>
          <w:sz w:val="16"/>
          <w:vertAlign w:val="baseline"/>
        </w:rPr>
        <w:t>).</w:t>
      </w:r>
      <w:r>
        <w:rPr>
          <w:color w:val="231F20"/>
          <w:spacing w:val="-2"/>
          <w:sz w:val="16"/>
          <w:vertAlign w:val="baseline"/>
        </w:rPr>
        <w:t> </w:t>
      </w:r>
      <w:r>
        <w:rPr>
          <w:color w:val="231F20"/>
          <w:sz w:val="16"/>
          <w:vertAlign w:val="baseline"/>
        </w:rPr>
        <w:t>The image</w:t>
      </w:r>
      <w:r>
        <w:rPr>
          <w:color w:val="231F20"/>
          <w:spacing w:val="-1"/>
          <w:sz w:val="16"/>
          <w:vertAlign w:val="baseline"/>
        </w:rPr>
        <w:t> </w:t>
      </w:r>
      <w:r>
        <w:rPr>
          <w:color w:val="231F20"/>
          <w:sz w:val="16"/>
          <w:vertAlign w:val="baseline"/>
        </w:rPr>
        <w:t>shows in</w:t>
      </w:r>
      <w:r>
        <w:rPr>
          <w:color w:val="231F20"/>
          <w:spacing w:val="-3"/>
          <w:sz w:val="16"/>
          <w:vertAlign w:val="baseline"/>
        </w:rPr>
        <w:t> </w:t>
      </w:r>
      <w:r>
        <w:rPr>
          <w:color w:val="231F20"/>
          <w:sz w:val="16"/>
          <w:vertAlign w:val="baseline"/>
        </w:rPr>
        <w:t>red and</w:t>
      </w:r>
      <w:r>
        <w:rPr>
          <w:color w:val="231F20"/>
          <w:spacing w:val="-1"/>
          <w:sz w:val="16"/>
          <w:vertAlign w:val="baseline"/>
        </w:rPr>
        <w:t> </w:t>
      </w:r>
      <w:r>
        <w:rPr>
          <w:color w:val="231F20"/>
          <w:sz w:val="16"/>
          <w:vertAlign w:val="baseline"/>
        </w:rPr>
        <w:t>yellow</w:t>
      </w:r>
      <w:r>
        <w:rPr>
          <w:color w:val="231F20"/>
          <w:spacing w:val="-2"/>
          <w:sz w:val="16"/>
          <w:vertAlign w:val="baseline"/>
        </w:rPr>
        <w:t> </w:t>
      </w:r>
      <w:r>
        <w:rPr>
          <w:color w:val="231F20"/>
          <w:sz w:val="16"/>
          <w:vertAlign w:val="baseline"/>
        </w:rPr>
        <w:t>the</w:t>
      </w:r>
      <w:r>
        <w:rPr>
          <w:color w:val="231F20"/>
          <w:spacing w:val="-1"/>
          <w:sz w:val="16"/>
          <w:vertAlign w:val="baseline"/>
        </w:rPr>
        <w:t> </w:t>
      </w:r>
      <w:r>
        <w:rPr>
          <w:color w:val="231F20"/>
          <w:sz w:val="16"/>
          <w:vertAlign w:val="baseline"/>
        </w:rPr>
        <w:t>greater</w:t>
      </w:r>
      <w:r>
        <w:rPr>
          <w:color w:val="231F20"/>
          <w:spacing w:val="-1"/>
          <w:sz w:val="16"/>
          <w:vertAlign w:val="baseline"/>
        </w:rPr>
        <w:t> </w:t>
      </w:r>
      <w:r>
        <w:rPr>
          <w:color w:val="231F20"/>
          <w:sz w:val="16"/>
          <w:vertAlign w:val="baseline"/>
        </w:rPr>
        <w:t>activation</w:t>
      </w:r>
      <w:r>
        <w:rPr>
          <w:color w:val="231F20"/>
          <w:spacing w:val="-1"/>
          <w:sz w:val="16"/>
          <w:vertAlign w:val="baseline"/>
        </w:rPr>
        <w:t> </w:t>
      </w:r>
      <w:r>
        <w:rPr>
          <w:color w:val="231F20"/>
          <w:sz w:val="16"/>
          <w:vertAlign w:val="baseline"/>
        </w:rPr>
        <w:t>areas</w:t>
      </w:r>
      <w:r>
        <w:rPr>
          <w:color w:val="231F20"/>
          <w:spacing w:val="-1"/>
          <w:sz w:val="16"/>
          <w:vertAlign w:val="baseline"/>
        </w:rPr>
        <w:t> </w:t>
      </w:r>
      <w:r>
        <w:rPr>
          <w:color w:val="231F20"/>
          <w:sz w:val="16"/>
          <w:vertAlign w:val="baseline"/>
        </w:rPr>
        <w:t>(thalamus,</w:t>
      </w:r>
      <w:r>
        <w:rPr>
          <w:color w:val="231F20"/>
          <w:spacing w:val="-1"/>
          <w:sz w:val="16"/>
          <w:vertAlign w:val="baseline"/>
        </w:rPr>
        <w:t> </w:t>
      </w:r>
      <w:r>
        <w:rPr>
          <w:color w:val="231F20"/>
          <w:sz w:val="16"/>
          <w:vertAlign w:val="baseline"/>
        </w:rPr>
        <w:t>striatum,</w:t>
      </w:r>
      <w:r>
        <w:rPr>
          <w:color w:val="231F20"/>
          <w:spacing w:val="-2"/>
          <w:sz w:val="16"/>
          <w:vertAlign w:val="baseline"/>
        </w:rPr>
        <w:t> </w:t>
      </w:r>
      <w:r>
        <w:rPr>
          <w:color w:val="231F20"/>
          <w:sz w:val="16"/>
          <w:vertAlign w:val="baseline"/>
        </w:rPr>
        <w:t>nucleus</w:t>
      </w:r>
      <w:r>
        <w:rPr>
          <w:color w:val="231F20"/>
          <w:spacing w:val="-2"/>
          <w:sz w:val="16"/>
          <w:vertAlign w:val="baseline"/>
        </w:rPr>
        <w:t> </w:t>
      </w:r>
      <w:r>
        <w:rPr>
          <w:color w:val="231F20"/>
          <w:sz w:val="16"/>
          <w:vertAlign w:val="baseline"/>
        </w:rPr>
        <w:t>accumbens</w:t>
      </w:r>
      <w:r>
        <w:rPr>
          <w:color w:val="231F20"/>
          <w:spacing w:val="-1"/>
          <w:sz w:val="16"/>
          <w:vertAlign w:val="baseline"/>
        </w:rPr>
        <w:t> </w:t>
      </w:r>
      <w:r>
        <w:rPr>
          <w:color w:val="231F20"/>
          <w:sz w:val="16"/>
          <w:vertAlign w:val="baseline"/>
        </w:rPr>
        <w:t>and amygdaloid</w:t>
      </w:r>
      <w:r>
        <w:rPr>
          <w:color w:val="231F20"/>
          <w:spacing w:val="40"/>
          <w:sz w:val="16"/>
          <w:vertAlign w:val="baseline"/>
        </w:rPr>
        <w:t> </w:t>
      </w:r>
      <w:r>
        <w:rPr>
          <w:color w:val="231F20"/>
          <w:sz w:val="16"/>
          <w:vertAlign w:val="baseline"/>
        </w:rPr>
        <w:t>complex</w:t>
      </w:r>
      <w:r>
        <w:rPr>
          <w:color w:val="231F20"/>
          <w:spacing w:val="-5"/>
          <w:sz w:val="16"/>
          <w:vertAlign w:val="baseline"/>
        </w:rPr>
        <w:t> </w:t>
      </w:r>
      <w:r>
        <w:rPr>
          <w:color w:val="231F20"/>
          <w:sz w:val="16"/>
          <w:vertAlign w:val="baseline"/>
        </w:rPr>
        <w:t>bilaterally,</w:t>
      </w:r>
      <w:r>
        <w:rPr>
          <w:color w:val="231F20"/>
          <w:spacing w:val="-5"/>
          <w:sz w:val="16"/>
          <w:vertAlign w:val="baseline"/>
        </w:rPr>
        <w:t> </w:t>
      </w:r>
      <w:r>
        <w:rPr>
          <w:color w:val="231F20"/>
          <w:sz w:val="16"/>
          <w:vertAlign w:val="baseline"/>
        </w:rPr>
        <w:t>and</w:t>
      </w:r>
      <w:r>
        <w:rPr>
          <w:color w:val="231F20"/>
          <w:spacing w:val="-5"/>
          <w:sz w:val="16"/>
          <w:vertAlign w:val="baseline"/>
        </w:rPr>
        <w:t> </w:t>
      </w:r>
      <w:r>
        <w:rPr>
          <w:color w:val="231F20"/>
          <w:sz w:val="16"/>
          <w:vertAlign w:val="baseline"/>
        </w:rPr>
        <w:t>the</w:t>
      </w:r>
      <w:r>
        <w:rPr>
          <w:color w:val="231F20"/>
          <w:spacing w:val="-5"/>
          <w:sz w:val="16"/>
          <w:vertAlign w:val="baseline"/>
        </w:rPr>
        <w:t> </w:t>
      </w:r>
      <w:r>
        <w:rPr>
          <w:color w:val="231F20"/>
          <w:sz w:val="16"/>
          <w:vertAlign w:val="baseline"/>
        </w:rPr>
        <w:t>left</w:t>
      </w:r>
      <w:r>
        <w:rPr>
          <w:color w:val="231F20"/>
          <w:spacing w:val="-7"/>
          <w:sz w:val="16"/>
          <w:vertAlign w:val="baseline"/>
        </w:rPr>
        <w:t> </w:t>
      </w:r>
      <w:r>
        <w:rPr>
          <w:color w:val="231F20"/>
          <w:sz w:val="16"/>
          <w:vertAlign w:val="baseline"/>
        </w:rPr>
        <w:t>gyrus</w:t>
      </w:r>
      <w:r>
        <w:rPr>
          <w:color w:val="231F20"/>
          <w:spacing w:val="-7"/>
          <w:sz w:val="16"/>
          <w:vertAlign w:val="baseline"/>
        </w:rPr>
        <w:t> </w:t>
      </w:r>
      <w:r>
        <w:rPr>
          <w:color w:val="231F20"/>
          <w:sz w:val="16"/>
          <w:vertAlign w:val="baseline"/>
        </w:rPr>
        <w:t>rectus).</w:t>
      </w:r>
      <w:r>
        <w:rPr>
          <w:color w:val="231F20"/>
          <w:spacing w:val="-7"/>
          <w:sz w:val="16"/>
          <w:vertAlign w:val="baseline"/>
        </w:rPr>
        <w:t> </w:t>
      </w:r>
      <w:r>
        <w:rPr>
          <w:color w:val="231F20"/>
          <w:sz w:val="16"/>
          <w:vertAlign w:val="baseline"/>
        </w:rPr>
        <w:t>At</w:t>
      </w:r>
      <w:r>
        <w:rPr>
          <w:color w:val="231F20"/>
          <w:spacing w:val="-7"/>
          <w:sz w:val="16"/>
          <w:vertAlign w:val="baseline"/>
        </w:rPr>
        <w:t> </w:t>
      </w:r>
      <w:r>
        <w:rPr>
          <w:color w:val="231F20"/>
          <w:sz w:val="16"/>
          <w:vertAlign w:val="baseline"/>
        </w:rPr>
        <w:t>the</w:t>
      </w:r>
      <w:r>
        <w:rPr>
          <w:color w:val="231F20"/>
          <w:spacing w:val="-6"/>
          <w:sz w:val="16"/>
          <w:vertAlign w:val="baseline"/>
        </w:rPr>
        <w:t> </w:t>
      </w:r>
      <w:r>
        <w:rPr>
          <w:color w:val="231F20"/>
          <w:sz w:val="16"/>
          <w:vertAlign w:val="baseline"/>
        </w:rPr>
        <w:t>bottom</w:t>
      </w:r>
      <w:r>
        <w:rPr>
          <w:color w:val="231F20"/>
          <w:spacing w:val="-5"/>
          <w:sz w:val="16"/>
          <w:vertAlign w:val="baseline"/>
        </w:rPr>
        <w:t> </w:t>
      </w:r>
      <w:r>
        <w:rPr>
          <w:color w:val="231F20"/>
          <w:sz w:val="16"/>
          <w:vertAlign w:val="baseline"/>
        </w:rPr>
        <w:t>‘‘Z’’</w:t>
      </w:r>
      <w:r>
        <w:rPr>
          <w:color w:val="231F20"/>
          <w:spacing w:val="-5"/>
          <w:sz w:val="16"/>
          <w:vertAlign w:val="baseline"/>
        </w:rPr>
        <w:t> </w:t>
      </w:r>
      <w:r>
        <w:rPr>
          <w:color w:val="231F20"/>
          <w:sz w:val="16"/>
          <w:vertAlign w:val="baseline"/>
        </w:rPr>
        <w:t>shows</w:t>
      </w:r>
      <w:r>
        <w:rPr>
          <w:color w:val="231F20"/>
          <w:spacing w:val="-5"/>
          <w:sz w:val="16"/>
          <w:vertAlign w:val="baseline"/>
        </w:rPr>
        <w:t> </w:t>
      </w:r>
      <w:r>
        <w:rPr>
          <w:color w:val="231F20"/>
          <w:sz w:val="16"/>
          <w:vertAlign w:val="baseline"/>
        </w:rPr>
        <w:t>the</w:t>
      </w:r>
      <w:r>
        <w:rPr>
          <w:color w:val="231F20"/>
          <w:spacing w:val="-5"/>
          <w:sz w:val="16"/>
          <w:vertAlign w:val="baseline"/>
        </w:rPr>
        <w:t> </w:t>
      </w:r>
      <w:r>
        <w:rPr>
          <w:color w:val="231F20"/>
          <w:sz w:val="16"/>
          <w:vertAlign w:val="baseline"/>
        </w:rPr>
        <w:t>brain</w:t>
      </w:r>
      <w:r>
        <w:rPr>
          <w:color w:val="231F20"/>
          <w:spacing w:val="-7"/>
          <w:sz w:val="16"/>
          <w:vertAlign w:val="baseline"/>
        </w:rPr>
        <w:t> </w:t>
      </w:r>
      <w:r>
        <w:rPr>
          <w:color w:val="231F20"/>
          <w:sz w:val="16"/>
          <w:vertAlign w:val="baseline"/>
        </w:rPr>
        <w:t>slice</w:t>
      </w:r>
      <w:r>
        <w:rPr>
          <w:color w:val="231F20"/>
          <w:spacing w:val="-5"/>
          <w:sz w:val="16"/>
          <w:vertAlign w:val="baseline"/>
        </w:rPr>
        <w:t> </w:t>
      </w:r>
      <w:r>
        <w:rPr>
          <w:color w:val="231F20"/>
          <w:sz w:val="16"/>
          <w:vertAlign w:val="baseline"/>
        </w:rPr>
        <w:t>distance</w:t>
      </w:r>
      <w:r>
        <w:rPr>
          <w:color w:val="231F20"/>
          <w:spacing w:val="-5"/>
          <w:sz w:val="16"/>
          <w:vertAlign w:val="baseline"/>
        </w:rPr>
        <w:t> </w:t>
      </w:r>
      <w:r>
        <w:rPr>
          <w:color w:val="231F20"/>
          <w:sz w:val="16"/>
          <w:vertAlign w:val="baseline"/>
        </w:rPr>
        <w:t>from</w:t>
      </w:r>
      <w:r>
        <w:rPr>
          <w:color w:val="231F20"/>
          <w:spacing w:val="-5"/>
          <w:sz w:val="16"/>
          <w:vertAlign w:val="baseline"/>
        </w:rPr>
        <w:t> </w:t>
      </w:r>
      <w:r>
        <w:rPr>
          <w:color w:val="231F20"/>
          <w:sz w:val="16"/>
          <w:vertAlign w:val="baseline"/>
        </w:rPr>
        <w:t>the</w:t>
      </w:r>
      <w:r>
        <w:rPr>
          <w:color w:val="231F20"/>
          <w:spacing w:val="-5"/>
          <w:sz w:val="16"/>
          <w:vertAlign w:val="baseline"/>
        </w:rPr>
        <w:t> </w:t>
      </w:r>
      <w:r>
        <w:rPr>
          <w:color w:val="231F20"/>
          <w:sz w:val="16"/>
          <w:vertAlign w:val="baseline"/>
        </w:rPr>
        <w:t>AC–PC</w:t>
      </w:r>
      <w:r>
        <w:rPr>
          <w:color w:val="231F20"/>
          <w:spacing w:val="-7"/>
          <w:sz w:val="16"/>
          <w:vertAlign w:val="baseline"/>
        </w:rPr>
        <w:t> </w:t>
      </w:r>
      <w:r>
        <w:rPr>
          <w:color w:val="231F20"/>
          <w:sz w:val="16"/>
          <w:vertAlign w:val="baseline"/>
        </w:rPr>
        <w:t>line</w:t>
      </w:r>
      <w:r>
        <w:rPr>
          <w:color w:val="231F20"/>
          <w:spacing w:val="-6"/>
          <w:sz w:val="16"/>
          <w:vertAlign w:val="baseline"/>
        </w:rPr>
        <w:t> </w:t>
      </w:r>
      <w:r>
        <w:rPr>
          <w:color w:val="231F20"/>
          <w:sz w:val="16"/>
          <w:vertAlign w:val="baseline"/>
        </w:rPr>
        <w:t>(coordinates</w:t>
      </w:r>
      <w:r>
        <w:rPr>
          <w:color w:val="231F20"/>
          <w:spacing w:val="-7"/>
          <w:sz w:val="16"/>
          <w:vertAlign w:val="baseline"/>
        </w:rPr>
        <w:t> </w:t>
      </w:r>
      <w:r>
        <w:rPr>
          <w:color w:val="231F20"/>
          <w:sz w:val="16"/>
          <w:vertAlign w:val="baseline"/>
        </w:rPr>
        <w:t>of</w:t>
      </w:r>
      <w:r>
        <w:rPr>
          <w:color w:val="231F20"/>
          <w:spacing w:val="-7"/>
          <w:sz w:val="16"/>
          <w:vertAlign w:val="baseline"/>
        </w:rPr>
        <w:t> </w:t>
      </w:r>
      <w:r>
        <w:rPr>
          <w:color w:val="231F20"/>
          <w:sz w:val="16"/>
          <w:vertAlign w:val="baseline"/>
        </w:rPr>
        <w:t>Talairach</w:t>
      </w:r>
      <w:r>
        <w:rPr>
          <w:color w:val="231F20"/>
          <w:spacing w:val="-5"/>
          <w:sz w:val="16"/>
          <w:vertAlign w:val="baseline"/>
        </w:rPr>
        <w:t> </w:t>
      </w:r>
      <w:r>
        <w:rPr>
          <w:color w:val="231F20"/>
          <w:sz w:val="16"/>
          <w:vertAlign w:val="baseline"/>
        </w:rPr>
        <w:t>Atlas).</w:t>
      </w:r>
      <w:r>
        <w:rPr>
          <w:color w:val="231F20"/>
          <w:spacing w:val="40"/>
          <w:sz w:val="16"/>
          <w:vertAlign w:val="baseline"/>
        </w:rPr>
        <w:t> </w:t>
      </w:r>
      <w:r>
        <w:rPr>
          <w:color w:val="231F20"/>
          <w:sz w:val="16"/>
          <w:vertAlign w:val="baseline"/>
        </w:rPr>
        <w:t>[Color</w:t>
      </w:r>
      <w:r>
        <w:rPr>
          <w:color w:val="231F20"/>
          <w:spacing w:val="-2"/>
          <w:sz w:val="16"/>
          <w:vertAlign w:val="baseline"/>
        </w:rPr>
        <w:t> </w:t>
      </w:r>
      <w:r>
        <w:rPr>
          <w:color w:val="231F20"/>
          <w:sz w:val="16"/>
          <w:vertAlign w:val="baseline"/>
        </w:rPr>
        <w:t>ﬁgure</w:t>
      </w:r>
      <w:r>
        <w:rPr>
          <w:color w:val="231F20"/>
          <w:spacing w:val="-1"/>
          <w:sz w:val="16"/>
          <w:vertAlign w:val="baseline"/>
        </w:rPr>
        <w:t> </w:t>
      </w:r>
      <w:r>
        <w:rPr>
          <w:color w:val="231F20"/>
          <w:sz w:val="16"/>
          <w:vertAlign w:val="baseline"/>
        </w:rPr>
        <w:t>can</w:t>
      </w:r>
      <w:r>
        <w:rPr>
          <w:color w:val="231F20"/>
          <w:spacing w:val="-1"/>
          <w:sz w:val="16"/>
          <w:vertAlign w:val="baseline"/>
        </w:rPr>
        <w:t> </w:t>
      </w:r>
      <w:r>
        <w:rPr>
          <w:color w:val="231F20"/>
          <w:sz w:val="16"/>
          <w:vertAlign w:val="baseline"/>
        </w:rPr>
        <w:t>be</w:t>
      </w:r>
      <w:r>
        <w:rPr>
          <w:color w:val="231F20"/>
          <w:spacing w:val="-3"/>
          <w:sz w:val="16"/>
          <w:vertAlign w:val="baseline"/>
        </w:rPr>
        <w:t> </w:t>
      </w:r>
      <w:r>
        <w:rPr>
          <w:color w:val="231F20"/>
          <w:sz w:val="16"/>
          <w:vertAlign w:val="baseline"/>
        </w:rPr>
        <w:t>viewed</w:t>
      </w:r>
      <w:r>
        <w:rPr>
          <w:color w:val="231F20"/>
          <w:spacing w:val="-3"/>
          <w:sz w:val="16"/>
          <w:vertAlign w:val="baseline"/>
        </w:rPr>
        <w:t> </w:t>
      </w:r>
      <w:r>
        <w:rPr>
          <w:color w:val="231F20"/>
          <w:sz w:val="16"/>
          <w:vertAlign w:val="baseline"/>
        </w:rPr>
        <w:t>in</w:t>
      </w:r>
      <w:r>
        <w:rPr>
          <w:color w:val="231F20"/>
          <w:spacing w:val="-3"/>
          <w:sz w:val="16"/>
          <w:vertAlign w:val="baseline"/>
        </w:rPr>
        <w:t> </w:t>
      </w:r>
      <w:r>
        <w:rPr>
          <w:color w:val="231F20"/>
          <w:sz w:val="16"/>
          <w:vertAlign w:val="baseline"/>
        </w:rPr>
        <w:t>the</w:t>
      </w:r>
      <w:r>
        <w:rPr>
          <w:color w:val="231F20"/>
          <w:spacing w:val="-2"/>
          <w:sz w:val="16"/>
          <w:vertAlign w:val="baseline"/>
        </w:rPr>
        <w:t> </w:t>
      </w:r>
      <w:r>
        <w:rPr>
          <w:color w:val="231F20"/>
          <w:sz w:val="16"/>
          <w:vertAlign w:val="baseline"/>
        </w:rPr>
        <w:t>online</w:t>
      </w:r>
      <w:r>
        <w:rPr>
          <w:color w:val="231F20"/>
          <w:spacing w:val="-1"/>
          <w:sz w:val="16"/>
          <w:vertAlign w:val="baseline"/>
        </w:rPr>
        <w:t> </w:t>
      </w:r>
      <w:r>
        <w:rPr>
          <w:color w:val="231F20"/>
          <w:sz w:val="16"/>
          <w:vertAlign w:val="baseline"/>
        </w:rPr>
        <w:t>issue,</w:t>
      </w:r>
      <w:r>
        <w:rPr>
          <w:color w:val="231F20"/>
          <w:spacing w:val="-3"/>
          <w:sz w:val="16"/>
          <w:vertAlign w:val="baseline"/>
        </w:rPr>
        <w:t> </w:t>
      </w:r>
      <w:r>
        <w:rPr>
          <w:color w:val="231F20"/>
          <w:sz w:val="16"/>
          <w:vertAlign w:val="baseline"/>
        </w:rPr>
        <w:t>which</w:t>
      </w:r>
      <w:r>
        <w:rPr>
          <w:color w:val="231F20"/>
          <w:spacing w:val="-3"/>
          <w:sz w:val="16"/>
          <w:vertAlign w:val="baseline"/>
        </w:rPr>
        <w:t> </w:t>
      </w:r>
      <w:r>
        <w:rPr>
          <w:color w:val="231F20"/>
          <w:sz w:val="16"/>
          <w:vertAlign w:val="baseline"/>
        </w:rPr>
        <w:t>is</w:t>
      </w:r>
      <w:r>
        <w:rPr>
          <w:color w:val="231F20"/>
          <w:spacing w:val="-3"/>
          <w:sz w:val="16"/>
          <w:vertAlign w:val="baseline"/>
        </w:rPr>
        <w:t> </w:t>
      </w:r>
      <w:r>
        <w:rPr>
          <w:color w:val="231F20"/>
          <w:sz w:val="16"/>
          <w:vertAlign w:val="baseline"/>
        </w:rPr>
        <w:t>available</w:t>
      </w:r>
      <w:r>
        <w:rPr>
          <w:color w:val="231F20"/>
          <w:spacing w:val="-2"/>
          <w:sz w:val="16"/>
          <w:vertAlign w:val="baseline"/>
        </w:rPr>
        <w:t> </w:t>
      </w:r>
      <w:r>
        <w:rPr>
          <w:color w:val="231F20"/>
          <w:sz w:val="16"/>
          <w:vertAlign w:val="baseline"/>
        </w:rPr>
        <w:t>at</w:t>
      </w:r>
      <w:r>
        <w:rPr>
          <w:color w:val="231F20"/>
          <w:spacing w:val="-3"/>
          <w:sz w:val="16"/>
          <w:vertAlign w:val="baseline"/>
        </w:rPr>
        <w:t> </w:t>
      </w:r>
      <w:r>
        <w:rPr>
          <w:color w:val="231F20"/>
          <w:sz w:val="16"/>
          <w:vertAlign w:val="baseline"/>
        </w:rPr>
        <w:t>wileyonlinelibrary.com.]</w:t>
      </w:r>
    </w:p>
    <w:p>
      <w:pPr>
        <w:pStyle w:val="BodyText"/>
        <w:spacing w:before="114"/>
        <w:rPr>
          <w:sz w:val="20"/>
        </w:rPr>
      </w:pPr>
    </w:p>
    <w:p>
      <w:pPr>
        <w:pStyle w:val="BodyText"/>
        <w:spacing w:after="0"/>
        <w:rPr>
          <w:sz w:val="20"/>
        </w:rPr>
        <w:sectPr>
          <w:pgSz w:w="12240" w:h="16200"/>
          <w:pgMar w:top="1040" w:bottom="280" w:left="1080" w:right="1080"/>
        </w:sectPr>
      </w:pPr>
    </w:p>
    <w:p>
      <w:pPr>
        <w:pStyle w:val="BodyText"/>
        <w:spacing w:line="230" w:lineRule="auto" w:before="78"/>
        <w:ind w:left="256" w:right="38"/>
        <w:jc w:val="both"/>
      </w:pPr>
      <w:r>
        <w:rPr>
          <w:color w:val="231F20"/>
        </w:rPr>
        <w:t>tion to one of the substances (B-SIT). The second PET </w:t>
      </w:r>
      <w:r>
        <w:rPr>
          <w:color w:val="231F20"/>
        </w:rPr>
        <w:t>study was performed under the same conditions, but the stimulator had been turned off for seven days. At this time, the patient experienced return of hyposmia, as he observed and reported spontaneously. The OD at this point corresponded to the identiﬁcation of 2/12 fragrances in B-SIT. The results of PET images revealed signiﬁcant metabolic activation of thalamus, striatum, nucleus accumbens, and amygdaloid complex bilat- erally as well as the left gyrus rectus. The tissue around the electrode also revealed metabolic activation, from deep STN extending to ventral thalamus (Fig. 1).</w:t>
      </w:r>
    </w:p>
    <w:p>
      <w:pPr>
        <w:pStyle w:val="BodyText"/>
        <w:spacing w:line="237" w:lineRule="auto" w:before="1"/>
        <w:ind w:left="256" w:right="38" w:firstLine="199"/>
        <w:jc w:val="both"/>
      </w:pPr>
      <w:r>
        <w:rPr>
          <w:color w:val="231F20"/>
        </w:rPr>
        <w:t>Previous reports have stated that odor </w:t>
      </w:r>
      <w:r>
        <w:rPr>
          <w:color w:val="231F20"/>
        </w:rPr>
        <w:t>discrimination improves after STN-DBS in PD patients, while olfactory detection threshold does not. These results suggest that STN- DBS might modulate cognitive processing of olfactory infor- mation.</w:t>
      </w:r>
      <w:r>
        <w:rPr>
          <w:color w:val="231F20"/>
          <w:vertAlign w:val="superscript"/>
        </w:rPr>
        <w:t>5</w:t>
      </w:r>
      <w:r>
        <w:rPr>
          <w:color w:val="231F20"/>
          <w:vertAlign w:val="baseline"/>
        </w:rPr>
        <w:t> The return to hyposmia after the stimulation was turned off, favors the hypothesis that functional changes in striatum-thalamus-cortical networks, rather than irreversible degeneration</w:t>
      </w:r>
      <w:r>
        <w:rPr>
          <w:color w:val="231F20"/>
          <w:vertAlign w:val="baseline"/>
        </w:rPr>
        <w:t> of olfactory structures only, are responsible for OD observed in PD patients. The progressive neuronal loss throughout the brain generates dysfunction in the chronome- try of circuits of the basal ganglia affecting different systems interpreted clinically as various symptoms of PD. Once the hyper activation of STN is reversed by the onset of local electrical stimulation, its inﬂuence spreads out to other neural circuits correcting dysfunctions of modulatory neurotrans- mitters, which in turn is related to the temporary improve-</w:t>
      </w:r>
      <w:r>
        <w:rPr>
          <w:color w:val="231F20"/>
          <w:spacing w:val="40"/>
          <w:vertAlign w:val="baseline"/>
        </w:rPr>
        <w:t> </w:t>
      </w:r>
      <w:r>
        <w:rPr>
          <w:color w:val="231F20"/>
          <w:vertAlign w:val="baseline"/>
        </w:rPr>
        <w:t>ment of motor and nonmotor symptoms. Although data in previous studies</w:t>
      </w:r>
      <w:r>
        <w:rPr>
          <w:color w:val="231F20"/>
          <w:vertAlign w:val="superscript"/>
        </w:rPr>
        <w:t>6</w:t>
      </w:r>
      <w:r>
        <w:rPr>
          <w:color w:val="231F20"/>
          <w:vertAlign w:val="baseline"/>
        </w:rPr>
        <w:t> suggest that the motor effect obtained by dopaminergic medication and by STN stimulation shares the same activated brain areas, this is not likely to happen with olfactory function because dopaminergic reposition has no effect on hyposmia.</w:t>
      </w:r>
      <w:r>
        <w:rPr>
          <w:color w:val="231F20"/>
          <w:vertAlign w:val="superscript"/>
        </w:rPr>
        <w:t>1</w:t>
      </w:r>
    </w:p>
    <w:p>
      <w:pPr>
        <w:pStyle w:val="BodyText"/>
        <w:spacing w:line="228" w:lineRule="auto" w:before="5"/>
        <w:ind w:left="256" w:right="38" w:firstLine="199"/>
        <w:jc w:val="both"/>
      </w:pPr>
      <w:r>
        <w:rPr>
          <w:color w:val="231F20"/>
        </w:rPr>
        <w:t>In line with previous reports, PET signs of </w:t>
      </w:r>
      <w:r>
        <w:rPr>
          <w:color w:val="231F20"/>
        </w:rPr>
        <w:t>motor improvement, attenuation of the Parkinson disease related pattern (PDRP)</w:t>
      </w:r>
      <w:r>
        <w:rPr>
          <w:color w:val="231F20"/>
          <w:vertAlign w:val="superscript"/>
        </w:rPr>
        <w:t>6</w:t>
      </w:r>
      <w:r>
        <w:rPr>
          <w:color w:val="231F20"/>
          <w:vertAlign w:val="baseline"/>
        </w:rPr>
        <w:t> was expressed, except for a residual hyper- metabolism in left striatum observed in the present study. Although a remarkable motor improvement was observed in this</w:t>
      </w:r>
      <w:r>
        <w:rPr>
          <w:color w:val="231F20"/>
          <w:spacing w:val="45"/>
          <w:vertAlign w:val="baseline"/>
        </w:rPr>
        <w:t> </w:t>
      </w:r>
      <w:r>
        <w:rPr>
          <w:color w:val="231F20"/>
          <w:vertAlign w:val="baseline"/>
        </w:rPr>
        <w:t>patient,</w:t>
      </w:r>
      <w:r>
        <w:rPr>
          <w:color w:val="231F20"/>
          <w:spacing w:val="44"/>
          <w:vertAlign w:val="baseline"/>
        </w:rPr>
        <w:t> </w:t>
      </w:r>
      <w:r>
        <w:rPr>
          <w:color w:val="231F20"/>
          <w:vertAlign w:val="baseline"/>
        </w:rPr>
        <w:t>the</w:t>
      </w:r>
      <w:r>
        <w:rPr>
          <w:color w:val="231F20"/>
          <w:spacing w:val="45"/>
          <w:vertAlign w:val="baseline"/>
        </w:rPr>
        <w:t> </w:t>
      </w:r>
      <w:r>
        <w:rPr>
          <w:color w:val="231F20"/>
          <w:vertAlign w:val="baseline"/>
        </w:rPr>
        <w:t>expected</w:t>
      </w:r>
      <w:r>
        <w:rPr>
          <w:color w:val="231F20"/>
          <w:spacing w:val="44"/>
          <w:vertAlign w:val="baseline"/>
        </w:rPr>
        <w:t> </w:t>
      </w:r>
      <w:r>
        <w:rPr>
          <w:color w:val="231F20"/>
          <w:vertAlign w:val="baseline"/>
        </w:rPr>
        <w:t>abolition</w:t>
      </w:r>
      <w:r>
        <w:rPr>
          <w:color w:val="231F20"/>
          <w:spacing w:val="46"/>
          <w:vertAlign w:val="baseline"/>
        </w:rPr>
        <w:t> </w:t>
      </w:r>
      <w:r>
        <w:rPr>
          <w:color w:val="231F20"/>
          <w:vertAlign w:val="baseline"/>
        </w:rPr>
        <w:t>of</w:t>
      </w:r>
      <w:r>
        <w:rPr>
          <w:color w:val="231F20"/>
          <w:spacing w:val="43"/>
          <w:vertAlign w:val="baseline"/>
        </w:rPr>
        <w:t> </w:t>
      </w:r>
      <w:r>
        <w:rPr>
          <w:color w:val="231F20"/>
          <w:vertAlign w:val="baseline"/>
        </w:rPr>
        <w:t>PDRP</w:t>
      </w:r>
      <w:r>
        <w:rPr>
          <w:color w:val="231F20"/>
          <w:spacing w:val="45"/>
          <w:vertAlign w:val="baseline"/>
        </w:rPr>
        <w:t> </w:t>
      </w:r>
      <w:r>
        <w:rPr>
          <w:color w:val="231F20"/>
          <w:vertAlign w:val="baseline"/>
        </w:rPr>
        <w:t>was</w:t>
      </w:r>
      <w:r>
        <w:rPr>
          <w:color w:val="231F20"/>
          <w:spacing w:val="44"/>
          <w:vertAlign w:val="baseline"/>
        </w:rPr>
        <w:t> </w:t>
      </w:r>
      <w:r>
        <w:rPr>
          <w:color w:val="231F20"/>
          <w:vertAlign w:val="baseline"/>
        </w:rPr>
        <w:t>not</w:t>
      </w:r>
      <w:r>
        <w:rPr>
          <w:color w:val="231F20"/>
          <w:spacing w:val="45"/>
          <w:vertAlign w:val="baseline"/>
        </w:rPr>
        <w:t> </w:t>
      </w:r>
      <w:r>
        <w:rPr>
          <w:color w:val="231F20"/>
          <w:spacing w:val="-2"/>
          <w:vertAlign w:val="baseline"/>
        </w:rPr>
        <w:t>fully</w:t>
      </w:r>
    </w:p>
    <w:p>
      <w:pPr>
        <w:pStyle w:val="BodyText"/>
        <w:spacing w:line="228" w:lineRule="auto" w:before="80"/>
        <w:ind w:left="256" w:right="216"/>
        <w:jc w:val="both"/>
      </w:pPr>
      <w:r>
        <w:rPr/>
        <w:br w:type="column"/>
      </w:r>
      <w:r>
        <w:rPr>
          <w:color w:val="231F20"/>
        </w:rPr>
        <w:t>expressed. This apparent inconsistency may be related </w:t>
      </w:r>
      <w:r>
        <w:rPr>
          <w:color w:val="231F20"/>
        </w:rPr>
        <w:t>to individual variability in a single subject analysis or it may suggest the participation of left striatum in the olfactory in- formation-processing network in this patient. Also, a substan- tial increase in metabolism in the vicinity of the subthalamic target site extending rostrally into the ventral thalamus was observed. Since the FDG hypermetabolism was highly coin- cident with the location of electrodes, this component is probably related to the direct effects of electrical stimulation</w:t>
      </w:r>
      <w:r>
        <w:rPr>
          <w:color w:val="231F20"/>
          <w:spacing w:val="80"/>
        </w:rPr>
        <w:t> </w:t>
      </w:r>
      <w:r>
        <w:rPr>
          <w:color w:val="231F20"/>
        </w:rPr>
        <w:t>of</w:t>
      </w:r>
      <w:r>
        <w:rPr>
          <w:color w:val="231F20"/>
          <w:spacing w:val="40"/>
        </w:rPr>
        <w:t> </w:t>
      </w:r>
      <w:r>
        <w:rPr>
          <w:color w:val="231F20"/>
        </w:rPr>
        <w:t>STN,</w:t>
      </w:r>
      <w:r>
        <w:rPr>
          <w:color w:val="231F20"/>
          <w:spacing w:val="40"/>
        </w:rPr>
        <w:t> </w:t>
      </w:r>
      <w:r>
        <w:rPr>
          <w:color w:val="231F20"/>
        </w:rPr>
        <w:t>inhibiting</w:t>
      </w:r>
      <w:r>
        <w:rPr>
          <w:color w:val="231F20"/>
          <w:spacing w:val="40"/>
        </w:rPr>
        <w:t> </w:t>
      </w:r>
      <w:r>
        <w:rPr>
          <w:color w:val="231F20"/>
        </w:rPr>
        <w:t>depolarization</w:t>
      </w:r>
      <w:r>
        <w:rPr>
          <w:color w:val="231F20"/>
          <w:spacing w:val="40"/>
        </w:rPr>
        <w:t> </w:t>
      </w:r>
      <w:r>
        <w:rPr>
          <w:color w:val="231F20"/>
        </w:rPr>
        <w:t>on</w:t>
      </w:r>
      <w:r>
        <w:rPr>
          <w:color w:val="231F20"/>
          <w:spacing w:val="40"/>
        </w:rPr>
        <w:t> </w:t>
      </w:r>
      <w:r>
        <w:rPr>
          <w:color w:val="231F20"/>
        </w:rPr>
        <w:t>the</w:t>
      </w:r>
      <w:r>
        <w:rPr>
          <w:color w:val="231F20"/>
          <w:spacing w:val="40"/>
        </w:rPr>
        <w:t> </w:t>
      </w:r>
      <w:r>
        <w:rPr>
          <w:color w:val="231F20"/>
        </w:rPr>
        <w:t>cell</w:t>
      </w:r>
      <w:r>
        <w:rPr>
          <w:color w:val="231F20"/>
          <w:spacing w:val="40"/>
        </w:rPr>
        <w:t> </w:t>
      </w:r>
      <w:r>
        <w:rPr>
          <w:color w:val="231F20"/>
        </w:rPr>
        <w:t>membrane.</w:t>
      </w:r>
      <w:r>
        <w:rPr>
          <w:color w:val="231F20"/>
          <w:vertAlign w:val="superscript"/>
        </w:rPr>
        <w:t>6</w:t>
      </w:r>
      <w:r>
        <w:rPr>
          <w:color w:val="231F20"/>
          <w:vertAlign w:val="baseline"/>
        </w:rPr>
        <w:t> The</w:t>
      </w:r>
      <w:r>
        <w:rPr>
          <w:color w:val="231F20"/>
          <w:spacing w:val="40"/>
          <w:vertAlign w:val="baseline"/>
        </w:rPr>
        <w:t> </w:t>
      </w:r>
      <w:r>
        <w:rPr>
          <w:color w:val="231F20"/>
          <w:vertAlign w:val="baseline"/>
        </w:rPr>
        <w:t>electrode</w:t>
      </w:r>
      <w:r>
        <w:rPr>
          <w:color w:val="231F20"/>
          <w:spacing w:val="40"/>
          <w:vertAlign w:val="baseline"/>
        </w:rPr>
        <w:t> </w:t>
      </w:r>
      <w:r>
        <w:rPr>
          <w:color w:val="231F20"/>
          <w:vertAlign w:val="baseline"/>
        </w:rPr>
        <w:t>trajectory</w:t>
      </w:r>
      <w:r>
        <w:rPr>
          <w:color w:val="231F20"/>
          <w:spacing w:val="40"/>
          <w:vertAlign w:val="baseline"/>
        </w:rPr>
        <w:t> </w:t>
      </w:r>
      <w:r>
        <w:rPr>
          <w:color w:val="231F20"/>
          <w:vertAlign w:val="baseline"/>
        </w:rPr>
        <w:t>performed</w:t>
      </w:r>
      <w:r>
        <w:rPr>
          <w:color w:val="231F20"/>
          <w:spacing w:val="40"/>
          <w:vertAlign w:val="baseline"/>
        </w:rPr>
        <w:t> </w:t>
      </w:r>
      <w:r>
        <w:rPr>
          <w:color w:val="231F20"/>
          <w:vertAlign w:val="baseline"/>
        </w:rPr>
        <w:t>in</w:t>
      </w:r>
      <w:r>
        <w:rPr>
          <w:color w:val="231F20"/>
          <w:spacing w:val="40"/>
          <w:vertAlign w:val="baseline"/>
        </w:rPr>
        <w:t> </w:t>
      </w:r>
      <w:r>
        <w:rPr>
          <w:color w:val="231F20"/>
          <w:vertAlign w:val="baseline"/>
        </w:rPr>
        <w:t>this</w:t>
      </w:r>
      <w:r>
        <w:rPr>
          <w:color w:val="231F20"/>
          <w:spacing w:val="40"/>
          <w:vertAlign w:val="baseline"/>
        </w:rPr>
        <w:t> </w:t>
      </w:r>
      <w:r>
        <w:rPr>
          <w:color w:val="231F20"/>
          <w:vertAlign w:val="baseline"/>
        </w:rPr>
        <w:t>patient</w:t>
      </w:r>
      <w:r>
        <w:rPr>
          <w:color w:val="231F20"/>
          <w:spacing w:val="40"/>
          <w:vertAlign w:val="baseline"/>
        </w:rPr>
        <w:t> </w:t>
      </w:r>
      <w:r>
        <w:rPr>
          <w:color w:val="231F20"/>
          <w:vertAlign w:val="baseline"/>
        </w:rPr>
        <w:t>includes the motor anterior ventralis oralis nucleus of thalamus/poste- rior ventralis oralis nucleus of thalamus (VoA/VoP), as observed in the postoperative MRI, the upper contact is</w:t>
      </w:r>
      <w:r>
        <w:rPr>
          <w:color w:val="231F20"/>
          <w:spacing w:val="80"/>
          <w:vertAlign w:val="baseline"/>
        </w:rPr>
        <w:t> </w:t>
      </w:r>
      <w:r>
        <w:rPr>
          <w:color w:val="231F20"/>
          <w:vertAlign w:val="baseline"/>
        </w:rPr>
        <w:t>located within the ventral portion of thalamus. Besides the activation of amygdaloid complex, hippocampus, orbitofron- tal cortex, striatum, thalamus, midbrain, and cerebellum</w:t>
      </w:r>
      <w:r>
        <w:rPr>
          <w:color w:val="231F20"/>
          <w:spacing w:val="80"/>
          <w:vertAlign w:val="baseline"/>
        </w:rPr>
        <w:t> </w:t>
      </w:r>
      <w:r>
        <w:rPr>
          <w:color w:val="231F20"/>
          <w:vertAlign w:val="baseline"/>
        </w:rPr>
        <w:t>related to olfactory stimulation in PD patients, as shown by Westermann et al.,</w:t>
      </w:r>
      <w:r>
        <w:rPr>
          <w:color w:val="231F20"/>
          <w:vertAlign w:val="superscript"/>
        </w:rPr>
        <w:t>7</w:t>
      </w:r>
      <w:r>
        <w:rPr>
          <w:color w:val="231F20"/>
          <w:vertAlign w:val="baseline"/>
        </w:rPr>
        <w:t> also observed in this case, there was additional activation of bilateral nucleus accumbens and left gyrus rectus. Although further studies are required for more robust conclusions, the present ﬁndings suggest that the acti- vated areas may mediate the odor discrimination improvement after</w:t>
      </w:r>
      <w:r>
        <w:rPr>
          <w:color w:val="231F20"/>
          <w:spacing w:val="-1"/>
          <w:vertAlign w:val="baseline"/>
        </w:rPr>
        <w:t> </w:t>
      </w:r>
      <w:r>
        <w:rPr>
          <w:color w:val="231F20"/>
          <w:vertAlign w:val="baseline"/>
        </w:rPr>
        <w:t>bilateral</w:t>
      </w:r>
      <w:r>
        <w:rPr>
          <w:color w:val="231F20"/>
          <w:spacing w:val="-2"/>
          <w:vertAlign w:val="baseline"/>
        </w:rPr>
        <w:t> </w:t>
      </w:r>
      <w:r>
        <w:rPr>
          <w:color w:val="231F20"/>
          <w:vertAlign w:val="baseline"/>
        </w:rPr>
        <w:t>STN-DBS.</w:t>
      </w:r>
      <w:r>
        <w:rPr>
          <w:color w:val="231F20"/>
          <w:spacing w:val="-2"/>
          <w:vertAlign w:val="baseline"/>
        </w:rPr>
        <w:t> </w:t>
      </w:r>
      <w:r>
        <w:rPr>
          <w:color w:val="231F20"/>
          <w:vertAlign w:val="baseline"/>
        </w:rPr>
        <w:t>The</w:t>
      </w:r>
      <w:r>
        <w:rPr>
          <w:color w:val="231F20"/>
          <w:spacing w:val="-1"/>
          <w:vertAlign w:val="baseline"/>
        </w:rPr>
        <w:t> </w:t>
      </w:r>
      <w:r>
        <w:rPr>
          <w:color w:val="231F20"/>
          <w:vertAlign w:val="baseline"/>
        </w:rPr>
        <w:t>stimulation</w:t>
      </w:r>
      <w:r>
        <w:rPr>
          <w:color w:val="231F20"/>
          <w:spacing w:val="-1"/>
          <w:vertAlign w:val="baseline"/>
        </w:rPr>
        <w:t> </w:t>
      </w:r>
      <w:r>
        <w:rPr>
          <w:color w:val="231F20"/>
          <w:vertAlign w:val="baseline"/>
        </w:rPr>
        <w:t>of</w:t>
      </w:r>
      <w:r>
        <w:rPr>
          <w:color w:val="231F20"/>
          <w:spacing w:val="-2"/>
          <w:vertAlign w:val="baseline"/>
        </w:rPr>
        <w:t> </w:t>
      </w:r>
      <w:r>
        <w:rPr>
          <w:color w:val="231F20"/>
          <w:vertAlign w:val="baseline"/>
        </w:rPr>
        <w:t>thalamic</w:t>
      </w:r>
      <w:r>
        <w:rPr>
          <w:color w:val="231F20"/>
          <w:spacing w:val="-1"/>
          <w:vertAlign w:val="baseline"/>
        </w:rPr>
        <w:t> </w:t>
      </w:r>
      <w:r>
        <w:rPr>
          <w:color w:val="231F20"/>
          <w:vertAlign w:val="baseline"/>
        </w:rPr>
        <w:t>region</w:t>
      </w:r>
      <w:r>
        <w:rPr>
          <w:color w:val="231F20"/>
          <w:spacing w:val="-1"/>
          <w:vertAlign w:val="baseline"/>
        </w:rPr>
        <w:t> </w:t>
      </w:r>
      <w:r>
        <w:rPr>
          <w:color w:val="231F20"/>
          <w:vertAlign w:val="baseline"/>
        </w:rPr>
        <w:t>in this case might also have activated thalamic nuclei related to olfactory</w:t>
      </w:r>
      <w:r>
        <w:rPr>
          <w:color w:val="231F20"/>
          <w:spacing w:val="-5"/>
          <w:vertAlign w:val="baseline"/>
        </w:rPr>
        <w:t> </w:t>
      </w:r>
      <w:r>
        <w:rPr>
          <w:color w:val="231F20"/>
          <w:vertAlign w:val="baseline"/>
        </w:rPr>
        <w:t>function</w:t>
      </w:r>
      <w:r>
        <w:rPr>
          <w:color w:val="231F20"/>
          <w:spacing w:val="-5"/>
          <w:vertAlign w:val="baseline"/>
        </w:rPr>
        <w:t> </w:t>
      </w:r>
      <w:r>
        <w:rPr>
          <w:color w:val="231F20"/>
          <w:vertAlign w:val="baseline"/>
        </w:rPr>
        <w:t>[e.g.,</w:t>
      </w:r>
      <w:r>
        <w:rPr>
          <w:color w:val="231F20"/>
          <w:spacing w:val="-6"/>
          <w:vertAlign w:val="baseline"/>
        </w:rPr>
        <w:t> </w:t>
      </w:r>
      <w:r>
        <w:rPr>
          <w:color w:val="231F20"/>
          <w:vertAlign w:val="baseline"/>
        </w:rPr>
        <w:t>nucleus</w:t>
      </w:r>
      <w:r>
        <w:rPr>
          <w:color w:val="231F20"/>
          <w:spacing w:val="-6"/>
          <w:vertAlign w:val="baseline"/>
        </w:rPr>
        <w:t> </w:t>
      </w:r>
      <w:r>
        <w:rPr>
          <w:color w:val="231F20"/>
          <w:vertAlign w:val="baseline"/>
        </w:rPr>
        <w:t>parataenialis</w:t>
      </w:r>
      <w:r>
        <w:rPr>
          <w:color w:val="231F20"/>
          <w:spacing w:val="-5"/>
          <w:vertAlign w:val="baseline"/>
        </w:rPr>
        <w:t> </w:t>
      </w:r>
      <w:r>
        <w:rPr>
          <w:color w:val="231F20"/>
          <w:vertAlign w:val="baseline"/>
        </w:rPr>
        <w:t>of</w:t>
      </w:r>
      <w:r>
        <w:rPr>
          <w:color w:val="231F20"/>
          <w:spacing w:val="-5"/>
          <w:vertAlign w:val="baseline"/>
        </w:rPr>
        <w:t> </w:t>
      </w:r>
      <w:r>
        <w:rPr>
          <w:color w:val="231F20"/>
          <w:vertAlign w:val="baseline"/>
        </w:rPr>
        <w:t>thalamus</w:t>
      </w:r>
      <w:r>
        <w:rPr>
          <w:color w:val="231F20"/>
          <w:spacing w:val="-6"/>
          <w:vertAlign w:val="baseline"/>
        </w:rPr>
        <w:t> </w:t>
      </w:r>
      <w:r>
        <w:rPr>
          <w:color w:val="231F20"/>
          <w:vertAlign w:val="baseline"/>
        </w:rPr>
        <w:t>(Pt)]. The connections of the Pt nucleus arise from the secondary olfactory centers through stria medullaris of thalamus.</w:t>
      </w:r>
      <w:r>
        <w:rPr>
          <w:color w:val="231F20"/>
          <w:vertAlign w:val="superscript"/>
        </w:rPr>
        <w:t>8</w:t>
      </w:r>
      <w:r>
        <w:rPr>
          <w:color w:val="231F20"/>
          <w:vertAlign w:val="baseline"/>
        </w:rPr>
        <w:t> The activation</w:t>
      </w:r>
      <w:r>
        <w:rPr>
          <w:color w:val="231F20"/>
          <w:spacing w:val="-6"/>
          <w:vertAlign w:val="baseline"/>
        </w:rPr>
        <w:t> </w:t>
      </w:r>
      <w:r>
        <w:rPr>
          <w:color w:val="231F20"/>
          <w:vertAlign w:val="baseline"/>
        </w:rPr>
        <w:t>of</w:t>
      </w:r>
      <w:r>
        <w:rPr>
          <w:color w:val="231F20"/>
          <w:spacing w:val="-5"/>
          <w:vertAlign w:val="baseline"/>
        </w:rPr>
        <w:t> </w:t>
      </w:r>
      <w:r>
        <w:rPr>
          <w:color w:val="231F20"/>
          <w:vertAlign w:val="baseline"/>
        </w:rPr>
        <w:t>this</w:t>
      </w:r>
      <w:r>
        <w:rPr>
          <w:color w:val="231F20"/>
          <w:spacing w:val="-6"/>
          <w:vertAlign w:val="baseline"/>
        </w:rPr>
        <w:t> </w:t>
      </w:r>
      <w:r>
        <w:rPr>
          <w:color w:val="231F20"/>
          <w:vertAlign w:val="baseline"/>
        </w:rPr>
        <w:t>nucleus</w:t>
      </w:r>
      <w:r>
        <w:rPr>
          <w:color w:val="231F20"/>
          <w:spacing w:val="-6"/>
          <w:vertAlign w:val="baseline"/>
        </w:rPr>
        <w:t> </w:t>
      </w:r>
      <w:r>
        <w:rPr>
          <w:color w:val="231F20"/>
          <w:vertAlign w:val="baseline"/>
        </w:rPr>
        <w:t>could</w:t>
      </w:r>
      <w:r>
        <w:rPr>
          <w:color w:val="231F20"/>
          <w:spacing w:val="-6"/>
          <w:vertAlign w:val="baseline"/>
        </w:rPr>
        <w:t> </w:t>
      </w:r>
      <w:r>
        <w:rPr>
          <w:color w:val="231F20"/>
          <w:vertAlign w:val="baseline"/>
        </w:rPr>
        <w:t>inﬂuence</w:t>
      </w:r>
      <w:r>
        <w:rPr>
          <w:color w:val="231F20"/>
          <w:spacing w:val="-5"/>
          <w:vertAlign w:val="baseline"/>
        </w:rPr>
        <w:t> </w:t>
      </w:r>
      <w:r>
        <w:rPr>
          <w:color w:val="231F20"/>
          <w:vertAlign w:val="baseline"/>
        </w:rPr>
        <w:t>the</w:t>
      </w:r>
      <w:r>
        <w:rPr>
          <w:color w:val="231F20"/>
          <w:spacing w:val="-5"/>
          <w:vertAlign w:val="baseline"/>
        </w:rPr>
        <w:t> </w:t>
      </w:r>
      <w:r>
        <w:rPr>
          <w:color w:val="231F20"/>
          <w:vertAlign w:val="baseline"/>
        </w:rPr>
        <w:t>olfactory</w:t>
      </w:r>
      <w:r>
        <w:rPr>
          <w:color w:val="231F20"/>
          <w:spacing w:val="-6"/>
          <w:vertAlign w:val="baseline"/>
        </w:rPr>
        <w:t> </w:t>
      </w:r>
      <w:r>
        <w:rPr>
          <w:color w:val="231F20"/>
          <w:vertAlign w:val="baseline"/>
        </w:rPr>
        <w:t>circuitry at distant sites once reports of olfactory sensation were observed by direct electrical stimulation of this region.</w:t>
      </w:r>
      <w:r>
        <w:rPr>
          <w:color w:val="231F20"/>
          <w:vertAlign w:val="superscript"/>
        </w:rPr>
        <w:t>9</w:t>
      </w:r>
    </w:p>
    <w:p>
      <w:pPr>
        <w:pStyle w:val="BodyText"/>
        <w:spacing w:line="230" w:lineRule="auto"/>
        <w:ind w:left="256" w:right="214" w:firstLine="199"/>
        <w:jc w:val="both"/>
      </w:pPr>
      <w:r>
        <w:rPr>
          <w:color w:val="231F20"/>
        </w:rPr>
        <w:t>These</w:t>
      </w:r>
      <w:r>
        <w:rPr>
          <w:color w:val="231F20"/>
          <w:spacing w:val="40"/>
        </w:rPr>
        <w:t> </w:t>
      </w:r>
      <w:r>
        <w:rPr>
          <w:color w:val="231F20"/>
        </w:rPr>
        <w:t>preliminary</w:t>
      </w:r>
      <w:r>
        <w:rPr>
          <w:color w:val="231F20"/>
          <w:spacing w:val="40"/>
        </w:rPr>
        <w:t> </w:t>
      </w:r>
      <w:r>
        <w:rPr>
          <w:color w:val="231F20"/>
        </w:rPr>
        <w:t>observations</w:t>
      </w:r>
      <w:r>
        <w:rPr>
          <w:color w:val="231F20"/>
          <w:spacing w:val="40"/>
        </w:rPr>
        <w:t> </w:t>
      </w:r>
      <w:r>
        <w:rPr>
          <w:color w:val="231F20"/>
        </w:rPr>
        <w:t>suggest</w:t>
      </w:r>
      <w:r>
        <w:rPr>
          <w:color w:val="231F20"/>
          <w:spacing w:val="40"/>
        </w:rPr>
        <w:t> </w:t>
      </w:r>
      <w:r>
        <w:rPr>
          <w:color w:val="231F20"/>
        </w:rPr>
        <w:t>that</w:t>
      </w:r>
      <w:r>
        <w:rPr>
          <w:color w:val="231F20"/>
          <w:spacing w:val="40"/>
        </w:rPr>
        <w:t> </w:t>
      </w:r>
      <w:r>
        <w:rPr>
          <w:color w:val="231F20"/>
        </w:rPr>
        <w:t>OD</w:t>
      </w:r>
      <w:r>
        <w:rPr>
          <w:color w:val="231F20"/>
          <w:spacing w:val="40"/>
        </w:rPr>
        <w:t> </w:t>
      </w:r>
      <w:r>
        <w:rPr>
          <w:color w:val="231F20"/>
        </w:rPr>
        <w:t>in</w:t>
      </w:r>
      <w:r>
        <w:rPr>
          <w:color w:val="231F20"/>
          <w:spacing w:val="40"/>
        </w:rPr>
        <w:t> </w:t>
      </w:r>
      <w:r>
        <w:rPr>
          <w:color w:val="231F20"/>
        </w:rPr>
        <w:t>PD may</w:t>
      </w:r>
      <w:r>
        <w:rPr>
          <w:color w:val="231F20"/>
        </w:rPr>
        <w:t> rather be a circuitry dysfunction and not only a neuro- degenerative</w:t>
      </w:r>
      <w:r>
        <w:rPr>
          <w:color w:val="231F20"/>
          <w:spacing w:val="40"/>
        </w:rPr>
        <w:t> </w:t>
      </w:r>
      <w:r>
        <w:rPr>
          <w:color w:val="231F20"/>
        </w:rPr>
        <w:t>process</w:t>
      </w:r>
      <w:r>
        <w:rPr>
          <w:color w:val="231F20"/>
          <w:spacing w:val="40"/>
        </w:rPr>
        <w:t> </w:t>
      </w:r>
      <w:r>
        <w:rPr>
          <w:color w:val="231F20"/>
        </w:rPr>
        <w:t>in</w:t>
      </w:r>
      <w:r>
        <w:rPr>
          <w:color w:val="231F20"/>
          <w:spacing w:val="40"/>
        </w:rPr>
        <w:t> </w:t>
      </w:r>
      <w:r>
        <w:rPr>
          <w:color w:val="231F20"/>
        </w:rPr>
        <w:t>olfactory</w:t>
      </w:r>
      <w:r>
        <w:rPr>
          <w:color w:val="231F20"/>
          <w:spacing w:val="40"/>
        </w:rPr>
        <w:t> </w:t>
      </w:r>
      <w:r>
        <w:rPr>
          <w:color w:val="231F20"/>
        </w:rPr>
        <w:t>structures;</w:t>
      </w:r>
      <w:r>
        <w:rPr>
          <w:color w:val="231F20"/>
          <w:spacing w:val="40"/>
        </w:rPr>
        <w:t> </w:t>
      </w:r>
      <w:r>
        <w:rPr>
          <w:color w:val="231F20"/>
        </w:rPr>
        <w:t>a</w:t>
      </w:r>
      <w:r>
        <w:rPr>
          <w:color w:val="231F20"/>
          <w:spacing w:val="40"/>
        </w:rPr>
        <w:t> </w:t>
      </w:r>
      <w:r>
        <w:rPr>
          <w:color w:val="231F20"/>
        </w:rPr>
        <w:t>dysfunction of</w:t>
      </w:r>
      <w:r>
        <w:rPr>
          <w:color w:val="231F20"/>
          <w:spacing w:val="40"/>
        </w:rPr>
        <w:t> </w:t>
      </w:r>
      <w:r>
        <w:rPr>
          <w:color w:val="231F20"/>
        </w:rPr>
        <w:t>cognitive</w:t>
      </w:r>
      <w:r>
        <w:rPr>
          <w:color w:val="231F20"/>
          <w:spacing w:val="40"/>
        </w:rPr>
        <w:t> </w:t>
      </w:r>
      <w:r>
        <w:rPr>
          <w:color w:val="231F20"/>
        </w:rPr>
        <w:t>processing</w:t>
      </w:r>
      <w:r>
        <w:rPr>
          <w:color w:val="231F20"/>
          <w:spacing w:val="40"/>
        </w:rPr>
        <w:t> </w:t>
      </w:r>
      <w:r>
        <w:rPr>
          <w:color w:val="231F20"/>
        </w:rPr>
        <w:t>involved</w:t>
      </w:r>
      <w:r>
        <w:rPr>
          <w:color w:val="231F20"/>
          <w:spacing w:val="40"/>
        </w:rPr>
        <w:t> </w:t>
      </w:r>
      <w:r>
        <w:rPr>
          <w:color w:val="231F20"/>
        </w:rPr>
        <w:t>in</w:t>
      </w:r>
      <w:r>
        <w:rPr>
          <w:color w:val="231F20"/>
          <w:spacing w:val="40"/>
        </w:rPr>
        <w:t> </w:t>
      </w:r>
      <w:r>
        <w:rPr>
          <w:color w:val="231F20"/>
        </w:rPr>
        <w:t>odor</w:t>
      </w:r>
      <w:r>
        <w:rPr>
          <w:color w:val="231F20"/>
          <w:spacing w:val="40"/>
        </w:rPr>
        <w:t> </w:t>
      </w:r>
      <w:r>
        <w:rPr>
          <w:color w:val="231F20"/>
        </w:rPr>
        <w:t>discrimination might explain this phenomenon. There are multiple levels of integration</w:t>
      </w:r>
      <w:r>
        <w:rPr>
          <w:color w:val="231F20"/>
          <w:spacing w:val="40"/>
        </w:rPr>
        <w:t> </w:t>
      </w:r>
      <w:r>
        <w:rPr>
          <w:color w:val="231F20"/>
        </w:rPr>
        <w:t>of</w:t>
      </w:r>
      <w:r>
        <w:rPr>
          <w:color w:val="231F20"/>
          <w:spacing w:val="40"/>
        </w:rPr>
        <w:t> </w:t>
      </w:r>
      <w:r>
        <w:rPr>
          <w:color w:val="231F20"/>
        </w:rPr>
        <w:t>olfactory</w:t>
      </w:r>
      <w:r>
        <w:rPr>
          <w:color w:val="231F20"/>
          <w:spacing w:val="40"/>
        </w:rPr>
        <w:t> </w:t>
      </w:r>
      <w:r>
        <w:rPr>
          <w:color w:val="231F20"/>
        </w:rPr>
        <w:t>information</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STN-DBS seems</w:t>
      </w:r>
      <w:r>
        <w:rPr>
          <w:color w:val="231F20"/>
          <w:spacing w:val="40"/>
        </w:rPr>
        <w:t> </w:t>
      </w:r>
      <w:r>
        <w:rPr>
          <w:color w:val="231F20"/>
        </w:rPr>
        <w:t>to</w:t>
      </w:r>
      <w:r>
        <w:rPr>
          <w:color w:val="231F20"/>
          <w:spacing w:val="40"/>
        </w:rPr>
        <w:t> </w:t>
      </w:r>
      <w:r>
        <w:rPr>
          <w:color w:val="231F20"/>
        </w:rPr>
        <w:t>inﬂuence</w:t>
      </w:r>
      <w:r>
        <w:rPr>
          <w:color w:val="231F20"/>
          <w:spacing w:val="40"/>
        </w:rPr>
        <w:t> </w:t>
      </w:r>
      <w:r>
        <w:rPr>
          <w:color w:val="231F20"/>
        </w:rPr>
        <w:t>the</w:t>
      </w:r>
      <w:r>
        <w:rPr>
          <w:color w:val="231F20"/>
          <w:spacing w:val="40"/>
        </w:rPr>
        <w:t> </w:t>
      </w:r>
      <w:r>
        <w:rPr>
          <w:color w:val="231F20"/>
        </w:rPr>
        <w:t>circuit</w:t>
      </w:r>
      <w:r>
        <w:rPr>
          <w:color w:val="231F20"/>
          <w:spacing w:val="40"/>
        </w:rPr>
        <w:t> </w:t>
      </w:r>
      <w:r>
        <w:rPr>
          <w:color w:val="231F20"/>
        </w:rPr>
        <w:t>involving</w:t>
      </w:r>
      <w:r>
        <w:rPr>
          <w:color w:val="231F20"/>
          <w:spacing w:val="40"/>
        </w:rPr>
        <w:t> </w:t>
      </w:r>
      <w:r>
        <w:rPr>
          <w:color w:val="231F20"/>
        </w:rPr>
        <w:t>the</w:t>
      </w:r>
      <w:r>
        <w:rPr>
          <w:color w:val="231F20"/>
          <w:spacing w:val="40"/>
        </w:rPr>
        <w:t> </w:t>
      </w:r>
      <w:r>
        <w:rPr>
          <w:color w:val="231F20"/>
        </w:rPr>
        <w:t>primary</w:t>
      </w:r>
      <w:r>
        <w:rPr>
          <w:color w:val="231F20"/>
          <w:spacing w:val="40"/>
        </w:rPr>
        <w:t> </w:t>
      </w:r>
      <w:r>
        <w:rPr>
          <w:color w:val="231F20"/>
        </w:rPr>
        <w:t>olfac- tory areas, limbic areas as the ventral striatum and basal</w:t>
      </w:r>
      <w:r>
        <w:rPr>
          <w:color w:val="231F20"/>
          <w:spacing w:val="80"/>
        </w:rPr>
        <w:t> </w:t>
      </w:r>
      <w:r>
        <w:rPr>
          <w:color w:val="231F20"/>
        </w:rPr>
        <w:t>frontal cortex.</w:t>
      </w:r>
    </w:p>
    <w:p>
      <w:pPr>
        <w:pStyle w:val="BodyText"/>
        <w:spacing w:after="0" w:line="230" w:lineRule="auto"/>
        <w:jc w:val="both"/>
        <w:sectPr>
          <w:type w:val="continuous"/>
          <w:pgSz w:w="12240" w:h="16200"/>
          <w:pgMar w:top="1060" w:bottom="280" w:left="1080" w:right="1080"/>
          <w:cols w:num="2" w:equalWidth="0">
            <w:col w:w="4861" w:space="180"/>
            <w:col w:w="5039"/>
          </w:cols>
        </w:sectPr>
      </w:pPr>
    </w:p>
    <w:p>
      <w:pPr>
        <w:pStyle w:val="BodyText"/>
        <w:rPr>
          <w:sz w:val="14"/>
        </w:rPr>
      </w:pPr>
      <w:r>
        <w:rPr>
          <w:sz w:val="14"/>
        </w:rPr>
        <mc:AlternateContent>
          <mc:Choice Requires="wps">
            <w:drawing>
              <wp:anchor distT="0" distB="0" distL="0" distR="0" allowOverlap="1" layoutInCell="1" locked="0" behindDoc="0" simplePos="0" relativeHeight="15734784">
                <wp:simplePos x="0" y="0"/>
                <wp:positionH relativeFrom="page">
                  <wp:posOffset>7555927</wp:posOffset>
                </wp:positionH>
                <wp:positionV relativeFrom="page">
                  <wp:posOffset>208819</wp:posOffset>
                </wp:positionV>
                <wp:extent cx="95885" cy="987552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95885" cy="9875520"/>
                        </a:xfrm>
                        <a:prstGeom prst="rect">
                          <a:avLst/>
                        </a:prstGeom>
                      </wps:spPr>
                      <wps:txbx>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wps:txbx>
                      <wps:bodyPr wrap="square" lIns="0" tIns="0" rIns="0" bIns="0" rtlCol="0" vert="vert">
                        <a:noAutofit/>
                      </wps:bodyPr>
                    </wps:wsp>
                  </a:graphicData>
                </a:graphic>
              </wp:anchor>
            </w:drawing>
          </mc:Choice>
          <mc:Fallback>
            <w:pict>
              <v:shape style="position:absolute;margin-left:594.954956pt;margin-top:16.442499pt;width:7.55pt;height:777.6pt;mso-position-horizontal-relative:page;mso-position-vertical-relative:page;z-index:15734784" type="#_x0000_t202" id="docshape11" filled="false" stroked="false">
                <v:textbox inset="0,0,0,0" style="layout-flow:vertical">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v:textbox>
                <w10:wrap type="none"/>
              </v:shape>
            </w:pict>
          </mc:Fallback>
        </mc:AlternateContent>
      </w:r>
    </w:p>
    <w:p>
      <w:pPr>
        <w:pStyle w:val="BodyText"/>
        <w:rPr>
          <w:sz w:val="14"/>
        </w:rPr>
      </w:pPr>
    </w:p>
    <w:p>
      <w:pPr>
        <w:pStyle w:val="BodyText"/>
        <w:rPr>
          <w:sz w:val="14"/>
        </w:rPr>
      </w:pPr>
    </w:p>
    <w:p>
      <w:pPr>
        <w:pStyle w:val="BodyText"/>
        <w:spacing w:before="51"/>
        <w:rPr>
          <w:sz w:val="14"/>
        </w:rPr>
      </w:pPr>
    </w:p>
    <w:p>
      <w:pPr>
        <w:spacing w:before="0"/>
        <w:ind w:left="0" w:right="217" w:firstLine="0"/>
        <w:jc w:val="right"/>
        <w:rPr>
          <w:i/>
          <w:sz w:val="14"/>
        </w:rPr>
      </w:pPr>
      <w:r>
        <w:rPr>
          <w:i/>
          <w:color w:val="231F20"/>
          <w:sz w:val="14"/>
        </w:rPr>
        <w:t>Movement</w:t>
      </w:r>
      <w:r>
        <w:rPr>
          <w:i/>
          <w:color w:val="231F20"/>
          <w:spacing w:val="9"/>
          <w:sz w:val="14"/>
        </w:rPr>
        <w:t> </w:t>
      </w:r>
      <w:r>
        <w:rPr>
          <w:i/>
          <w:color w:val="231F20"/>
          <w:sz w:val="14"/>
        </w:rPr>
        <w:t>Disorders,</w:t>
      </w:r>
      <w:r>
        <w:rPr>
          <w:i/>
          <w:color w:val="231F20"/>
          <w:spacing w:val="9"/>
          <w:sz w:val="14"/>
        </w:rPr>
        <w:t> </w:t>
      </w:r>
      <w:r>
        <w:rPr>
          <w:i/>
          <w:color w:val="231F20"/>
          <w:sz w:val="14"/>
        </w:rPr>
        <w:t>Vol.</w:t>
      </w:r>
      <w:r>
        <w:rPr>
          <w:i/>
          <w:color w:val="231F20"/>
          <w:spacing w:val="8"/>
          <w:sz w:val="14"/>
        </w:rPr>
        <w:t> </w:t>
      </w:r>
      <w:r>
        <w:rPr>
          <w:i/>
          <w:color w:val="231F20"/>
          <w:sz w:val="14"/>
        </w:rPr>
        <w:t>25,</w:t>
      </w:r>
      <w:r>
        <w:rPr>
          <w:i/>
          <w:color w:val="231F20"/>
          <w:spacing w:val="9"/>
          <w:sz w:val="14"/>
        </w:rPr>
        <w:t> </w:t>
      </w:r>
      <w:r>
        <w:rPr>
          <w:i/>
          <w:color w:val="231F20"/>
          <w:sz w:val="14"/>
        </w:rPr>
        <w:t>No.</w:t>
      </w:r>
      <w:r>
        <w:rPr>
          <w:i/>
          <w:color w:val="231F20"/>
          <w:spacing w:val="9"/>
          <w:sz w:val="14"/>
        </w:rPr>
        <w:t> </w:t>
      </w:r>
      <w:r>
        <w:rPr>
          <w:i/>
          <w:color w:val="231F20"/>
          <w:sz w:val="14"/>
        </w:rPr>
        <w:t>14,</w:t>
      </w:r>
      <w:r>
        <w:rPr>
          <w:i/>
          <w:color w:val="231F20"/>
          <w:spacing w:val="8"/>
          <w:sz w:val="14"/>
        </w:rPr>
        <w:t> </w:t>
      </w:r>
      <w:r>
        <w:rPr>
          <w:i/>
          <w:color w:val="231F20"/>
          <w:spacing w:val="-4"/>
          <w:sz w:val="14"/>
        </w:rPr>
        <w:t>2010</w:t>
      </w:r>
    </w:p>
    <w:p>
      <w:pPr>
        <w:spacing w:after="0"/>
        <w:jc w:val="right"/>
        <w:rPr>
          <w:i/>
          <w:sz w:val="14"/>
        </w:rPr>
        <w:sectPr>
          <w:type w:val="continuous"/>
          <w:pgSz w:w="12240" w:h="16200"/>
          <w:pgMar w:top="1060" w:bottom="280" w:left="1080" w:right="1080"/>
        </w:sectPr>
      </w:pPr>
    </w:p>
    <w:p>
      <w:pPr>
        <w:pStyle w:val="Heading3"/>
        <w:tabs>
          <w:tab w:pos="3890" w:val="left" w:leader="none"/>
        </w:tabs>
        <w:ind w:left="256"/>
      </w:pPr>
      <w:r>
        <w:rPr>
          <w:color w:val="231F20"/>
          <w:spacing w:val="-4"/>
        </w:rPr>
        <w:t>2468</w:t>
      </w:r>
      <w:r>
        <w:rPr>
          <w:color w:val="231F20"/>
        </w:rPr>
        <w:tab/>
        <w:t>LETTERS</w:t>
      </w:r>
      <w:r>
        <w:rPr>
          <w:color w:val="231F20"/>
          <w:spacing w:val="12"/>
        </w:rPr>
        <w:t> </w:t>
      </w:r>
      <w:r>
        <w:rPr>
          <w:color w:val="231F20"/>
        </w:rPr>
        <w:t>TO</w:t>
      </w:r>
      <w:r>
        <w:rPr>
          <w:color w:val="231F20"/>
          <w:spacing w:val="10"/>
        </w:rPr>
        <w:t> </w:t>
      </w:r>
      <w:r>
        <w:rPr>
          <w:color w:val="231F20"/>
        </w:rPr>
        <w:t>THE</w:t>
      </w:r>
      <w:r>
        <w:rPr>
          <w:color w:val="231F20"/>
          <w:spacing w:val="11"/>
        </w:rPr>
        <w:t> </w:t>
      </w:r>
      <w:r>
        <w:rPr>
          <w:color w:val="231F20"/>
          <w:spacing w:val="-2"/>
        </w:rPr>
        <w:t>EDITOR</w:t>
      </w:r>
    </w:p>
    <w:p>
      <w:pPr>
        <w:pStyle w:val="BodyText"/>
        <w:spacing w:before="82"/>
        <w:rPr>
          <w:i/>
          <w:sz w:val="20"/>
        </w:rPr>
      </w:pPr>
    </w:p>
    <w:p>
      <w:pPr>
        <w:pStyle w:val="BodyText"/>
        <w:spacing w:after="0"/>
        <w:rPr>
          <w:i/>
          <w:sz w:val="20"/>
        </w:rPr>
        <w:sectPr>
          <w:pgSz w:w="12240" w:h="16200"/>
          <w:pgMar w:top="1040" w:bottom="280" w:left="1080" w:right="1080"/>
        </w:sectPr>
      </w:pPr>
    </w:p>
    <w:p>
      <w:pPr>
        <w:pStyle w:val="BodyText"/>
        <w:spacing w:line="225" w:lineRule="auto" w:before="82"/>
        <w:ind w:left="256" w:right="40" w:firstLine="179"/>
        <w:jc w:val="both"/>
      </w:pPr>
      <w:r>
        <w:rPr>
          <w:color w:val="231F20"/>
        </w:rPr>
        <w:t>Acknowledgments: This study was supported by </w:t>
      </w:r>
      <w:r>
        <w:rPr>
          <w:color w:val="231F20"/>
        </w:rPr>
        <w:t>FAPESP 03/11794-6 and Division of Functional Neurosurgery of Hos- pital das Cl</w:t>
      </w:r>
      <w:r>
        <w:rPr>
          <w:color w:val="231F20"/>
          <w:position w:val="1"/>
        </w:rPr>
        <w:t>´</w:t>
      </w:r>
      <w:r>
        <w:rPr>
          <w:color w:val="231F20"/>
        </w:rPr>
        <w:t>ınicas.</w:t>
      </w:r>
    </w:p>
    <w:p>
      <w:pPr>
        <w:pStyle w:val="BodyText"/>
        <w:spacing w:line="225" w:lineRule="auto" w:before="172"/>
        <w:ind w:left="256" w:right="38" w:firstLine="199"/>
        <w:jc w:val="both"/>
      </w:pPr>
      <w:r>
        <w:rPr>
          <w:color w:val="231F20"/>
        </w:rPr>
        <w:t>Author Roles: Dr. Fonoff was involved in conception and design, acquisition of data, analysis and interpretation of data; drafting</w:t>
      </w:r>
      <w:r>
        <w:rPr>
          <w:color w:val="231F20"/>
          <w:spacing w:val="-6"/>
        </w:rPr>
        <w:t> </w:t>
      </w:r>
      <w:r>
        <w:rPr>
          <w:color w:val="231F20"/>
        </w:rPr>
        <w:t>the</w:t>
      </w:r>
      <w:r>
        <w:rPr>
          <w:color w:val="231F20"/>
          <w:spacing w:val="-7"/>
        </w:rPr>
        <w:t> </w:t>
      </w:r>
      <w:r>
        <w:rPr>
          <w:color w:val="231F20"/>
        </w:rPr>
        <w:t>article;</w:t>
      </w:r>
      <w:r>
        <w:rPr>
          <w:color w:val="231F20"/>
          <w:spacing w:val="-8"/>
        </w:rPr>
        <w:t> </w:t>
      </w:r>
      <w:r>
        <w:rPr>
          <w:color w:val="231F20"/>
        </w:rPr>
        <w:t>critically</w:t>
      </w:r>
      <w:r>
        <w:rPr>
          <w:color w:val="231F20"/>
          <w:spacing w:val="-8"/>
        </w:rPr>
        <w:t> </w:t>
      </w:r>
      <w:r>
        <w:rPr>
          <w:color w:val="231F20"/>
        </w:rPr>
        <w:t>revising</w:t>
      </w:r>
      <w:r>
        <w:rPr>
          <w:color w:val="231F20"/>
          <w:spacing w:val="-6"/>
        </w:rPr>
        <w:t> </w:t>
      </w:r>
      <w:r>
        <w:rPr>
          <w:color w:val="231F20"/>
        </w:rPr>
        <w:t>the</w:t>
      </w:r>
      <w:r>
        <w:rPr>
          <w:color w:val="231F20"/>
          <w:spacing w:val="-7"/>
        </w:rPr>
        <w:t> </w:t>
      </w:r>
      <w:r>
        <w:rPr>
          <w:color w:val="231F20"/>
        </w:rPr>
        <w:t>article,</w:t>
      </w:r>
      <w:r>
        <w:rPr>
          <w:color w:val="231F20"/>
          <w:spacing w:val="-8"/>
        </w:rPr>
        <w:t> </w:t>
      </w:r>
      <w:r>
        <w:rPr>
          <w:color w:val="231F20"/>
        </w:rPr>
        <w:t>review</w:t>
      </w:r>
      <w:r>
        <w:rPr>
          <w:color w:val="231F20"/>
          <w:spacing w:val="-8"/>
        </w:rPr>
        <w:t> </w:t>
      </w:r>
      <w:r>
        <w:rPr>
          <w:color w:val="231F20"/>
        </w:rPr>
        <w:t>of</w:t>
      </w:r>
      <w:r>
        <w:rPr>
          <w:color w:val="231F20"/>
          <w:spacing w:val="-7"/>
        </w:rPr>
        <w:t> </w:t>
      </w:r>
      <w:r>
        <w:rPr>
          <w:color w:val="231F20"/>
        </w:rPr>
        <w:t>ﬁnal version of the manuscript and approval for submission; and administrative/technical/material support. Dr. Teixeira was involved</w:t>
      </w:r>
      <w:r>
        <w:rPr>
          <w:color w:val="231F20"/>
          <w:spacing w:val="-12"/>
        </w:rPr>
        <w:t> </w:t>
      </w:r>
      <w:r>
        <w:rPr>
          <w:color w:val="231F20"/>
        </w:rPr>
        <w:t>in</w:t>
      </w:r>
      <w:r>
        <w:rPr>
          <w:color w:val="231F20"/>
          <w:spacing w:val="-11"/>
        </w:rPr>
        <w:t> </w:t>
      </w:r>
      <w:r>
        <w:rPr>
          <w:color w:val="231F20"/>
        </w:rPr>
        <w:t>conception</w:t>
      </w:r>
      <w:r>
        <w:rPr>
          <w:color w:val="231F20"/>
          <w:spacing w:val="-11"/>
        </w:rPr>
        <w:t> </w:t>
      </w:r>
      <w:r>
        <w:rPr>
          <w:color w:val="231F20"/>
        </w:rPr>
        <w:t>and</w:t>
      </w:r>
      <w:r>
        <w:rPr>
          <w:color w:val="231F20"/>
          <w:spacing w:val="-11"/>
        </w:rPr>
        <w:t> </w:t>
      </w:r>
      <w:r>
        <w:rPr>
          <w:color w:val="231F20"/>
        </w:rPr>
        <w:t>design;</w:t>
      </w:r>
      <w:r>
        <w:rPr>
          <w:color w:val="231F20"/>
          <w:spacing w:val="-12"/>
        </w:rPr>
        <w:t> </w:t>
      </w:r>
      <w:r>
        <w:rPr>
          <w:color w:val="231F20"/>
        </w:rPr>
        <w:t>critically</w:t>
      </w:r>
      <w:r>
        <w:rPr>
          <w:color w:val="231F20"/>
          <w:spacing w:val="-11"/>
        </w:rPr>
        <w:t> </w:t>
      </w:r>
      <w:r>
        <w:rPr>
          <w:color w:val="231F20"/>
        </w:rPr>
        <w:t>revising</w:t>
      </w:r>
      <w:r>
        <w:rPr>
          <w:color w:val="231F20"/>
          <w:spacing w:val="-11"/>
        </w:rPr>
        <w:t> </w:t>
      </w:r>
      <w:r>
        <w:rPr>
          <w:color w:val="231F20"/>
        </w:rPr>
        <w:t>the</w:t>
      </w:r>
      <w:r>
        <w:rPr>
          <w:color w:val="231F20"/>
          <w:spacing w:val="-11"/>
        </w:rPr>
        <w:t> </w:t>
      </w:r>
      <w:r>
        <w:rPr>
          <w:color w:val="231F20"/>
        </w:rPr>
        <w:t>article; review of</w:t>
      </w:r>
      <w:r>
        <w:rPr>
          <w:color w:val="231F20"/>
          <w:spacing w:val="-1"/>
        </w:rPr>
        <w:t> </w:t>
      </w:r>
      <w:r>
        <w:rPr>
          <w:color w:val="231F20"/>
        </w:rPr>
        <w:t>ﬁnal version of</w:t>
      </w:r>
      <w:r>
        <w:rPr>
          <w:color w:val="231F20"/>
          <w:spacing w:val="-1"/>
        </w:rPr>
        <w:t> </w:t>
      </w:r>
      <w:r>
        <w:rPr>
          <w:color w:val="231F20"/>
        </w:rPr>
        <w:t>the manuscript and approval for sub- mission; and administrative/technical/material support. Dr. </w:t>
      </w:r>
      <w:r>
        <w:rPr>
          <w:color w:val="231F20"/>
          <w:spacing w:val="-2"/>
        </w:rPr>
        <w:t>Almeida</w:t>
      </w:r>
      <w:r>
        <w:rPr>
          <w:color w:val="231F20"/>
          <w:spacing w:val="-5"/>
        </w:rPr>
        <w:t> </w:t>
      </w:r>
      <w:r>
        <w:rPr>
          <w:color w:val="231F20"/>
          <w:spacing w:val="-2"/>
        </w:rPr>
        <w:t>was</w:t>
      </w:r>
      <w:r>
        <w:rPr>
          <w:color w:val="231F20"/>
          <w:spacing w:val="-5"/>
        </w:rPr>
        <w:t> </w:t>
      </w:r>
      <w:r>
        <w:rPr>
          <w:color w:val="231F20"/>
          <w:spacing w:val="-2"/>
        </w:rPr>
        <w:t>involved</w:t>
      </w:r>
      <w:r>
        <w:rPr>
          <w:color w:val="231F20"/>
          <w:spacing w:val="-5"/>
        </w:rPr>
        <w:t> </w:t>
      </w:r>
      <w:r>
        <w:rPr>
          <w:color w:val="231F20"/>
          <w:spacing w:val="-2"/>
        </w:rPr>
        <w:t>in</w:t>
      </w:r>
      <w:r>
        <w:rPr>
          <w:color w:val="231F20"/>
          <w:spacing w:val="-5"/>
        </w:rPr>
        <w:t> </w:t>
      </w:r>
      <w:r>
        <w:rPr>
          <w:color w:val="231F20"/>
          <w:spacing w:val="-2"/>
        </w:rPr>
        <w:t>acquisition,</w:t>
      </w:r>
      <w:r>
        <w:rPr>
          <w:color w:val="231F20"/>
          <w:spacing w:val="-5"/>
        </w:rPr>
        <w:t> </w:t>
      </w:r>
      <w:r>
        <w:rPr>
          <w:color w:val="231F20"/>
          <w:spacing w:val="-2"/>
        </w:rPr>
        <w:t>analysis,</w:t>
      </w:r>
      <w:r>
        <w:rPr>
          <w:color w:val="231F20"/>
          <w:spacing w:val="-5"/>
        </w:rPr>
        <w:t> </w:t>
      </w:r>
      <w:r>
        <w:rPr>
          <w:color w:val="231F20"/>
          <w:spacing w:val="-2"/>
        </w:rPr>
        <w:t>and</w:t>
      </w:r>
      <w:r>
        <w:rPr>
          <w:color w:val="231F20"/>
          <w:spacing w:val="-4"/>
        </w:rPr>
        <w:t> </w:t>
      </w:r>
      <w:r>
        <w:rPr>
          <w:color w:val="231F20"/>
          <w:spacing w:val="-2"/>
        </w:rPr>
        <w:t>interpretation </w:t>
      </w:r>
      <w:r>
        <w:rPr>
          <w:color w:val="231F20"/>
        </w:rPr>
        <w:t>of data; drafting the article, and review of ﬁnal version of the manuscript and approval for submission. Dr. Garrido was involved in analysis and interpretation of data. Dr. Sallem was involved in drafting and critically revising the article. Dr. Andrade</w:t>
      </w:r>
      <w:r>
        <w:rPr>
          <w:color w:val="231F20"/>
          <w:spacing w:val="-12"/>
        </w:rPr>
        <w:t> </w:t>
      </w:r>
      <w:r>
        <w:rPr>
          <w:color w:val="231F20"/>
        </w:rPr>
        <w:t>was</w:t>
      </w:r>
      <w:r>
        <w:rPr>
          <w:color w:val="231F20"/>
          <w:spacing w:val="-11"/>
        </w:rPr>
        <w:t> </w:t>
      </w:r>
      <w:r>
        <w:rPr>
          <w:color w:val="231F20"/>
        </w:rPr>
        <w:t>involved</w:t>
      </w:r>
      <w:r>
        <w:rPr>
          <w:color w:val="231F20"/>
          <w:spacing w:val="-11"/>
        </w:rPr>
        <w:t> </w:t>
      </w:r>
      <w:r>
        <w:rPr>
          <w:color w:val="231F20"/>
        </w:rPr>
        <w:t>in</w:t>
      </w:r>
      <w:r>
        <w:rPr>
          <w:color w:val="231F20"/>
          <w:spacing w:val="-11"/>
        </w:rPr>
        <w:t> </w:t>
      </w:r>
      <w:r>
        <w:rPr>
          <w:color w:val="231F20"/>
        </w:rPr>
        <w:t>critically</w:t>
      </w:r>
      <w:r>
        <w:rPr>
          <w:color w:val="231F20"/>
          <w:spacing w:val="-12"/>
        </w:rPr>
        <w:t> </w:t>
      </w:r>
      <w:r>
        <w:rPr>
          <w:color w:val="231F20"/>
        </w:rPr>
        <w:t>revising</w:t>
      </w:r>
      <w:r>
        <w:rPr>
          <w:color w:val="231F20"/>
          <w:spacing w:val="-11"/>
        </w:rPr>
        <w:t> </w:t>
      </w:r>
      <w:r>
        <w:rPr>
          <w:color w:val="231F20"/>
        </w:rPr>
        <w:t>the</w:t>
      </w:r>
      <w:r>
        <w:rPr>
          <w:color w:val="231F20"/>
          <w:spacing w:val="-11"/>
        </w:rPr>
        <w:t> </w:t>
      </w:r>
      <w:r>
        <w:rPr>
          <w:color w:val="231F20"/>
        </w:rPr>
        <w:t>article;</w:t>
      </w:r>
      <w:r>
        <w:rPr>
          <w:color w:val="231F20"/>
          <w:spacing w:val="-11"/>
        </w:rPr>
        <w:t> </w:t>
      </w:r>
      <w:r>
        <w:rPr>
          <w:color w:val="231F20"/>
        </w:rPr>
        <w:t>review</w:t>
      </w:r>
      <w:r>
        <w:rPr>
          <w:color w:val="231F20"/>
          <w:spacing w:val="-12"/>
        </w:rPr>
        <w:t> </w:t>
      </w:r>
      <w:r>
        <w:rPr>
          <w:color w:val="231F20"/>
        </w:rPr>
        <w:t>of ﬁnal</w:t>
      </w:r>
      <w:r>
        <w:rPr>
          <w:color w:val="231F20"/>
          <w:spacing w:val="-11"/>
        </w:rPr>
        <w:t> </w:t>
      </w:r>
      <w:r>
        <w:rPr>
          <w:color w:val="231F20"/>
        </w:rPr>
        <w:t>version</w:t>
      </w:r>
      <w:r>
        <w:rPr>
          <w:color w:val="231F20"/>
          <w:spacing w:val="-11"/>
        </w:rPr>
        <w:t> </w:t>
      </w:r>
      <w:r>
        <w:rPr>
          <w:color w:val="231F20"/>
        </w:rPr>
        <w:t>of</w:t>
      </w:r>
      <w:r>
        <w:rPr>
          <w:color w:val="231F20"/>
          <w:spacing w:val="-11"/>
        </w:rPr>
        <w:t> </w:t>
      </w:r>
      <w:r>
        <w:rPr>
          <w:color w:val="231F20"/>
        </w:rPr>
        <w:t>the</w:t>
      </w:r>
      <w:r>
        <w:rPr>
          <w:color w:val="231F20"/>
          <w:spacing w:val="-9"/>
        </w:rPr>
        <w:t> </w:t>
      </w:r>
      <w:r>
        <w:rPr>
          <w:color w:val="231F20"/>
        </w:rPr>
        <w:t>manuscript</w:t>
      </w:r>
      <w:r>
        <w:rPr>
          <w:color w:val="231F20"/>
          <w:spacing w:val="-9"/>
        </w:rPr>
        <w:t> </w:t>
      </w:r>
      <w:r>
        <w:rPr>
          <w:color w:val="231F20"/>
        </w:rPr>
        <w:t>and</w:t>
      </w:r>
      <w:r>
        <w:rPr>
          <w:color w:val="231F20"/>
          <w:spacing w:val="-10"/>
        </w:rPr>
        <w:t> </w:t>
      </w:r>
      <w:r>
        <w:rPr>
          <w:color w:val="231F20"/>
        </w:rPr>
        <w:t>approval</w:t>
      </w:r>
      <w:r>
        <w:rPr>
          <w:color w:val="231F20"/>
          <w:spacing w:val="-11"/>
        </w:rPr>
        <w:t> </w:t>
      </w:r>
      <w:r>
        <w:rPr>
          <w:color w:val="231F20"/>
        </w:rPr>
        <w:t>for</w:t>
      </w:r>
      <w:r>
        <w:rPr>
          <w:color w:val="231F20"/>
          <w:spacing w:val="-9"/>
        </w:rPr>
        <w:t> </w:t>
      </w:r>
      <w:r>
        <w:rPr>
          <w:color w:val="231F20"/>
        </w:rPr>
        <w:t>submission.</w:t>
      </w:r>
      <w:r>
        <w:rPr>
          <w:color w:val="231F20"/>
          <w:spacing w:val="-11"/>
        </w:rPr>
        <w:t> </w:t>
      </w:r>
      <w:r>
        <w:rPr>
          <w:color w:val="231F20"/>
        </w:rPr>
        <w:t>Dr. Barbosa</w:t>
      </w:r>
      <w:r>
        <w:rPr>
          <w:color w:val="231F20"/>
          <w:spacing w:val="-12"/>
        </w:rPr>
        <w:t> </w:t>
      </w:r>
      <w:r>
        <w:rPr>
          <w:color w:val="231F20"/>
        </w:rPr>
        <w:t>was</w:t>
      </w:r>
      <w:r>
        <w:rPr>
          <w:color w:val="231F20"/>
          <w:spacing w:val="-11"/>
        </w:rPr>
        <w:t> </w:t>
      </w:r>
      <w:r>
        <w:rPr>
          <w:color w:val="231F20"/>
        </w:rPr>
        <w:t>involved</w:t>
      </w:r>
      <w:r>
        <w:rPr>
          <w:color w:val="231F20"/>
          <w:spacing w:val="-10"/>
        </w:rPr>
        <w:t> </w:t>
      </w:r>
      <w:r>
        <w:rPr>
          <w:color w:val="231F20"/>
        </w:rPr>
        <w:t>in</w:t>
      </w:r>
      <w:r>
        <w:rPr>
          <w:color w:val="231F20"/>
          <w:spacing w:val="-11"/>
        </w:rPr>
        <w:t> </w:t>
      </w:r>
      <w:r>
        <w:rPr>
          <w:color w:val="231F20"/>
        </w:rPr>
        <w:t>critically</w:t>
      </w:r>
      <w:r>
        <w:rPr>
          <w:color w:val="231F20"/>
          <w:spacing w:val="-11"/>
        </w:rPr>
        <w:t> </w:t>
      </w:r>
      <w:r>
        <w:rPr>
          <w:color w:val="231F20"/>
        </w:rPr>
        <w:t>revising</w:t>
      </w:r>
      <w:r>
        <w:rPr>
          <w:color w:val="231F20"/>
          <w:spacing w:val="-10"/>
        </w:rPr>
        <w:t> </w:t>
      </w:r>
      <w:r>
        <w:rPr>
          <w:color w:val="231F20"/>
        </w:rPr>
        <w:t>the</w:t>
      </w:r>
      <w:r>
        <w:rPr>
          <w:color w:val="231F20"/>
          <w:spacing w:val="-11"/>
        </w:rPr>
        <w:t> </w:t>
      </w:r>
      <w:r>
        <w:rPr>
          <w:color w:val="231F20"/>
        </w:rPr>
        <w:t>article;</w:t>
      </w:r>
      <w:r>
        <w:rPr>
          <w:color w:val="231F20"/>
          <w:spacing w:val="-12"/>
        </w:rPr>
        <w:t> </w:t>
      </w:r>
      <w:r>
        <w:rPr>
          <w:color w:val="231F20"/>
        </w:rPr>
        <w:t>review</w:t>
      </w:r>
      <w:r>
        <w:rPr>
          <w:color w:val="231F20"/>
          <w:spacing w:val="-9"/>
        </w:rPr>
        <w:t> </w:t>
      </w:r>
      <w:r>
        <w:rPr>
          <w:color w:val="231F20"/>
        </w:rPr>
        <w:t>of ﬁnal version of the manuscript and approval for submission.</w:t>
      </w:r>
    </w:p>
    <w:p>
      <w:pPr>
        <w:pStyle w:val="BodyText"/>
        <w:spacing w:before="35"/>
      </w:pPr>
    </w:p>
    <w:p>
      <w:pPr>
        <w:pStyle w:val="BodyText"/>
        <w:spacing w:line="230" w:lineRule="auto"/>
        <w:ind w:left="1632" w:right="39" w:firstLine="595"/>
        <w:jc w:val="right"/>
      </w:pPr>
      <w:r>
        <w:rPr>
          <w:color w:val="231F20"/>
        </w:rPr>
        <w:t>Erich Talamoni Fonoff, MD, </w:t>
      </w:r>
      <w:r>
        <w:rPr>
          <w:color w:val="231F20"/>
        </w:rPr>
        <w:t>PhD* Ywzhe</w:t>
      </w:r>
      <w:r>
        <w:rPr>
          <w:color w:val="231F20"/>
          <w:spacing w:val="8"/>
        </w:rPr>
        <w:t> </w:t>
      </w:r>
      <w:r>
        <w:rPr>
          <w:color w:val="231F20"/>
        </w:rPr>
        <w:t>Sifuentes</w:t>
      </w:r>
      <w:r>
        <w:rPr>
          <w:color w:val="231F20"/>
          <w:spacing w:val="10"/>
        </w:rPr>
        <w:t> </w:t>
      </w:r>
      <w:r>
        <w:rPr>
          <w:color w:val="231F20"/>
        </w:rPr>
        <w:t>Almeida</w:t>
      </w:r>
      <w:r>
        <w:rPr>
          <w:color w:val="231F20"/>
          <w:spacing w:val="9"/>
        </w:rPr>
        <w:t> </w:t>
      </w:r>
      <w:r>
        <w:rPr>
          <w:color w:val="231F20"/>
        </w:rPr>
        <w:t>de</w:t>
      </w:r>
      <w:r>
        <w:rPr>
          <w:color w:val="231F20"/>
          <w:spacing w:val="10"/>
        </w:rPr>
        <w:t> </w:t>
      </w:r>
      <w:r>
        <w:rPr>
          <w:color w:val="231F20"/>
        </w:rPr>
        <w:t>Oliveira,</w:t>
      </w:r>
      <w:r>
        <w:rPr>
          <w:color w:val="231F20"/>
          <w:spacing w:val="9"/>
        </w:rPr>
        <w:t> </w:t>
      </w:r>
      <w:r>
        <w:rPr>
          <w:color w:val="231F20"/>
          <w:spacing w:val="-5"/>
        </w:rPr>
        <w:t>MD</w:t>
      </w:r>
    </w:p>
    <w:p>
      <w:pPr>
        <w:pStyle w:val="BodyText"/>
        <w:spacing w:line="197" w:lineRule="exact"/>
        <w:ind w:right="39"/>
        <w:jc w:val="right"/>
      </w:pPr>
      <w:r>
        <w:rPr>
          <w:color w:val="231F20"/>
        </w:rPr>
        <w:t>Santiago</w:t>
      </w:r>
      <w:r>
        <w:rPr>
          <w:color w:val="231F20"/>
          <w:spacing w:val="7"/>
        </w:rPr>
        <w:t> </w:t>
      </w:r>
      <w:r>
        <w:rPr>
          <w:color w:val="231F20"/>
        </w:rPr>
        <w:t>Driollet,</w:t>
      </w:r>
      <w:r>
        <w:rPr>
          <w:color w:val="231F20"/>
          <w:spacing w:val="9"/>
        </w:rPr>
        <w:t> </w:t>
      </w:r>
      <w:r>
        <w:rPr>
          <w:color w:val="231F20"/>
          <w:spacing w:val="-5"/>
        </w:rPr>
        <w:t>MD</w:t>
      </w:r>
    </w:p>
    <w:p>
      <w:pPr>
        <w:spacing w:line="200" w:lineRule="exact" w:before="0"/>
        <w:ind w:left="0" w:right="41" w:firstLine="0"/>
        <w:jc w:val="right"/>
        <w:rPr>
          <w:i/>
          <w:sz w:val="18"/>
        </w:rPr>
      </w:pPr>
      <w:r>
        <w:rPr>
          <w:i/>
          <w:color w:val="231F20"/>
          <w:sz w:val="18"/>
        </w:rPr>
        <w:t>Division</w:t>
      </w:r>
      <w:r>
        <w:rPr>
          <w:i/>
          <w:color w:val="231F20"/>
          <w:spacing w:val="10"/>
          <w:sz w:val="18"/>
        </w:rPr>
        <w:t> </w:t>
      </w:r>
      <w:r>
        <w:rPr>
          <w:i/>
          <w:color w:val="231F20"/>
          <w:sz w:val="18"/>
        </w:rPr>
        <w:t>of</w:t>
      </w:r>
      <w:r>
        <w:rPr>
          <w:i/>
          <w:color w:val="231F20"/>
          <w:spacing w:val="9"/>
          <w:sz w:val="18"/>
        </w:rPr>
        <w:t> </w:t>
      </w:r>
      <w:r>
        <w:rPr>
          <w:i/>
          <w:color w:val="231F20"/>
          <w:sz w:val="18"/>
        </w:rPr>
        <w:t>Functional</w:t>
      </w:r>
      <w:r>
        <w:rPr>
          <w:i/>
          <w:color w:val="231F20"/>
          <w:spacing w:val="10"/>
          <w:sz w:val="18"/>
        </w:rPr>
        <w:t> </w:t>
      </w:r>
      <w:r>
        <w:rPr>
          <w:i/>
          <w:color w:val="231F20"/>
          <w:spacing w:val="-2"/>
          <w:sz w:val="18"/>
        </w:rPr>
        <w:t>Neurosurgery</w:t>
      </w:r>
    </w:p>
    <w:p>
      <w:pPr>
        <w:spacing w:line="230" w:lineRule="auto" w:before="3"/>
        <w:ind w:left="1529" w:right="39" w:firstLine="1416"/>
        <w:jc w:val="right"/>
        <w:rPr>
          <w:i/>
          <w:sz w:val="18"/>
        </w:rPr>
      </w:pPr>
      <w:r>
        <w:rPr>
          <w:i/>
          <w:color w:val="231F20"/>
          <w:sz w:val="18"/>
        </w:rPr>
        <w:t>Department</w:t>
      </w:r>
      <w:r>
        <w:rPr>
          <w:i/>
          <w:color w:val="231F20"/>
          <w:spacing w:val="-7"/>
          <w:sz w:val="18"/>
        </w:rPr>
        <w:t> </w:t>
      </w:r>
      <w:r>
        <w:rPr>
          <w:i/>
          <w:color w:val="231F20"/>
          <w:sz w:val="18"/>
        </w:rPr>
        <w:t>of</w:t>
      </w:r>
      <w:r>
        <w:rPr>
          <w:i/>
          <w:color w:val="231F20"/>
          <w:spacing w:val="-6"/>
          <w:sz w:val="18"/>
        </w:rPr>
        <w:t> </w:t>
      </w:r>
      <w:r>
        <w:rPr>
          <w:i/>
          <w:color w:val="231F20"/>
          <w:sz w:val="18"/>
        </w:rPr>
        <w:t>Neurology School</w:t>
      </w:r>
      <w:r>
        <w:rPr>
          <w:i/>
          <w:color w:val="231F20"/>
          <w:spacing w:val="1"/>
          <w:sz w:val="18"/>
        </w:rPr>
        <w:t> </w:t>
      </w:r>
      <w:r>
        <w:rPr>
          <w:i/>
          <w:color w:val="231F20"/>
          <w:sz w:val="18"/>
        </w:rPr>
        <w:t>of</w:t>
      </w:r>
      <w:r>
        <w:rPr>
          <w:i/>
          <w:color w:val="231F20"/>
          <w:spacing w:val="2"/>
          <w:sz w:val="18"/>
        </w:rPr>
        <w:t> </w:t>
      </w:r>
      <w:r>
        <w:rPr>
          <w:i/>
          <w:color w:val="231F20"/>
          <w:sz w:val="18"/>
        </w:rPr>
        <w:t>Medicine,</w:t>
      </w:r>
      <w:r>
        <w:rPr>
          <w:i/>
          <w:color w:val="231F20"/>
          <w:spacing w:val="1"/>
          <w:sz w:val="18"/>
        </w:rPr>
        <w:t> </w:t>
      </w:r>
      <w:r>
        <w:rPr>
          <w:i/>
          <w:color w:val="231F20"/>
          <w:sz w:val="18"/>
        </w:rPr>
        <w:t>University</w:t>
      </w:r>
      <w:r>
        <w:rPr>
          <w:i/>
          <w:color w:val="231F20"/>
          <w:spacing w:val="3"/>
          <w:sz w:val="18"/>
        </w:rPr>
        <w:t> </w:t>
      </w:r>
      <w:r>
        <w:rPr>
          <w:i/>
          <w:color w:val="231F20"/>
          <w:sz w:val="18"/>
        </w:rPr>
        <w:t>of</w:t>
      </w:r>
      <w:r>
        <w:rPr>
          <w:i/>
          <w:color w:val="231F20"/>
          <w:spacing w:val="2"/>
          <w:sz w:val="18"/>
        </w:rPr>
        <w:t> </w:t>
      </w:r>
      <w:r>
        <w:rPr>
          <w:i/>
          <w:color w:val="231F20"/>
          <w:sz w:val="18"/>
        </w:rPr>
        <w:t>Sa˜o</w:t>
      </w:r>
      <w:r>
        <w:rPr>
          <w:i/>
          <w:color w:val="231F20"/>
          <w:spacing w:val="2"/>
          <w:sz w:val="18"/>
        </w:rPr>
        <w:t> </w:t>
      </w:r>
      <w:r>
        <w:rPr>
          <w:i/>
          <w:color w:val="231F20"/>
          <w:spacing w:val="-2"/>
          <w:sz w:val="18"/>
        </w:rPr>
        <w:t>Paulo</w:t>
      </w:r>
    </w:p>
    <w:p>
      <w:pPr>
        <w:spacing w:line="197" w:lineRule="exact" w:before="0"/>
        <w:ind w:left="0" w:right="40" w:firstLine="0"/>
        <w:jc w:val="right"/>
        <w:rPr>
          <w:i/>
          <w:sz w:val="18"/>
        </w:rPr>
      </w:pPr>
      <w:r>
        <w:rPr>
          <w:i/>
          <w:color w:val="231F20"/>
          <w:spacing w:val="-4"/>
          <w:sz w:val="18"/>
        </w:rPr>
        <w:t>Sa˜o</w:t>
      </w:r>
      <w:r>
        <w:rPr>
          <w:i/>
          <w:color w:val="231F20"/>
          <w:sz w:val="18"/>
        </w:rPr>
        <w:t> </w:t>
      </w:r>
      <w:r>
        <w:rPr>
          <w:i/>
          <w:color w:val="231F20"/>
          <w:spacing w:val="-4"/>
          <w:sz w:val="18"/>
        </w:rPr>
        <w:t>Paulo,</w:t>
      </w:r>
      <w:r>
        <w:rPr>
          <w:i/>
          <w:color w:val="231F20"/>
          <w:spacing w:val="-1"/>
          <w:sz w:val="18"/>
        </w:rPr>
        <w:t> </w:t>
      </w:r>
      <w:r>
        <w:rPr>
          <w:i/>
          <w:color w:val="231F20"/>
          <w:spacing w:val="-4"/>
          <w:sz w:val="18"/>
        </w:rPr>
        <w:t>Brazil</w:t>
      </w:r>
    </w:p>
    <w:p>
      <w:pPr>
        <w:spacing w:line="203" w:lineRule="exact" w:before="0"/>
        <w:ind w:left="0" w:right="40" w:firstLine="0"/>
        <w:jc w:val="right"/>
        <w:rPr>
          <w:i/>
          <w:sz w:val="18"/>
        </w:rPr>
      </w:pPr>
      <w:r>
        <w:rPr>
          <w:i/>
          <w:color w:val="231F20"/>
          <w:sz w:val="18"/>
        </w:rPr>
        <w:t>*E-mail:</w:t>
      </w:r>
      <w:r>
        <w:rPr>
          <w:i/>
          <w:color w:val="231F20"/>
          <w:spacing w:val="8"/>
          <w:sz w:val="18"/>
        </w:rPr>
        <w:t> </w:t>
      </w:r>
      <w:hyperlink r:id="rId12">
        <w:r>
          <w:rPr>
            <w:i/>
            <w:color w:val="231F20"/>
            <w:spacing w:val="-2"/>
            <w:sz w:val="18"/>
          </w:rPr>
          <w:t>fonoffet@usp.br</w:t>
        </w:r>
      </w:hyperlink>
    </w:p>
    <w:p>
      <w:pPr>
        <w:pStyle w:val="BodyText"/>
        <w:spacing w:line="203" w:lineRule="exact" w:before="191"/>
        <w:ind w:right="40"/>
        <w:jc w:val="right"/>
      </w:pPr>
      <w:r>
        <w:rPr>
          <w:color w:val="231F20"/>
        </w:rPr>
        <w:t>Griselda</w:t>
      </w:r>
      <w:r>
        <w:rPr>
          <w:color w:val="231F20"/>
          <w:spacing w:val="9"/>
        </w:rPr>
        <w:t> </w:t>
      </w:r>
      <w:r>
        <w:rPr>
          <w:color w:val="231F20"/>
        </w:rPr>
        <w:t>Jarra</w:t>
      </w:r>
      <w:r>
        <w:rPr>
          <w:color w:val="231F20"/>
          <w:spacing w:val="10"/>
        </w:rPr>
        <w:t> </w:t>
      </w:r>
      <w:r>
        <w:rPr>
          <w:color w:val="231F20"/>
        </w:rPr>
        <w:t>Garrido,</w:t>
      </w:r>
      <w:r>
        <w:rPr>
          <w:color w:val="231F20"/>
          <w:spacing w:val="9"/>
        </w:rPr>
        <w:t> </w:t>
      </w:r>
      <w:r>
        <w:rPr>
          <w:color w:val="231F20"/>
          <w:spacing w:val="-5"/>
        </w:rPr>
        <w:t>PhD</w:t>
      </w:r>
    </w:p>
    <w:p>
      <w:pPr>
        <w:spacing w:line="230" w:lineRule="auto" w:before="3"/>
        <w:ind w:left="2227" w:right="40" w:firstLine="1096"/>
        <w:jc w:val="right"/>
        <w:rPr>
          <w:i/>
          <w:sz w:val="18"/>
        </w:rPr>
      </w:pPr>
      <w:r>
        <w:rPr>
          <w:i/>
          <w:color w:val="231F20"/>
          <w:sz w:val="18"/>
        </w:rPr>
        <w:t>Informatics</w:t>
      </w:r>
      <w:r>
        <w:rPr>
          <w:i/>
          <w:color w:val="231F20"/>
          <w:spacing w:val="-7"/>
          <w:sz w:val="18"/>
        </w:rPr>
        <w:t> </w:t>
      </w:r>
      <w:r>
        <w:rPr>
          <w:i/>
          <w:color w:val="231F20"/>
          <w:sz w:val="18"/>
        </w:rPr>
        <w:t>Division Heart</w:t>
      </w:r>
      <w:r>
        <w:rPr>
          <w:i/>
          <w:color w:val="231F20"/>
          <w:spacing w:val="11"/>
          <w:sz w:val="18"/>
        </w:rPr>
        <w:t> </w:t>
      </w:r>
      <w:r>
        <w:rPr>
          <w:i/>
          <w:color w:val="231F20"/>
          <w:sz w:val="18"/>
        </w:rPr>
        <w:t>Institute,</w:t>
      </w:r>
      <w:r>
        <w:rPr>
          <w:i/>
          <w:color w:val="231F20"/>
          <w:spacing w:val="11"/>
          <w:sz w:val="18"/>
        </w:rPr>
        <w:t> </w:t>
      </w:r>
      <w:r>
        <w:rPr>
          <w:i/>
          <w:color w:val="231F20"/>
          <w:sz w:val="18"/>
        </w:rPr>
        <w:t>School</w:t>
      </w:r>
      <w:r>
        <w:rPr>
          <w:i/>
          <w:color w:val="231F20"/>
          <w:spacing w:val="10"/>
          <w:sz w:val="18"/>
        </w:rPr>
        <w:t> </w:t>
      </w:r>
      <w:r>
        <w:rPr>
          <w:i/>
          <w:color w:val="231F20"/>
          <w:sz w:val="18"/>
        </w:rPr>
        <w:t>of</w:t>
      </w:r>
      <w:r>
        <w:rPr>
          <w:i/>
          <w:color w:val="231F20"/>
          <w:spacing w:val="10"/>
          <w:sz w:val="18"/>
        </w:rPr>
        <w:t> </w:t>
      </w:r>
      <w:r>
        <w:rPr>
          <w:i/>
          <w:color w:val="231F20"/>
          <w:spacing w:val="-2"/>
          <w:sz w:val="18"/>
        </w:rPr>
        <w:t>Medicine</w:t>
      </w:r>
    </w:p>
    <w:p>
      <w:pPr>
        <w:spacing w:line="230" w:lineRule="auto" w:before="0"/>
        <w:ind w:left="3517" w:right="39" w:hanging="465"/>
        <w:jc w:val="right"/>
        <w:rPr>
          <w:i/>
          <w:sz w:val="18"/>
        </w:rPr>
      </w:pPr>
      <w:r>
        <w:rPr>
          <w:i/>
          <w:color w:val="231F20"/>
          <w:sz w:val="18"/>
        </w:rPr>
        <w:t>University of Sao </w:t>
      </w:r>
      <w:r>
        <w:rPr>
          <w:i/>
          <w:color w:val="231F20"/>
          <w:sz w:val="18"/>
        </w:rPr>
        <w:t>Paulo Sao</w:t>
      </w:r>
      <w:r>
        <w:rPr>
          <w:i/>
          <w:color w:val="231F20"/>
          <w:spacing w:val="10"/>
          <w:sz w:val="18"/>
        </w:rPr>
        <w:t> </w:t>
      </w:r>
      <w:r>
        <w:rPr>
          <w:i/>
          <w:color w:val="231F20"/>
          <w:sz w:val="18"/>
        </w:rPr>
        <w:t>Paulo,</w:t>
      </w:r>
      <w:r>
        <w:rPr>
          <w:i/>
          <w:color w:val="231F20"/>
          <w:spacing w:val="10"/>
          <w:sz w:val="18"/>
        </w:rPr>
        <w:t> </w:t>
      </w:r>
      <w:r>
        <w:rPr>
          <w:i/>
          <w:color w:val="231F20"/>
          <w:spacing w:val="-2"/>
          <w:sz w:val="18"/>
        </w:rPr>
        <w:t>Brazil</w:t>
      </w:r>
    </w:p>
    <w:p>
      <w:pPr>
        <w:pStyle w:val="BodyText"/>
        <w:spacing w:line="198" w:lineRule="exact" w:before="195"/>
        <w:ind w:right="39"/>
        <w:jc w:val="right"/>
      </w:pPr>
      <w:r>
        <w:rPr>
          <w:color w:val="231F20"/>
        </w:rPr>
        <w:t>Daniel</w:t>
      </w:r>
      <w:r>
        <w:rPr>
          <w:color w:val="231F20"/>
          <w:spacing w:val="11"/>
        </w:rPr>
        <w:t> </w:t>
      </w:r>
      <w:r>
        <w:rPr>
          <w:color w:val="231F20"/>
        </w:rPr>
        <w:t>Ciampi</w:t>
      </w:r>
      <w:r>
        <w:rPr>
          <w:color w:val="231F20"/>
          <w:spacing w:val="12"/>
        </w:rPr>
        <w:t> </w:t>
      </w:r>
      <w:r>
        <w:rPr>
          <w:color w:val="231F20"/>
        </w:rPr>
        <w:t>de</w:t>
      </w:r>
      <w:r>
        <w:rPr>
          <w:color w:val="231F20"/>
          <w:spacing w:val="11"/>
        </w:rPr>
        <w:t> </w:t>
      </w:r>
      <w:r>
        <w:rPr>
          <w:color w:val="231F20"/>
        </w:rPr>
        <w:t>Andrade,</w:t>
      </w:r>
      <w:r>
        <w:rPr>
          <w:color w:val="231F20"/>
          <w:spacing w:val="11"/>
        </w:rPr>
        <w:t> </w:t>
      </w:r>
      <w:r>
        <w:rPr>
          <w:color w:val="231F20"/>
          <w:spacing w:val="-5"/>
        </w:rPr>
        <w:t>MD</w:t>
      </w:r>
    </w:p>
    <w:p>
      <w:pPr>
        <w:pStyle w:val="BodyText"/>
        <w:spacing w:line="204" w:lineRule="exact"/>
        <w:ind w:right="39"/>
        <w:jc w:val="right"/>
      </w:pPr>
      <w:r>
        <w:rPr>
          <w:color w:val="231F20"/>
          <w:spacing w:val="-2"/>
        </w:rPr>
        <w:t>Fla</w:t>
      </w:r>
      <w:r>
        <w:rPr>
          <w:color w:val="231F20"/>
          <w:spacing w:val="-2"/>
          <w:position w:val="1"/>
        </w:rPr>
        <w:t>´</w:t>
      </w:r>
      <w:r>
        <w:rPr>
          <w:color w:val="231F20"/>
          <w:spacing w:val="-2"/>
        </w:rPr>
        <w:t>vio</w:t>
      </w:r>
      <w:r>
        <w:rPr>
          <w:color w:val="231F20"/>
          <w:spacing w:val="-5"/>
        </w:rPr>
        <w:t> </w:t>
      </w:r>
      <w:r>
        <w:rPr>
          <w:color w:val="231F20"/>
          <w:spacing w:val="-2"/>
        </w:rPr>
        <w:t>Sallem,</w:t>
      </w:r>
      <w:r>
        <w:rPr>
          <w:color w:val="231F20"/>
          <w:spacing w:val="-3"/>
        </w:rPr>
        <w:t> </w:t>
      </w:r>
      <w:r>
        <w:rPr>
          <w:color w:val="231F20"/>
          <w:spacing w:val="-5"/>
        </w:rPr>
        <w:t>MD</w:t>
      </w:r>
    </w:p>
    <w:p>
      <w:pPr>
        <w:spacing w:line="200" w:lineRule="exact" w:before="0"/>
        <w:ind w:left="0" w:right="41" w:firstLine="0"/>
        <w:jc w:val="right"/>
        <w:rPr>
          <w:i/>
          <w:sz w:val="18"/>
        </w:rPr>
      </w:pPr>
      <w:r>
        <w:rPr>
          <w:i/>
          <w:color w:val="231F20"/>
          <w:sz w:val="18"/>
        </w:rPr>
        <w:t>Division</w:t>
      </w:r>
      <w:r>
        <w:rPr>
          <w:i/>
          <w:color w:val="231F20"/>
          <w:spacing w:val="10"/>
          <w:sz w:val="18"/>
        </w:rPr>
        <w:t> </w:t>
      </w:r>
      <w:r>
        <w:rPr>
          <w:i/>
          <w:color w:val="231F20"/>
          <w:sz w:val="18"/>
        </w:rPr>
        <w:t>of</w:t>
      </w:r>
      <w:r>
        <w:rPr>
          <w:i/>
          <w:color w:val="231F20"/>
          <w:spacing w:val="9"/>
          <w:sz w:val="18"/>
        </w:rPr>
        <w:t> </w:t>
      </w:r>
      <w:r>
        <w:rPr>
          <w:i/>
          <w:color w:val="231F20"/>
          <w:sz w:val="18"/>
        </w:rPr>
        <w:t>Functional</w:t>
      </w:r>
      <w:r>
        <w:rPr>
          <w:i/>
          <w:color w:val="231F20"/>
          <w:spacing w:val="10"/>
          <w:sz w:val="18"/>
        </w:rPr>
        <w:t> </w:t>
      </w:r>
      <w:r>
        <w:rPr>
          <w:i/>
          <w:color w:val="231F20"/>
          <w:spacing w:val="-2"/>
          <w:sz w:val="18"/>
        </w:rPr>
        <w:t>Neurosurgery</w:t>
      </w:r>
    </w:p>
    <w:p>
      <w:pPr>
        <w:spacing w:line="230" w:lineRule="auto" w:before="3"/>
        <w:ind w:left="1529" w:right="39" w:firstLine="1416"/>
        <w:jc w:val="right"/>
        <w:rPr>
          <w:i/>
          <w:sz w:val="18"/>
        </w:rPr>
      </w:pPr>
      <w:r>
        <w:rPr>
          <w:i/>
          <w:color w:val="231F20"/>
          <w:sz w:val="18"/>
        </w:rPr>
        <w:t>Department</w:t>
      </w:r>
      <w:r>
        <w:rPr>
          <w:i/>
          <w:color w:val="231F20"/>
          <w:spacing w:val="-7"/>
          <w:sz w:val="18"/>
        </w:rPr>
        <w:t> </w:t>
      </w:r>
      <w:r>
        <w:rPr>
          <w:i/>
          <w:color w:val="231F20"/>
          <w:sz w:val="18"/>
        </w:rPr>
        <w:t>of</w:t>
      </w:r>
      <w:r>
        <w:rPr>
          <w:i/>
          <w:color w:val="231F20"/>
          <w:spacing w:val="-6"/>
          <w:sz w:val="18"/>
        </w:rPr>
        <w:t> </w:t>
      </w:r>
      <w:r>
        <w:rPr>
          <w:i/>
          <w:color w:val="231F20"/>
          <w:sz w:val="18"/>
        </w:rPr>
        <w:t>Neurology School</w:t>
      </w:r>
      <w:r>
        <w:rPr>
          <w:i/>
          <w:color w:val="231F20"/>
          <w:spacing w:val="1"/>
          <w:sz w:val="18"/>
        </w:rPr>
        <w:t> </w:t>
      </w:r>
      <w:r>
        <w:rPr>
          <w:i/>
          <w:color w:val="231F20"/>
          <w:sz w:val="18"/>
        </w:rPr>
        <w:t>of</w:t>
      </w:r>
      <w:r>
        <w:rPr>
          <w:i/>
          <w:color w:val="231F20"/>
          <w:spacing w:val="2"/>
          <w:sz w:val="18"/>
        </w:rPr>
        <w:t> </w:t>
      </w:r>
      <w:r>
        <w:rPr>
          <w:i/>
          <w:color w:val="231F20"/>
          <w:sz w:val="18"/>
        </w:rPr>
        <w:t>Medicine,</w:t>
      </w:r>
      <w:r>
        <w:rPr>
          <w:i/>
          <w:color w:val="231F20"/>
          <w:spacing w:val="1"/>
          <w:sz w:val="18"/>
        </w:rPr>
        <w:t> </w:t>
      </w:r>
      <w:r>
        <w:rPr>
          <w:i/>
          <w:color w:val="231F20"/>
          <w:sz w:val="18"/>
        </w:rPr>
        <w:t>University</w:t>
      </w:r>
      <w:r>
        <w:rPr>
          <w:i/>
          <w:color w:val="231F20"/>
          <w:spacing w:val="3"/>
          <w:sz w:val="18"/>
        </w:rPr>
        <w:t> </w:t>
      </w:r>
      <w:r>
        <w:rPr>
          <w:i/>
          <w:color w:val="231F20"/>
          <w:sz w:val="18"/>
        </w:rPr>
        <w:t>of</w:t>
      </w:r>
      <w:r>
        <w:rPr>
          <w:i/>
          <w:color w:val="231F20"/>
          <w:spacing w:val="2"/>
          <w:sz w:val="18"/>
        </w:rPr>
        <w:t> </w:t>
      </w:r>
      <w:r>
        <w:rPr>
          <w:i/>
          <w:color w:val="231F20"/>
          <w:sz w:val="18"/>
        </w:rPr>
        <w:t>Sa˜o</w:t>
      </w:r>
      <w:r>
        <w:rPr>
          <w:i/>
          <w:color w:val="231F20"/>
          <w:spacing w:val="2"/>
          <w:sz w:val="18"/>
        </w:rPr>
        <w:t> </w:t>
      </w:r>
      <w:r>
        <w:rPr>
          <w:i/>
          <w:color w:val="231F20"/>
          <w:spacing w:val="-2"/>
          <w:sz w:val="18"/>
        </w:rPr>
        <w:t>Paulo</w:t>
      </w:r>
    </w:p>
    <w:p>
      <w:pPr>
        <w:spacing w:line="201" w:lineRule="exact" w:before="0"/>
        <w:ind w:left="0" w:right="40" w:firstLine="0"/>
        <w:jc w:val="right"/>
        <w:rPr>
          <w:i/>
          <w:sz w:val="18"/>
        </w:rPr>
      </w:pPr>
      <w:r>
        <w:rPr>
          <w:i/>
          <w:color w:val="231F20"/>
          <w:spacing w:val="-4"/>
          <w:sz w:val="18"/>
        </w:rPr>
        <w:t>Sa˜o</w:t>
      </w:r>
      <w:r>
        <w:rPr>
          <w:i/>
          <w:color w:val="231F20"/>
          <w:sz w:val="18"/>
        </w:rPr>
        <w:t> </w:t>
      </w:r>
      <w:r>
        <w:rPr>
          <w:i/>
          <w:color w:val="231F20"/>
          <w:spacing w:val="-4"/>
          <w:sz w:val="18"/>
        </w:rPr>
        <w:t>Paulo,</w:t>
      </w:r>
      <w:r>
        <w:rPr>
          <w:i/>
          <w:color w:val="231F20"/>
          <w:spacing w:val="-1"/>
          <w:sz w:val="18"/>
        </w:rPr>
        <w:t> </w:t>
      </w:r>
      <w:r>
        <w:rPr>
          <w:i/>
          <w:color w:val="231F20"/>
          <w:spacing w:val="-4"/>
          <w:sz w:val="18"/>
        </w:rPr>
        <w:t>Brazil</w:t>
      </w:r>
    </w:p>
    <w:p>
      <w:pPr>
        <w:pStyle w:val="BodyText"/>
        <w:spacing w:line="203" w:lineRule="exact" w:before="192"/>
        <w:ind w:right="40"/>
        <w:jc w:val="right"/>
      </w:pPr>
      <w:r>
        <w:rPr>
          <w:color w:val="231F20"/>
        </w:rPr>
        <w:t>Egberto</w:t>
      </w:r>
      <w:r>
        <w:rPr>
          <w:color w:val="231F20"/>
          <w:spacing w:val="9"/>
        </w:rPr>
        <w:t> </w:t>
      </w:r>
      <w:r>
        <w:rPr>
          <w:color w:val="231F20"/>
        </w:rPr>
        <w:t>Reis</w:t>
      </w:r>
      <w:r>
        <w:rPr>
          <w:color w:val="231F20"/>
          <w:spacing w:val="9"/>
        </w:rPr>
        <w:t> </w:t>
      </w:r>
      <w:r>
        <w:rPr>
          <w:color w:val="231F20"/>
        </w:rPr>
        <w:t>Barbosa,</w:t>
      </w:r>
      <w:r>
        <w:rPr>
          <w:color w:val="231F20"/>
          <w:spacing w:val="11"/>
        </w:rPr>
        <w:t> </w:t>
      </w:r>
      <w:r>
        <w:rPr>
          <w:color w:val="231F20"/>
        </w:rPr>
        <w:t>MD,</w:t>
      </w:r>
      <w:r>
        <w:rPr>
          <w:color w:val="231F20"/>
          <w:spacing w:val="10"/>
        </w:rPr>
        <w:t> </w:t>
      </w:r>
      <w:r>
        <w:rPr>
          <w:color w:val="231F20"/>
          <w:spacing w:val="-5"/>
        </w:rPr>
        <w:t>PhD</w:t>
      </w:r>
    </w:p>
    <w:p>
      <w:pPr>
        <w:spacing w:line="230" w:lineRule="auto" w:before="3"/>
        <w:ind w:left="1529" w:right="39" w:firstLine="1416"/>
        <w:jc w:val="right"/>
        <w:rPr>
          <w:i/>
          <w:sz w:val="18"/>
        </w:rPr>
      </w:pPr>
      <w:r>
        <w:rPr>
          <w:i/>
          <w:color w:val="231F20"/>
          <w:sz w:val="18"/>
        </w:rPr>
        <w:t>Department</w:t>
      </w:r>
      <w:r>
        <w:rPr>
          <w:i/>
          <w:color w:val="231F20"/>
          <w:spacing w:val="-7"/>
          <w:sz w:val="18"/>
        </w:rPr>
        <w:t> </w:t>
      </w:r>
      <w:r>
        <w:rPr>
          <w:i/>
          <w:color w:val="231F20"/>
          <w:sz w:val="18"/>
        </w:rPr>
        <w:t>of</w:t>
      </w:r>
      <w:r>
        <w:rPr>
          <w:i/>
          <w:color w:val="231F20"/>
          <w:spacing w:val="-6"/>
          <w:sz w:val="18"/>
        </w:rPr>
        <w:t> </w:t>
      </w:r>
      <w:r>
        <w:rPr>
          <w:i/>
          <w:color w:val="231F20"/>
          <w:sz w:val="18"/>
        </w:rPr>
        <w:t>Neurology School</w:t>
      </w:r>
      <w:r>
        <w:rPr>
          <w:i/>
          <w:color w:val="231F20"/>
          <w:spacing w:val="1"/>
          <w:sz w:val="18"/>
        </w:rPr>
        <w:t> </w:t>
      </w:r>
      <w:r>
        <w:rPr>
          <w:i/>
          <w:color w:val="231F20"/>
          <w:sz w:val="18"/>
        </w:rPr>
        <w:t>of</w:t>
      </w:r>
      <w:r>
        <w:rPr>
          <w:i/>
          <w:color w:val="231F20"/>
          <w:spacing w:val="2"/>
          <w:sz w:val="18"/>
        </w:rPr>
        <w:t> </w:t>
      </w:r>
      <w:r>
        <w:rPr>
          <w:i/>
          <w:color w:val="231F20"/>
          <w:sz w:val="18"/>
        </w:rPr>
        <w:t>Medicine,</w:t>
      </w:r>
      <w:r>
        <w:rPr>
          <w:i/>
          <w:color w:val="231F20"/>
          <w:spacing w:val="1"/>
          <w:sz w:val="18"/>
        </w:rPr>
        <w:t> </w:t>
      </w:r>
      <w:r>
        <w:rPr>
          <w:i/>
          <w:color w:val="231F20"/>
          <w:sz w:val="18"/>
        </w:rPr>
        <w:t>University</w:t>
      </w:r>
      <w:r>
        <w:rPr>
          <w:i/>
          <w:color w:val="231F20"/>
          <w:spacing w:val="3"/>
          <w:sz w:val="18"/>
        </w:rPr>
        <w:t> </w:t>
      </w:r>
      <w:r>
        <w:rPr>
          <w:i/>
          <w:color w:val="231F20"/>
          <w:sz w:val="18"/>
        </w:rPr>
        <w:t>of</w:t>
      </w:r>
      <w:r>
        <w:rPr>
          <w:i/>
          <w:color w:val="231F20"/>
          <w:spacing w:val="2"/>
          <w:sz w:val="18"/>
        </w:rPr>
        <w:t> </w:t>
      </w:r>
      <w:r>
        <w:rPr>
          <w:i/>
          <w:color w:val="231F20"/>
          <w:sz w:val="18"/>
        </w:rPr>
        <w:t>Sa˜o</w:t>
      </w:r>
      <w:r>
        <w:rPr>
          <w:i/>
          <w:color w:val="231F20"/>
          <w:spacing w:val="2"/>
          <w:sz w:val="18"/>
        </w:rPr>
        <w:t> </w:t>
      </w:r>
      <w:r>
        <w:rPr>
          <w:i/>
          <w:color w:val="231F20"/>
          <w:spacing w:val="-2"/>
          <w:sz w:val="18"/>
        </w:rPr>
        <w:t>Paulo</w:t>
      </w:r>
    </w:p>
    <w:p>
      <w:pPr>
        <w:spacing w:line="202" w:lineRule="exact" w:before="0"/>
        <w:ind w:left="0" w:right="40" w:firstLine="0"/>
        <w:jc w:val="right"/>
        <w:rPr>
          <w:i/>
          <w:sz w:val="18"/>
        </w:rPr>
      </w:pPr>
      <w:r>
        <w:rPr>
          <w:i/>
          <w:color w:val="231F20"/>
          <w:spacing w:val="-4"/>
          <w:sz w:val="18"/>
        </w:rPr>
        <w:t>Sa˜o</w:t>
      </w:r>
      <w:r>
        <w:rPr>
          <w:i/>
          <w:color w:val="231F20"/>
          <w:sz w:val="18"/>
        </w:rPr>
        <w:t> </w:t>
      </w:r>
      <w:r>
        <w:rPr>
          <w:i/>
          <w:color w:val="231F20"/>
          <w:spacing w:val="-4"/>
          <w:sz w:val="18"/>
        </w:rPr>
        <w:t>Paulo,</w:t>
      </w:r>
      <w:r>
        <w:rPr>
          <w:i/>
          <w:color w:val="231F20"/>
          <w:spacing w:val="-1"/>
          <w:sz w:val="18"/>
        </w:rPr>
        <w:t> </w:t>
      </w:r>
      <w:r>
        <w:rPr>
          <w:i/>
          <w:color w:val="231F20"/>
          <w:spacing w:val="-4"/>
          <w:sz w:val="18"/>
        </w:rPr>
        <w:t>Brazil</w:t>
      </w:r>
    </w:p>
    <w:p>
      <w:pPr>
        <w:pStyle w:val="BodyText"/>
        <w:spacing w:line="203" w:lineRule="exact" w:before="191"/>
        <w:ind w:right="40"/>
        <w:jc w:val="right"/>
      </w:pPr>
      <w:r>
        <w:rPr>
          <w:color w:val="231F20"/>
        </w:rPr>
        <w:t>Manoel</w:t>
      </w:r>
      <w:r>
        <w:rPr>
          <w:color w:val="231F20"/>
          <w:spacing w:val="11"/>
        </w:rPr>
        <w:t> </w:t>
      </w:r>
      <w:r>
        <w:rPr>
          <w:color w:val="231F20"/>
        </w:rPr>
        <w:t>Jacobsen</w:t>
      </w:r>
      <w:r>
        <w:rPr>
          <w:color w:val="231F20"/>
          <w:spacing w:val="10"/>
        </w:rPr>
        <w:t> </w:t>
      </w:r>
      <w:r>
        <w:rPr>
          <w:color w:val="231F20"/>
        </w:rPr>
        <w:t>Teixeira,</w:t>
      </w:r>
      <w:r>
        <w:rPr>
          <w:color w:val="231F20"/>
          <w:spacing w:val="10"/>
        </w:rPr>
        <w:t> </w:t>
      </w:r>
      <w:r>
        <w:rPr>
          <w:color w:val="231F20"/>
        </w:rPr>
        <w:t>MD,</w:t>
      </w:r>
      <w:r>
        <w:rPr>
          <w:color w:val="231F20"/>
          <w:spacing w:val="11"/>
        </w:rPr>
        <w:t> </w:t>
      </w:r>
      <w:r>
        <w:rPr>
          <w:color w:val="231F20"/>
          <w:spacing w:val="-5"/>
        </w:rPr>
        <w:t>PhD</w:t>
      </w:r>
    </w:p>
    <w:p>
      <w:pPr>
        <w:spacing w:line="200" w:lineRule="exact" w:before="0"/>
        <w:ind w:left="0" w:right="41" w:firstLine="0"/>
        <w:jc w:val="right"/>
        <w:rPr>
          <w:i/>
          <w:sz w:val="18"/>
        </w:rPr>
      </w:pPr>
      <w:r>
        <w:rPr>
          <w:i/>
          <w:color w:val="231F20"/>
          <w:sz w:val="18"/>
        </w:rPr>
        <w:t>Division</w:t>
      </w:r>
      <w:r>
        <w:rPr>
          <w:i/>
          <w:color w:val="231F20"/>
          <w:spacing w:val="10"/>
          <w:sz w:val="18"/>
        </w:rPr>
        <w:t> </w:t>
      </w:r>
      <w:r>
        <w:rPr>
          <w:i/>
          <w:color w:val="231F20"/>
          <w:sz w:val="18"/>
        </w:rPr>
        <w:t>of</w:t>
      </w:r>
      <w:r>
        <w:rPr>
          <w:i/>
          <w:color w:val="231F20"/>
          <w:spacing w:val="9"/>
          <w:sz w:val="18"/>
        </w:rPr>
        <w:t> </w:t>
      </w:r>
      <w:r>
        <w:rPr>
          <w:i/>
          <w:color w:val="231F20"/>
          <w:sz w:val="18"/>
        </w:rPr>
        <w:t>Functional</w:t>
      </w:r>
      <w:r>
        <w:rPr>
          <w:i/>
          <w:color w:val="231F20"/>
          <w:spacing w:val="10"/>
          <w:sz w:val="18"/>
        </w:rPr>
        <w:t> </w:t>
      </w:r>
      <w:r>
        <w:rPr>
          <w:i/>
          <w:color w:val="231F20"/>
          <w:spacing w:val="-2"/>
          <w:sz w:val="18"/>
        </w:rPr>
        <w:t>Neurosurgery</w:t>
      </w:r>
    </w:p>
    <w:p>
      <w:pPr>
        <w:spacing w:line="230" w:lineRule="auto" w:before="3"/>
        <w:ind w:left="1529" w:right="39" w:firstLine="1416"/>
        <w:jc w:val="right"/>
        <w:rPr>
          <w:i/>
          <w:sz w:val="18"/>
        </w:rPr>
      </w:pPr>
      <w:r>
        <w:rPr>
          <w:i/>
          <w:color w:val="231F20"/>
          <w:sz w:val="18"/>
        </w:rPr>
        <w:t>Department</w:t>
      </w:r>
      <w:r>
        <w:rPr>
          <w:i/>
          <w:color w:val="231F20"/>
          <w:spacing w:val="-7"/>
          <w:sz w:val="18"/>
        </w:rPr>
        <w:t> </w:t>
      </w:r>
      <w:r>
        <w:rPr>
          <w:i/>
          <w:color w:val="231F20"/>
          <w:sz w:val="18"/>
        </w:rPr>
        <w:t>of</w:t>
      </w:r>
      <w:r>
        <w:rPr>
          <w:i/>
          <w:color w:val="231F20"/>
          <w:spacing w:val="-6"/>
          <w:sz w:val="18"/>
        </w:rPr>
        <w:t> </w:t>
      </w:r>
      <w:r>
        <w:rPr>
          <w:i/>
          <w:color w:val="231F20"/>
          <w:sz w:val="18"/>
        </w:rPr>
        <w:t>Neurology School</w:t>
      </w:r>
      <w:r>
        <w:rPr>
          <w:i/>
          <w:color w:val="231F20"/>
          <w:spacing w:val="1"/>
          <w:sz w:val="18"/>
        </w:rPr>
        <w:t> </w:t>
      </w:r>
      <w:r>
        <w:rPr>
          <w:i/>
          <w:color w:val="231F20"/>
          <w:sz w:val="18"/>
        </w:rPr>
        <w:t>of</w:t>
      </w:r>
      <w:r>
        <w:rPr>
          <w:i/>
          <w:color w:val="231F20"/>
          <w:spacing w:val="2"/>
          <w:sz w:val="18"/>
        </w:rPr>
        <w:t> </w:t>
      </w:r>
      <w:r>
        <w:rPr>
          <w:i/>
          <w:color w:val="231F20"/>
          <w:sz w:val="18"/>
        </w:rPr>
        <w:t>Medicine,</w:t>
      </w:r>
      <w:r>
        <w:rPr>
          <w:i/>
          <w:color w:val="231F20"/>
          <w:spacing w:val="1"/>
          <w:sz w:val="18"/>
        </w:rPr>
        <w:t> </w:t>
      </w:r>
      <w:r>
        <w:rPr>
          <w:i/>
          <w:color w:val="231F20"/>
          <w:sz w:val="18"/>
        </w:rPr>
        <w:t>University</w:t>
      </w:r>
      <w:r>
        <w:rPr>
          <w:i/>
          <w:color w:val="231F20"/>
          <w:spacing w:val="3"/>
          <w:sz w:val="18"/>
        </w:rPr>
        <w:t> </w:t>
      </w:r>
      <w:r>
        <w:rPr>
          <w:i/>
          <w:color w:val="231F20"/>
          <w:sz w:val="18"/>
        </w:rPr>
        <w:t>of</w:t>
      </w:r>
      <w:r>
        <w:rPr>
          <w:i/>
          <w:color w:val="231F20"/>
          <w:spacing w:val="2"/>
          <w:sz w:val="18"/>
        </w:rPr>
        <w:t> </w:t>
      </w:r>
      <w:r>
        <w:rPr>
          <w:i/>
          <w:color w:val="231F20"/>
          <w:sz w:val="18"/>
        </w:rPr>
        <w:t>Sa˜o</w:t>
      </w:r>
      <w:r>
        <w:rPr>
          <w:i/>
          <w:color w:val="231F20"/>
          <w:spacing w:val="2"/>
          <w:sz w:val="18"/>
        </w:rPr>
        <w:t> </w:t>
      </w:r>
      <w:r>
        <w:rPr>
          <w:i/>
          <w:color w:val="231F20"/>
          <w:spacing w:val="-2"/>
          <w:sz w:val="18"/>
        </w:rPr>
        <w:t>Paulo</w:t>
      </w:r>
    </w:p>
    <w:p>
      <w:pPr>
        <w:spacing w:line="201" w:lineRule="exact" w:before="0"/>
        <w:ind w:left="0" w:right="40" w:firstLine="0"/>
        <w:jc w:val="right"/>
        <w:rPr>
          <w:i/>
          <w:sz w:val="18"/>
        </w:rPr>
      </w:pPr>
      <w:r>
        <w:rPr>
          <w:i/>
          <w:color w:val="231F20"/>
          <w:spacing w:val="-4"/>
          <w:sz w:val="18"/>
        </w:rPr>
        <w:t>Sa˜o</w:t>
      </w:r>
      <w:r>
        <w:rPr>
          <w:i/>
          <w:color w:val="231F20"/>
          <w:sz w:val="18"/>
        </w:rPr>
        <w:t> </w:t>
      </w:r>
      <w:r>
        <w:rPr>
          <w:i/>
          <w:color w:val="231F20"/>
          <w:spacing w:val="-4"/>
          <w:sz w:val="18"/>
        </w:rPr>
        <w:t>Paulo,</w:t>
      </w:r>
      <w:r>
        <w:rPr>
          <w:i/>
          <w:color w:val="231F20"/>
          <w:spacing w:val="-1"/>
          <w:sz w:val="18"/>
        </w:rPr>
        <w:t> </w:t>
      </w:r>
      <w:r>
        <w:rPr>
          <w:i/>
          <w:color w:val="231F20"/>
          <w:spacing w:val="-4"/>
          <w:sz w:val="18"/>
        </w:rPr>
        <w:t>Brazil</w:t>
      </w:r>
    </w:p>
    <w:p>
      <w:pPr>
        <w:pStyle w:val="BodyText"/>
        <w:spacing w:before="1"/>
        <w:rPr>
          <w:i/>
        </w:rPr>
      </w:pPr>
    </w:p>
    <w:p>
      <w:pPr>
        <w:pStyle w:val="Heading2"/>
        <w:ind w:right="1"/>
      </w:pPr>
      <w:r>
        <w:rPr>
          <w:color w:val="231F20"/>
          <w:spacing w:val="-2"/>
          <w:w w:val="105"/>
        </w:rPr>
        <w:t>References</w:t>
      </w:r>
    </w:p>
    <w:p>
      <w:pPr>
        <w:pStyle w:val="ListParagraph"/>
        <w:numPr>
          <w:ilvl w:val="0"/>
          <w:numId w:val="6"/>
        </w:numPr>
        <w:tabs>
          <w:tab w:pos="502" w:val="left" w:leader="none"/>
          <w:tab w:pos="504" w:val="left" w:leader="none"/>
        </w:tabs>
        <w:spacing w:line="247" w:lineRule="auto" w:before="149" w:after="0"/>
        <w:ind w:left="504" w:right="39" w:hanging="248"/>
        <w:jc w:val="left"/>
        <w:rPr>
          <w:sz w:val="16"/>
        </w:rPr>
      </w:pPr>
      <w:r>
        <w:rPr>
          <w:color w:val="231F20"/>
          <w:sz w:val="16"/>
        </w:rPr>
        <w:t>Doty</w:t>
      </w:r>
      <w:r>
        <w:rPr>
          <w:color w:val="231F20"/>
          <w:spacing w:val="27"/>
          <w:sz w:val="16"/>
        </w:rPr>
        <w:t> </w:t>
      </w:r>
      <w:r>
        <w:rPr>
          <w:color w:val="231F20"/>
          <w:sz w:val="16"/>
        </w:rPr>
        <w:t>RL,</w:t>
      </w:r>
      <w:r>
        <w:rPr>
          <w:color w:val="231F20"/>
          <w:spacing w:val="27"/>
          <w:sz w:val="16"/>
        </w:rPr>
        <w:t> </w:t>
      </w:r>
      <w:r>
        <w:rPr>
          <w:color w:val="231F20"/>
          <w:sz w:val="16"/>
        </w:rPr>
        <w:t>Deems</w:t>
      </w:r>
      <w:r>
        <w:rPr>
          <w:color w:val="231F20"/>
          <w:spacing w:val="26"/>
          <w:sz w:val="16"/>
        </w:rPr>
        <w:t> </w:t>
      </w:r>
      <w:r>
        <w:rPr>
          <w:color w:val="231F20"/>
          <w:sz w:val="16"/>
        </w:rPr>
        <w:t>D,</w:t>
      </w:r>
      <w:r>
        <w:rPr>
          <w:color w:val="231F20"/>
          <w:spacing w:val="28"/>
          <w:sz w:val="16"/>
        </w:rPr>
        <w:t> </w:t>
      </w:r>
      <w:r>
        <w:rPr>
          <w:color w:val="231F20"/>
          <w:sz w:val="16"/>
        </w:rPr>
        <w:t>Steller</w:t>
      </w:r>
      <w:r>
        <w:rPr>
          <w:color w:val="231F20"/>
          <w:spacing w:val="26"/>
          <w:sz w:val="16"/>
        </w:rPr>
        <w:t> </w:t>
      </w:r>
      <w:r>
        <w:rPr>
          <w:color w:val="231F20"/>
          <w:sz w:val="16"/>
        </w:rPr>
        <w:t>S.</w:t>
      </w:r>
      <w:r>
        <w:rPr>
          <w:color w:val="231F20"/>
          <w:spacing w:val="27"/>
          <w:sz w:val="16"/>
        </w:rPr>
        <w:t> </w:t>
      </w:r>
      <w:r>
        <w:rPr>
          <w:color w:val="231F20"/>
          <w:sz w:val="16"/>
        </w:rPr>
        <w:t>Olfactory</w:t>
      </w:r>
      <w:r>
        <w:rPr>
          <w:color w:val="231F20"/>
          <w:spacing w:val="26"/>
          <w:sz w:val="16"/>
        </w:rPr>
        <w:t> </w:t>
      </w:r>
      <w:r>
        <w:rPr>
          <w:color w:val="231F20"/>
          <w:sz w:val="16"/>
        </w:rPr>
        <w:t>dysfunction</w:t>
      </w:r>
      <w:r>
        <w:rPr>
          <w:color w:val="231F20"/>
          <w:spacing w:val="26"/>
          <w:sz w:val="16"/>
        </w:rPr>
        <w:t> </w:t>
      </w:r>
      <w:r>
        <w:rPr>
          <w:color w:val="231F20"/>
          <w:sz w:val="16"/>
        </w:rPr>
        <w:t>in</w:t>
      </w:r>
      <w:r>
        <w:rPr>
          <w:color w:val="231F20"/>
          <w:spacing w:val="27"/>
          <w:sz w:val="16"/>
        </w:rPr>
        <w:t> </w:t>
      </w:r>
      <w:r>
        <w:rPr>
          <w:color w:val="231F20"/>
          <w:sz w:val="16"/>
        </w:rPr>
        <w:t>Parkin-</w:t>
      </w:r>
      <w:r>
        <w:rPr>
          <w:color w:val="231F20"/>
          <w:spacing w:val="40"/>
          <w:sz w:val="16"/>
        </w:rPr>
        <w:t> </w:t>
      </w:r>
      <w:r>
        <w:rPr>
          <w:color w:val="231F20"/>
          <w:sz w:val="16"/>
        </w:rPr>
        <w:t>son’s disease: a general deﬁcit unrelated to neurologic signs, </w:t>
      </w:r>
      <w:r>
        <w:rPr>
          <w:color w:val="231F20"/>
          <w:sz w:val="16"/>
        </w:rPr>
        <w:t>dis-</w:t>
      </w:r>
    </w:p>
    <w:p>
      <w:pPr>
        <w:pStyle w:val="ListParagraph"/>
        <w:numPr>
          <w:ilvl w:val="0"/>
          <w:numId w:val="7"/>
        </w:numPr>
        <w:tabs>
          <w:tab w:pos="502" w:val="left" w:leader="none"/>
          <w:tab w:pos="504" w:val="left" w:leader="none"/>
        </w:tabs>
        <w:spacing w:line="244" w:lineRule="auto" w:before="77" w:after="0"/>
        <w:ind w:left="504" w:right="215" w:hanging="248"/>
        <w:jc w:val="both"/>
        <w:rPr>
          <w:sz w:val="16"/>
        </w:rPr>
      </w:pPr>
      <w:r>
        <w:rPr/>
        <w:br w:type="column"/>
      </w:r>
      <w:r>
        <w:rPr>
          <w:color w:val="231F20"/>
          <w:sz w:val="16"/>
        </w:rPr>
        <w:t>Braak H, DelTredici K, Rub U, de Vos RAI, Jansen Steur </w:t>
      </w:r>
      <w:r>
        <w:rPr>
          <w:color w:val="231F20"/>
          <w:sz w:val="16"/>
        </w:rPr>
        <w:t>ENH,</w:t>
      </w:r>
      <w:r>
        <w:rPr>
          <w:color w:val="231F20"/>
          <w:spacing w:val="40"/>
          <w:sz w:val="16"/>
        </w:rPr>
        <w:t> </w:t>
      </w:r>
      <w:r>
        <w:rPr>
          <w:color w:val="231F20"/>
          <w:sz w:val="16"/>
        </w:rPr>
        <w:t>Braak E. Staging of brain pathology related to sporadic Parkin-</w:t>
      </w:r>
      <w:r>
        <w:rPr>
          <w:color w:val="231F20"/>
          <w:spacing w:val="40"/>
          <w:sz w:val="16"/>
        </w:rPr>
        <w:t> </w:t>
      </w:r>
      <w:r>
        <w:rPr>
          <w:color w:val="231F20"/>
          <w:sz w:val="16"/>
        </w:rPr>
        <w:t>son’s disease. Neurobiol Aging 2003;24:197–210.</w:t>
      </w:r>
    </w:p>
    <w:p>
      <w:pPr>
        <w:pStyle w:val="ListParagraph"/>
        <w:numPr>
          <w:ilvl w:val="0"/>
          <w:numId w:val="7"/>
        </w:numPr>
        <w:tabs>
          <w:tab w:pos="502" w:val="left" w:leader="none"/>
          <w:tab w:pos="504" w:val="left" w:leader="none"/>
        </w:tabs>
        <w:spacing w:line="249" w:lineRule="auto" w:before="0" w:after="0"/>
        <w:ind w:left="504" w:right="216" w:hanging="248"/>
        <w:jc w:val="both"/>
        <w:rPr>
          <w:sz w:val="16"/>
        </w:rPr>
      </w:pPr>
      <w:r>
        <w:rPr>
          <w:color w:val="231F20"/>
          <w:sz w:val="16"/>
        </w:rPr>
        <w:t>Double KL, Rowe DB, Hayes M, Chan DKY, Blackie J. </w:t>
      </w:r>
      <w:r>
        <w:rPr>
          <w:color w:val="231F20"/>
          <w:sz w:val="16"/>
        </w:rPr>
        <w:t>Identify-</w:t>
      </w:r>
      <w:r>
        <w:rPr>
          <w:color w:val="231F20"/>
          <w:spacing w:val="40"/>
          <w:sz w:val="16"/>
        </w:rPr>
        <w:t> </w:t>
      </w:r>
      <w:r>
        <w:rPr>
          <w:color w:val="231F20"/>
          <w:sz w:val="16"/>
        </w:rPr>
        <w:t>ing the pattern of olfactory deﬁcits in Parkinson disease using the</w:t>
      </w:r>
      <w:r>
        <w:rPr>
          <w:color w:val="231F20"/>
          <w:spacing w:val="40"/>
          <w:sz w:val="16"/>
        </w:rPr>
        <w:t> </w:t>
      </w:r>
      <w:r>
        <w:rPr>
          <w:color w:val="231F20"/>
          <w:sz w:val="16"/>
        </w:rPr>
        <w:t>brief smell identiﬁcation test. Arch Neurol 2003;60:545–549.</w:t>
      </w:r>
    </w:p>
    <w:p>
      <w:pPr>
        <w:pStyle w:val="ListParagraph"/>
        <w:numPr>
          <w:ilvl w:val="0"/>
          <w:numId w:val="7"/>
        </w:numPr>
        <w:tabs>
          <w:tab w:pos="502" w:val="left" w:leader="none"/>
          <w:tab w:pos="504" w:val="left" w:leader="none"/>
        </w:tabs>
        <w:spacing w:line="235" w:lineRule="auto" w:before="0" w:after="0"/>
        <w:ind w:left="504" w:right="215" w:hanging="248"/>
        <w:jc w:val="both"/>
        <w:rPr>
          <w:sz w:val="16"/>
        </w:rPr>
      </w:pPr>
      <w:r>
        <w:rPr>
          <w:color w:val="231F20"/>
          <w:sz w:val="16"/>
        </w:rPr>
        <w:t>Hummel T, Jahnke U, Sommer U, Reichmann H, Mu¨ller A.</w:t>
      </w:r>
      <w:r>
        <w:rPr>
          <w:color w:val="231F20"/>
          <w:spacing w:val="40"/>
          <w:sz w:val="16"/>
        </w:rPr>
        <w:t> </w:t>
      </w:r>
      <w:r>
        <w:rPr>
          <w:color w:val="231F20"/>
          <w:sz w:val="16"/>
        </w:rPr>
        <w:t>Olfactory function in patients with idiopathic Parkinson’s </w:t>
      </w:r>
      <w:r>
        <w:rPr>
          <w:color w:val="231F20"/>
          <w:sz w:val="16"/>
        </w:rPr>
        <w:t>disease:</w:t>
      </w:r>
      <w:r>
        <w:rPr>
          <w:color w:val="231F20"/>
          <w:spacing w:val="40"/>
          <w:sz w:val="16"/>
        </w:rPr>
        <w:t> </w:t>
      </w:r>
      <w:r>
        <w:rPr>
          <w:color w:val="231F20"/>
          <w:sz w:val="16"/>
        </w:rPr>
        <w:t>effects</w:t>
      </w:r>
      <w:r>
        <w:rPr>
          <w:color w:val="231F20"/>
          <w:spacing w:val="52"/>
          <w:sz w:val="16"/>
        </w:rPr>
        <w:t> </w:t>
      </w:r>
      <w:r>
        <w:rPr>
          <w:color w:val="231F20"/>
          <w:sz w:val="16"/>
        </w:rPr>
        <w:t>of</w:t>
      </w:r>
      <w:r>
        <w:rPr>
          <w:color w:val="231F20"/>
          <w:spacing w:val="54"/>
          <w:sz w:val="16"/>
        </w:rPr>
        <w:t> </w:t>
      </w:r>
      <w:r>
        <w:rPr>
          <w:color w:val="231F20"/>
          <w:sz w:val="16"/>
        </w:rPr>
        <w:t>deep</w:t>
      </w:r>
      <w:r>
        <w:rPr>
          <w:color w:val="231F20"/>
          <w:spacing w:val="53"/>
          <w:sz w:val="16"/>
        </w:rPr>
        <w:t> </w:t>
      </w:r>
      <w:r>
        <w:rPr>
          <w:color w:val="231F20"/>
          <w:sz w:val="16"/>
        </w:rPr>
        <w:t>brain</w:t>
      </w:r>
      <w:r>
        <w:rPr>
          <w:color w:val="231F20"/>
          <w:spacing w:val="52"/>
          <w:sz w:val="16"/>
        </w:rPr>
        <w:t> </w:t>
      </w:r>
      <w:r>
        <w:rPr>
          <w:color w:val="231F20"/>
          <w:sz w:val="16"/>
        </w:rPr>
        <w:t>stimulation</w:t>
      </w:r>
      <w:r>
        <w:rPr>
          <w:color w:val="231F20"/>
          <w:spacing w:val="52"/>
          <w:sz w:val="16"/>
        </w:rPr>
        <w:t> </w:t>
      </w:r>
      <w:r>
        <w:rPr>
          <w:color w:val="231F20"/>
          <w:sz w:val="16"/>
        </w:rPr>
        <w:t>in</w:t>
      </w:r>
      <w:r>
        <w:rPr>
          <w:color w:val="231F20"/>
          <w:spacing w:val="53"/>
          <w:sz w:val="16"/>
        </w:rPr>
        <w:t> </w:t>
      </w:r>
      <w:r>
        <w:rPr>
          <w:color w:val="231F20"/>
          <w:sz w:val="16"/>
        </w:rPr>
        <w:t>the</w:t>
      </w:r>
      <w:r>
        <w:rPr>
          <w:color w:val="231F20"/>
          <w:spacing w:val="54"/>
          <w:sz w:val="16"/>
        </w:rPr>
        <w:t> </w:t>
      </w:r>
      <w:r>
        <w:rPr>
          <w:color w:val="231F20"/>
          <w:sz w:val="16"/>
        </w:rPr>
        <w:t>subthalamic</w:t>
      </w:r>
      <w:r>
        <w:rPr>
          <w:color w:val="231F20"/>
          <w:spacing w:val="52"/>
          <w:sz w:val="16"/>
        </w:rPr>
        <w:t> </w:t>
      </w:r>
      <w:r>
        <w:rPr>
          <w:color w:val="231F20"/>
          <w:sz w:val="16"/>
        </w:rPr>
        <w:t>nucleus.</w:t>
      </w:r>
      <w:r>
        <w:rPr>
          <w:color w:val="231F20"/>
          <w:spacing w:val="40"/>
          <w:sz w:val="16"/>
        </w:rPr>
        <w:t> </w:t>
      </w:r>
      <w:r>
        <w:rPr>
          <w:color w:val="231F20"/>
          <w:sz w:val="16"/>
        </w:rPr>
        <w:t>J Neural Transm 2005;112:669–676.</w:t>
      </w:r>
    </w:p>
    <w:p>
      <w:pPr>
        <w:pStyle w:val="ListParagraph"/>
        <w:numPr>
          <w:ilvl w:val="0"/>
          <w:numId w:val="7"/>
        </w:numPr>
        <w:tabs>
          <w:tab w:pos="502" w:val="left" w:leader="none"/>
          <w:tab w:pos="504" w:val="left" w:leader="none"/>
        </w:tabs>
        <w:spacing w:line="232" w:lineRule="auto" w:before="0" w:after="0"/>
        <w:ind w:left="504" w:right="217" w:hanging="248"/>
        <w:jc w:val="both"/>
        <w:rPr>
          <w:sz w:val="16"/>
        </w:rPr>
      </w:pPr>
      <w:r>
        <w:rPr>
          <w:color w:val="231F20"/>
          <w:sz w:val="16"/>
        </w:rPr>
        <w:t>Asanuma</w:t>
      </w:r>
      <w:r>
        <w:rPr>
          <w:color w:val="231F20"/>
          <w:spacing w:val="40"/>
          <w:sz w:val="16"/>
        </w:rPr>
        <w:t> </w:t>
      </w:r>
      <w:r>
        <w:rPr>
          <w:color w:val="231F20"/>
          <w:sz w:val="16"/>
        </w:rPr>
        <w:t>K,</w:t>
      </w:r>
      <w:r>
        <w:rPr>
          <w:color w:val="231F20"/>
          <w:spacing w:val="40"/>
          <w:sz w:val="16"/>
        </w:rPr>
        <w:t> </w:t>
      </w:r>
      <w:r>
        <w:rPr>
          <w:color w:val="231F20"/>
          <w:sz w:val="16"/>
        </w:rPr>
        <w:t>Tang</w:t>
      </w:r>
      <w:r>
        <w:rPr>
          <w:color w:val="231F20"/>
          <w:spacing w:val="40"/>
          <w:sz w:val="16"/>
        </w:rPr>
        <w:t> </w:t>
      </w:r>
      <w:r>
        <w:rPr>
          <w:color w:val="231F20"/>
          <w:sz w:val="16"/>
        </w:rPr>
        <w:t>C,</w:t>
      </w:r>
      <w:r>
        <w:rPr>
          <w:color w:val="231F20"/>
          <w:spacing w:val="40"/>
          <w:sz w:val="16"/>
        </w:rPr>
        <w:t> </w:t>
      </w:r>
      <w:r>
        <w:rPr>
          <w:color w:val="231F20"/>
          <w:sz w:val="16"/>
        </w:rPr>
        <w:t>Ma</w:t>
      </w:r>
      <w:r>
        <w:rPr>
          <w:color w:val="231F20"/>
          <w:spacing w:val="40"/>
          <w:sz w:val="16"/>
        </w:rPr>
        <w:t> </w:t>
      </w:r>
      <w:r>
        <w:rPr>
          <w:color w:val="231F20"/>
          <w:sz w:val="16"/>
        </w:rPr>
        <w:t>Y,</w:t>
      </w:r>
      <w:r>
        <w:rPr>
          <w:color w:val="231F20"/>
          <w:spacing w:val="40"/>
          <w:sz w:val="16"/>
        </w:rPr>
        <w:t> </w:t>
      </w:r>
      <w:r>
        <w:rPr>
          <w:color w:val="231F20"/>
          <w:sz w:val="16"/>
        </w:rPr>
        <w:t>Dhawan</w:t>
      </w:r>
      <w:r>
        <w:rPr>
          <w:color w:val="231F20"/>
          <w:spacing w:val="40"/>
          <w:sz w:val="16"/>
        </w:rPr>
        <w:t> </w:t>
      </w:r>
      <w:r>
        <w:rPr>
          <w:color w:val="231F20"/>
          <w:sz w:val="16"/>
        </w:rPr>
        <w:t>V,</w:t>
      </w:r>
      <w:r>
        <w:rPr>
          <w:color w:val="231F20"/>
          <w:spacing w:val="40"/>
          <w:sz w:val="16"/>
        </w:rPr>
        <w:t> </w:t>
      </w:r>
      <w:r>
        <w:rPr>
          <w:color w:val="231F20"/>
          <w:sz w:val="16"/>
        </w:rPr>
        <w:t>Mattis</w:t>
      </w:r>
      <w:r>
        <w:rPr>
          <w:color w:val="231F20"/>
          <w:spacing w:val="40"/>
          <w:sz w:val="16"/>
        </w:rPr>
        <w:t> </w:t>
      </w:r>
      <w:r>
        <w:rPr>
          <w:color w:val="231F20"/>
          <w:sz w:val="16"/>
        </w:rPr>
        <w:t>P,</w:t>
      </w:r>
      <w:r>
        <w:rPr>
          <w:color w:val="231F20"/>
          <w:spacing w:val="40"/>
          <w:sz w:val="16"/>
        </w:rPr>
        <w:t> </w:t>
      </w:r>
      <w:r>
        <w:rPr>
          <w:color w:val="231F20"/>
          <w:sz w:val="16"/>
        </w:rPr>
        <w:t>Edwards</w:t>
      </w:r>
      <w:r>
        <w:rPr>
          <w:color w:val="231F20"/>
          <w:spacing w:val="40"/>
          <w:sz w:val="16"/>
        </w:rPr>
        <w:t> </w:t>
      </w:r>
      <w:r>
        <w:rPr>
          <w:color w:val="231F20"/>
          <w:sz w:val="16"/>
        </w:rPr>
        <w:t>C,</w:t>
      </w:r>
      <w:r>
        <w:rPr>
          <w:color w:val="231F20"/>
          <w:spacing w:val="40"/>
          <w:sz w:val="16"/>
        </w:rPr>
        <w:t> </w:t>
      </w:r>
      <w:r>
        <w:rPr>
          <w:color w:val="231F20"/>
          <w:sz w:val="16"/>
        </w:rPr>
        <w:t>Kaplitt</w:t>
      </w:r>
      <w:r>
        <w:rPr>
          <w:color w:val="231F20"/>
          <w:spacing w:val="40"/>
          <w:sz w:val="16"/>
        </w:rPr>
        <w:t> </w:t>
      </w:r>
      <w:r>
        <w:rPr>
          <w:color w:val="231F20"/>
          <w:sz w:val="16"/>
        </w:rPr>
        <w:t>MG,</w:t>
      </w:r>
      <w:r>
        <w:rPr>
          <w:color w:val="231F20"/>
          <w:spacing w:val="40"/>
          <w:sz w:val="16"/>
        </w:rPr>
        <w:t> </w:t>
      </w:r>
      <w:r>
        <w:rPr>
          <w:color w:val="231F20"/>
          <w:sz w:val="16"/>
        </w:rPr>
        <w:t>Feigin</w:t>
      </w:r>
      <w:r>
        <w:rPr>
          <w:color w:val="231F20"/>
          <w:spacing w:val="40"/>
          <w:sz w:val="16"/>
        </w:rPr>
        <w:t> </w:t>
      </w:r>
      <w:r>
        <w:rPr>
          <w:color w:val="231F20"/>
          <w:sz w:val="16"/>
        </w:rPr>
        <w:t>A,</w:t>
      </w:r>
      <w:r>
        <w:rPr>
          <w:color w:val="231F20"/>
          <w:spacing w:val="40"/>
          <w:sz w:val="16"/>
        </w:rPr>
        <w:t> </w:t>
      </w:r>
      <w:r>
        <w:rPr>
          <w:color w:val="231F20"/>
          <w:sz w:val="16"/>
        </w:rPr>
        <w:t>Eidelberg</w:t>
      </w:r>
      <w:r>
        <w:rPr>
          <w:color w:val="231F20"/>
          <w:spacing w:val="40"/>
          <w:sz w:val="16"/>
        </w:rPr>
        <w:t> </w:t>
      </w:r>
      <w:r>
        <w:rPr>
          <w:color w:val="231F20"/>
          <w:sz w:val="16"/>
        </w:rPr>
        <w:t>D.</w:t>
      </w:r>
      <w:r>
        <w:rPr>
          <w:color w:val="231F20"/>
          <w:spacing w:val="40"/>
          <w:sz w:val="16"/>
        </w:rPr>
        <w:t> </w:t>
      </w:r>
      <w:r>
        <w:rPr>
          <w:color w:val="231F20"/>
          <w:sz w:val="16"/>
        </w:rPr>
        <w:t>Network</w:t>
      </w:r>
      <w:r>
        <w:rPr>
          <w:color w:val="231F20"/>
          <w:spacing w:val="40"/>
          <w:sz w:val="16"/>
        </w:rPr>
        <w:t> </w:t>
      </w:r>
      <w:r>
        <w:rPr>
          <w:color w:val="231F20"/>
          <w:sz w:val="16"/>
        </w:rPr>
        <w:t>modulation</w:t>
      </w:r>
      <w:r>
        <w:rPr>
          <w:color w:val="231F20"/>
          <w:spacing w:val="40"/>
          <w:sz w:val="16"/>
        </w:rPr>
        <w:t> </w:t>
      </w:r>
      <w:r>
        <w:rPr>
          <w:color w:val="231F20"/>
          <w:spacing w:val="-2"/>
          <w:sz w:val="16"/>
        </w:rPr>
        <w:t>in</w:t>
      </w:r>
      <w:r>
        <w:rPr>
          <w:color w:val="231F20"/>
          <w:spacing w:val="8"/>
          <w:sz w:val="16"/>
        </w:rPr>
        <w:t> </w:t>
      </w:r>
      <w:r>
        <w:rPr>
          <w:color w:val="231F20"/>
          <w:spacing w:val="-2"/>
          <w:sz w:val="16"/>
        </w:rPr>
        <w:t>the</w:t>
      </w:r>
      <w:r>
        <w:rPr>
          <w:color w:val="231F20"/>
          <w:spacing w:val="8"/>
          <w:sz w:val="16"/>
        </w:rPr>
        <w:t> </w:t>
      </w:r>
      <w:r>
        <w:rPr>
          <w:color w:val="231F20"/>
          <w:spacing w:val="-2"/>
          <w:sz w:val="16"/>
        </w:rPr>
        <w:t>treatment</w:t>
      </w:r>
      <w:r>
        <w:rPr>
          <w:color w:val="231F20"/>
          <w:spacing w:val="3"/>
          <w:sz w:val="16"/>
        </w:rPr>
        <w:t> </w:t>
      </w:r>
      <w:r>
        <w:rPr>
          <w:color w:val="231F20"/>
          <w:spacing w:val="-2"/>
          <w:sz w:val="16"/>
        </w:rPr>
        <w:t>of</w:t>
      </w:r>
      <w:r>
        <w:rPr>
          <w:color w:val="231F20"/>
          <w:spacing w:val="3"/>
          <w:sz w:val="16"/>
        </w:rPr>
        <w:t> </w:t>
      </w:r>
      <w:r>
        <w:rPr>
          <w:color w:val="231F20"/>
          <w:spacing w:val="-2"/>
          <w:sz w:val="16"/>
        </w:rPr>
        <w:t>Parkinson’s</w:t>
      </w:r>
      <w:r>
        <w:rPr>
          <w:color w:val="231F20"/>
          <w:spacing w:val="3"/>
          <w:sz w:val="16"/>
        </w:rPr>
        <w:t> </w:t>
      </w:r>
      <w:r>
        <w:rPr>
          <w:color w:val="231F20"/>
          <w:spacing w:val="-2"/>
          <w:sz w:val="16"/>
        </w:rPr>
        <w:t>disease.</w:t>
      </w:r>
      <w:r>
        <w:rPr>
          <w:color w:val="231F20"/>
          <w:spacing w:val="3"/>
          <w:sz w:val="16"/>
        </w:rPr>
        <w:t> </w:t>
      </w:r>
      <w:r>
        <w:rPr>
          <w:color w:val="231F20"/>
          <w:spacing w:val="-2"/>
          <w:sz w:val="16"/>
        </w:rPr>
        <w:t>Brain</w:t>
      </w:r>
      <w:r>
        <w:rPr>
          <w:color w:val="231F20"/>
          <w:spacing w:val="3"/>
          <w:sz w:val="16"/>
        </w:rPr>
        <w:t> </w:t>
      </w:r>
      <w:r>
        <w:rPr>
          <w:color w:val="231F20"/>
          <w:spacing w:val="-2"/>
          <w:sz w:val="16"/>
        </w:rPr>
        <w:t>2006;129:2667–2678.</w:t>
      </w:r>
    </w:p>
    <w:p>
      <w:pPr>
        <w:pStyle w:val="ListParagraph"/>
        <w:numPr>
          <w:ilvl w:val="0"/>
          <w:numId w:val="7"/>
        </w:numPr>
        <w:tabs>
          <w:tab w:pos="502" w:val="left" w:leader="none"/>
          <w:tab w:pos="504" w:val="left" w:leader="none"/>
        </w:tabs>
        <w:spacing w:line="235" w:lineRule="auto" w:before="0" w:after="0"/>
        <w:ind w:left="504" w:right="216" w:hanging="248"/>
        <w:jc w:val="both"/>
        <w:rPr>
          <w:sz w:val="16"/>
        </w:rPr>
      </w:pPr>
      <w:r>
        <w:rPr>
          <w:color w:val="231F20"/>
          <w:sz w:val="16"/>
        </w:rPr>
        <w:t>Westermann</w:t>
      </w:r>
      <w:r>
        <w:rPr>
          <w:color w:val="231F20"/>
          <w:spacing w:val="40"/>
          <w:sz w:val="16"/>
        </w:rPr>
        <w:t> </w:t>
      </w:r>
      <w:r>
        <w:rPr>
          <w:color w:val="231F20"/>
          <w:sz w:val="16"/>
        </w:rPr>
        <w:t>B,</w:t>
      </w:r>
      <w:r>
        <w:rPr>
          <w:color w:val="231F20"/>
          <w:spacing w:val="40"/>
          <w:sz w:val="16"/>
        </w:rPr>
        <w:t> </w:t>
      </w:r>
      <w:r>
        <w:rPr>
          <w:color w:val="231F20"/>
          <w:sz w:val="16"/>
        </w:rPr>
        <w:t>Wattendorf</w:t>
      </w:r>
      <w:r>
        <w:rPr>
          <w:color w:val="231F20"/>
          <w:spacing w:val="40"/>
          <w:sz w:val="16"/>
        </w:rPr>
        <w:t> </w:t>
      </w:r>
      <w:r>
        <w:rPr>
          <w:color w:val="231F20"/>
          <w:sz w:val="16"/>
        </w:rPr>
        <w:t>E,</w:t>
      </w:r>
      <w:r>
        <w:rPr>
          <w:color w:val="231F20"/>
          <w:spacing w:val="40"/>
          <w:sz w:val="16"/>
        </w:rPr>
        <w:t> </w:t>
      </w:r>
      <w:r>
        <w:rPr>
          <w:color w:val="231F20"/>
          <w:sz w:val="16"/>
        </w:rPr>
        <w:t>Schwerdtfeger</w:t>
      </w:r>
      <w:r>
        <w:rPr>
          <w:color w:val="231F20"/>
          <w:spacing w:val="40"/>
          <w:sz w:val="16"/>
        </w:rPr>
        <w:t> </w:t>
      </w:r>
      <w:r>
        <w:rPr>
          <w:color w:val="231F20"/>
          <w:sz w:val="16"/>
        </w:rPr>
        <w:t>U,</w:t>
      </w:r>
      <w:r>
        <w:rPr>
          <w:color w:val="231F20"/>
          <w:spacing w:val="40"/>
          <w:sz w:val="16"/>
        </w:rPr>
        <w:t> </w:t>
      </w:r>
      <w:r>
        <w:rPr>
          <w:color w:val="231F20"/>
          <w:sz w:val="16"/>
        </w:rPr>
        <w:t>Husner</w:t>
      </w:r>
      <w:r>
        <w:rPr>
          <w:color w:val="231F20"/>
          <w:spacing w:val="40"/>
          <w:sz w:val="16"/>
        </w:rPr>
        <w:t> </w:t>
      </w:r>
      <w:r>
        <w:rPr>
          <w:color w:val="231F20"/>
          <w:sz w:val="16"/>
        </w:rPr>
        <w:t>A,</w:t>
      </w:r>
      <w:r>
        <w:rPr>
          <w:color w:val="231F20"/>
          <w:spacing w:val="40"/>
          <w:sz w:val="16"/>
        </w:rPr>
        <w:t> </w:t>
      </w:r>
      <w:r>
        <w:rPr>
          <w:color w:val="231F20"/>
          <w:sz w:val="16"/>
        </w:rPr>
        <w:t>Fuhr P, Gratzl O, Hummel T, Bilecen D, Welge-Lu¨ssen A.</w:t>
      </w:r>
      <w:r>
        <w:rPr>
          <w:color w:val="231F20"/>
          <w:spacing w:val="40"/>
          <w:sz w:val="16"/>
        </w:rPr>
        <w:t> </w:t>
      </w:r>
      <w:r>
        <w:rPr>
          <w:color w:val="231F20"/>
          <w:sz w:val="16"/>
        </w:rPr>
        <w:t>Functional imaging of the cerebral olfactory system in patients</w:t>
      </w:r>
      <w:r>
        <w:rPr>
          <w:color w:val="231F20"/>
          <w:spacing w:val="40"/>
          <w:sz w:val="16"/>
        </w:rPr>
        <w:t> </w:t>
      </w:r>
      <w:r>
        <w:rPr>
          <w:color w:val="231F20"/>
          <w:sz w:val="16"/>
        </w:rPr>
        <w:t>with Parkinson’s disease. J Neurol Neurosurg Psychiatr</w:t>
      </w:r>
      <w:r>
        <w:rPr>
          <w:color w:val="231F20"/>
          <w:spacing w:val="40"/>
          <w:sz w:val="16"/>
        </w:rPr>
        <w:t> </w:t>
      </w:r>
      <w:r>
        <w:rPr>
          <w:color w:val="231F20"/>
          <w:spacing w:val="-2"/>
          <w:sz w:val="16"/>
        </w:rPr>
        <w:t>2008;79:19–24.</w:t>
      </w:r>
    </w:p>
    <w:p>
      <w:pPr>
        <w:pStyle w:val="ListParagraph"/>
        <w:numPr>
          <w:ilvl w:val="0"/>
          <w:numId w:val="7"/>
        </w:numPr>
        <w:tabs>
          <w:tab w:pos="502" w:val="left" w:leader="none"/>
          <w:tab w:pos="504" w:val="left" w:leader="none"/>
        </w:tabs>
        <w:spacing w:line="235" w:lineRule="auto" w:before="0" w:after="0"/>
        <w:ind w:left="504" w:right="215" w:hanging="248"/>
        <w:jc w:val="both"/>
        <w:rPr>
          <w:sz w:val="16"/>
        </w:rPr>
      </w:pPr>
      <w:r>
        <w:rPr>
          <w:color w:val="231F20"/>
          <w:sz w:val="16"/>
        </w:rPr>
        <w:t>Schaltenbrand G, Walker E, Hassler R, Narabayashi H, </w:t>
      </w:r>
      <w:r>
        <w:rPr>
          <w:color w:val="231F20"/>
          <w:sz w:val="16"/>
        </w:rPr>
        <w:t>Riechert</w:t>
      </w:r>
      <w:r>
        <w:rPr>
          <w:color w:val="231F20"/>
          <w:spacing w:val="80"/>
          <w:sz w:val="16"/>
        </w:rPr>
        <w:t> </w:t>
      </w:r>
      <w:r>
        <w:rPr>
          <w:color w:val="231F20"/>
          <w:sz w:val="16"/>
        </w:rPr>
        <w:t>T, editors. Stereotaxy of the human brain, Second ed. New York:</w:t>
      </w:r>
      <w:r>
        <w:rPr>
          <w:color w:val="231F20"/>
          <w:spacing w:val="40"/>
          <w:sz w:val="16"/>
        </w:rPr>
        <w:t> </w:t>
      </w:r>
      <w:r>
        <w:rPr>
          <w:color w:val="231F20"/>
          <w:sz w:val="16"/>
        </w:rPr>
        <w:t>Thieme-Stratton Inc.; 1982.153p.</w:t>
      </w:r>
    </w:p>
    <w:p>
      <w:pPr>
        <w:pStyle w:val="ListParagraph"/>
        <w:numPr>
          <w:ilvl w:val="0"/>
          <w:numId w:val="7"/>
        </w:numPr>
        <w:tabs>
          <w:tab w:pos="502" w:val="left" w:leader="none"/>
          <w:tab w:pos="504" w:val="left" w:leader="none"/>
        </w:tabs>
        <w:spacing w:line="232" w:lineRule="auto" w:before="0" w:after="0"/>
        <w:ind w:left="504" w:right="218" w:hanging="248"/>
        <w:jc w:val="both"/>
        <w:rPr>
          <w:sz w:val="16"/>
        </w:rPr>
      </w:pPr>
      <w:r>
        <w:rPr>
          <w:color w:val="231F20"/>
          <w:sz w:val="16"/>
        </w:rPr>
        <w:t>Nashold BS, Wilson WP. Olfactory hallucinations evoked </w:t>
      </w:r>
      <w:r>
        <w:rPr>
          <w:color w:val="231F20"/>
          <w:sz w:val="16"/>
        </w:rPr>
        <w:t>from</w:t>
      </w:r>
      <w:r>
        <w:rPr>
          <w:color w:val="231F20"/>
          <w:spacing w:val="40"/>
          <w:sz w:val="16"/>
        </w:rPr>
        <w:t> </w:t>
      </w:r>
      <w:r>
        <w:rPr>
          <w:color w:val="231F20"/>
          <w:sz w:val="16"/>
        </w:rPr>
        <w:t>stimulation of human thalamus. Conﬁn Neurol 1970;32:298–306.</w:t>
      </w:r>
    </w:p>
    <w:p>
      <w:pPr>
        <w:pStyle w:val="BodyText"/>
        <w:spacing w:before="148"/>
        <w:rPr>
          <w:sz w:val="16"/>
        </w:rPr>
      </w:pPr>
    </w:p>
    <w:p>
      <w:pPr>
        <w:pStyle w:val="Heading1"/>
        <w:spacing w:line="244" w:lineRule="auto" w:before="1"/>
        <w:ind w:right="219"/>
      </w:pPr>
      <w:r>
        <w:rPr>
          <w:color w:val="231F20"/>
          <w:w w:val="105"/>
        </w:rPr>
        <w:t>Familial</w:t>
      </w:r>
      <w:r>
        <w:rPr>
          <w:color w:val="231F20"/>
          <w:spacing w:val="-3"/>
          <w:w w:val="105"/>
        </w:rPr>
        <w:t> </w:t>
      </w:r>
      <w:r>
        <w:rPr>
          <w:color w:val="231F20"/>
          <w:w w:val="105"/>
        </w:rPr>
        <w:t>Nonkinesigenic</w:t>
      </w:r>
      <w:r>
        <w:rPr>
          <w:color w:val="231F20"/>
          <w:spacing w:val="-2"/>
          <w:w w:val="105"/>
        </w:rPr>
        <w:t> </w:t>
      </w:r>
      <w:r>
        <w:rPr>
          <w:color w:val="231F20"/>
          <w:w w:val="105"/>
        </w:rPr>
        <w:t>Paroxysmal</w:t>
      </w:r>
      <w:r>
        <w:rPr>
          <w:color w:val="231F20"/>
          <w:spacing w:val="-4"/>
          <w:w w:val="105"/>
        </w:rPr>
        <w:t> </w:t>
      </w:r>
      <w:r>
        <w:rPr>
          <w:color w:val="231F20"/>
          <w:w w:val="105"/>
        </w:rPr>
        <w:t>Dyskinesia and Intracranial Calciﬁcations: A New </w:t>
      </w:r>
      <w:r>
        <w:rPr>
          <w:color w:val="231F20"/>
          <w:spacing w:val="-2"/>
          <w:w w:val="105"/>
        </w:rPr>
        <w:t>Syndrome?</w:t>
      </w:r>
    </w:p>
    <w:p>
      <w:pPr>
        <w:pStyle w:val="BodyText"/>
        <w:spacing w:before="10"/>
        <w:rPr>
          <w:sz w:val="22"/>
        </w:rPr>
      </w:pPr>
    </w:p>
    <w:p>
      <w:pPr>
        <w:pStyle w:val="BodyText"/>
        <w:spacing w:line="230" w:lineRule="auto"/>
        <w:ind w:left="256" w:right="216" w:firstLine="199"/>
        <w:jc w:val="both"/>
      </w:pPr>
      <w:r>
        <w:rPr>
          <w:color w:val="231F20"/>
        </w:rPr>
        <w:t>Paroxysmal nonkinesigenic dyskinesia (PNKD) refers to </w:t>
      </w:r>
      <w:r>
        <w:rPr>
          <w:color w:val="231F20"/>
        </w:rPr>
        <w:t>a clinical syndrome characterized by attacks of involuntary movements, including dystonia, chorea, athetosis, or ballism, occurring at rest.</w:t>
      </w:r>
      <w:r>
        <w:rPr>
          <w:color w:val="231F20"/>
          <w:vertAlign w:val="superscript"/>
        </w:rPr>
        <w:t>1,2</w:t>
      </w:r>
      <w:r>
        <w:rPr>
          <w:color w:val="231F20"/>
          <w:vertAlign w:val="baseline"/>
        </w:rPr>
        <w:t> PNKD is associated to a wide range of aetiologies, for example, autoimmune, vascular, traumatic, in- fective, and endocrine disorders.</w:t>
      </w:r>
      <w:r>
        <w:rPr>
          <w:color w:val="231F20"/>
          <w:vertAlign w:val="superscript"/>
        </w:rPr>
        <w:t>1</w:t>
      </w:r>
      <w:r>
        <w:rPr>
          <w:color w:val="231F20"/>
          <w:vertAlign w:val="baseline"/>
        </w:rPr>
        <w:t> However, most cases of PNKD are idiopathic and neuroimaging is usually unremark- able.</w:t>
      </w:r>
      <w:r>
        <w:rPr>
          <w:color w:val="231F20"/>
          <w:vertAlign w:val="superscript"/>
        </w:rPr>
        <w:t>1,2</w:t>
      </w:r>
      <w:r>
        <w:rPr>
          <w:color w:val="231F20"/>
          <w:vertAlign w:val="baseline"/>
        </w:rPr>
        <w:t> We report a PNKD family whose computed tomogra- phy (CT) scan revealed intracranial calciﬁcations.</w:t>
      </w:r>
    </w:p>
    <w:p>
      <w:pPr>
        <w:pStyle w:val="BodyText"/>
        <w:spacing w:line="228" w:lineRule="auto" w:before="6"/>
        <w:ind w:left="256" w:right="216" w:firstLine="199"/>
        <w:jc w:val="both"/>
      </w:pPr>
      <w:r>
        <w:rPr>
          <w:color w:val="231F20"/>
          <w:w w:val="110"/>
        </w:rPr>
        <w:t>This</w:t>
      </w:r>
      <w:r>
        <w:rPr>
          <w:color w:val="231F20"/>
          <w:w w:val="110"/>
        </w:rPr>
        <w:t> four-generation</w:t>
      </w:r>
      <w:r>
        <w:rPr>
          <w:color w:val="231F20"/>
          <w:w w:val="110"/>
        </w:rPr>
        <w:t> family</w:t>
      </w:r>
      <w:r>
        <w:rPr>
          <w:color w:val="231F20"/>
          <w:w w:val="110"/>
        </w:rPr>
        <w:t> includes</w:t>
      </w:r>
      <w:r>
        <w:rPr>
          <w:color w:val="231F20"/>
          <w:w w:val="110"/>
        </w:rPr>
        <w:t> 5</w:t>
      </w:r>
      <w:r>
        <w:rPr>
          <w:color w:val="231F20"/>
          <w:w w:val="110"/>
        </w:rPr>
        <w:t> (one</w:t>
      </w:r>
      <w:r>
        <w:rPr>
          <w:color w:val="231F20"/>
          <w:w w:val="110"/>
        </w:rPr>
        <w:t> </w:t>
      </w:r>
      <w:r>
        <w:rPr>
          <w:color w:val="231F20"/>
          <w:w w:val="110"/>
        </w:rPr>
        <w:t>deceased) </w:t>
      </w:r>
      <w:r>
        <w:rPr>
          <w:color w:val="231F20"/>
        </w:rPr>
        <w:t>patients (Table 1; Fig. 1). The proband (</w:t>
      </w:r>
      <w:r>
        <w:rPr>
          <w:i/>
          <w:color w:val="231F20"/>
        </w:rPr>
        <w:t>individual IV:2</w:t>
      </w:r>
      <w:r>
        <w:rPr>
          <w:color w:val="231F20"/>
        </w:rPr>
        <w:t>) is 7- </w:t>
      </w:r>
      <w:r>
        <w:rPr>
          <w:color w:val="231F20"/>
          <w:w w:val="110"/>
        </w:rPr>
        <w:t>year-old</w:t>
      </w:r>
      <w:r>
        <w:rPr>
          <w:color w:val="231F20"/>
          <w:w w:val="110"/>
        </w:rPr>
        <w:t> girl</w:t>
      </w:r>
      <w:r>
        <w:rPr>
          <w:color w:val="231F20"/>
          <w:w w:val="110"/>
        </w:rPr>
        <w:t> who</w:t>
      </w:r>
      <w:r>
        <w:rPr>
          <w:color w:val="231F20"/>
          <w:w w:val="110"/>
        </w:rPr>
        <w:t> experienced</w:t>
      </w:r>
      <w:r>
        <w:rPr>
          <w:color w:val="231F20"/>
          <w:w w:val="110"/>
        </w:rPr>
        <w:t> at</w:t>
      </w:r>
      <w:r>
        <w:rPr>
          <w:color w:val="231F20"/>
          <w:w w:val="110"/>
        </w:rPr>
        <w:t> age</w:t>
      </w:r>
      <w:r>
        <w:rPr>
          <w:color w:val="231F20"/>
          <w:w w:val="110"/>
        </w:rPr>
        <w:t> of</w:t>
      </w:r>
      <w:r>
        <w:rPr>
          <w:color w:val="231F20"/>
          <w:w w:val="110"/>
        </w:rPr>
        <w:t> 9</w:t>
      </w:r>
      <w:r>
        <w:rPr>
          <w:color w:val="231F20"/>
          <w:w w:val="110"/>
        </w:rPr>
        <w:t> months</w:t>
      </w:r>
      <w:r>
        <w:rPr>
          <w:color w:val="231F20"/>
          <w:w w:val="110"/>
        </w:rPr>
        <w:t> a</w:t>
      </w:r>
      <w:r>
        <w:rPr>
          <w:color w:val="231F20"/>
          <w:w w:val="110"/>
        </w:rPr>
        <w:t> ﬁrst </w:t>
      </w:r>
      <w:r>
        <w:rPr>
          <w:color w:val="231F20"/>
        </w:rPr>
        <w:t>attack of dystonic posture of the head with concomitant bal- listic and choreic movements of upper and lower extremities. This event lasted 30 minutes, without alteration of conscious- ness, and was followed by prompt recovery. One month later, </w:t>
      </w:r>
      <w:r>
        <w:rPr>
          <w:color w:val="231F20"/>
          <w:w w:val="110"/>
        </w:rPr>
        <w:t>the</w:t>
      </w:r>
      <w:r>
        <w:rPr>
          <w:color w:val="231F20"/>
          <w:spacing w:val="-15"/>
          <w:w w:val="110"/>
        </w:rPr>
        <w:t> </w:t>
      </w:r>
      <w:r>
        <w:rPr>
          <w:color w:val="231F20"/>
          <w:w w:val="110"/>
        </w:rPr>
        <w:t>girl</w:t>
      </w:r>
      <w:r>
        <w:rPr>
          <w:color w:val="231F20"/>
          <w:spacing w:val="-12"/>
          <w:w w:val="110"/>
        </w:rPr>
        <w:t> </w:t>
      </w:r>
      <w:r>
        <w:rPr>
          <w:color w:val="231F20"/>
          <w:w w:val="110"/>
        </w:rPr>
        <w:t>experienced</w:t>
      </w:r>
      <w:r>
        <w:rPr>
          <w:color w:val="231F20"/>
          <w:spacing w:val="-13"/>
          <w:w w:val="110"/>
        </w:rPr>
        <w:t> </w:t>
      </w:r>
      <w:r>
        <w:rPr>
          <w:color w:val="231F20"/>
          <w:w w:val="110"/>
        </w:rPr>
        <w:t>a</w:t>
      </w:r>
      <w:r>
        <w:rPr>
          <w:color w:val="231F20"/>
          <w:spacing w:val="-12"/>
          <w:w w:val="110"/>
        </w:rPr>
        <w:t> </w:t>
      </w:r>
      <w:r>
        <w:rPr>
          <w:color w:val="231F20"/>
          <w:w w:val="110"/>
        </w:rPr>
        <w:t>similar</w:t>
      </w:r>
      <w:r>
        <w:rPr>
          <w:color w:val="231F20"/>
          <w:spacing w:val="-12"/>
          <w:w w:val="110"/>
        </w:rPr>
        <w:t> </w:t>
      </w:r>
      <w:r>
        <w:rPr>
          <w:color w:val="231F20"/>
          <w:w w:val="110"/>
        </w:rPr>
        <w:t>episode</w:t>
      </w:r>
      <w:r>
        <w:rPr>
          <w:color w:val="231F20"/>
          <w:spacing w:val="-13"/>
          <w:w w:val="110"/>
        </w:rPr>
        <w:t> </w:t>
      </w:r>
      <w:r>
        <w:rPr>
          <w:color w:val="231F20"/>
          <w:w w:val="110"/>
        </w:rPr>
        <w:t>precipitated</w:t>
      </w:r>
      <w:r>
        <w:rPr>
          <w:color w:val="231F20"/>
          <w:spacing w:val="-12"/>
          <w:w w:val="110"/>
        </w:rPr>
        <w:t> </w:t>
      </w:r>
      <w:r>
        <w:rPr>
          <w:color w:val="231F20"/>
          <w:w w:val="110"/>
        </w:rPr>
        <w:t>by</w:t>
      </w:r>
      <w:r>
        <w:rPr>
          <w:color w:val="231F20"/>
          <w:spacing w:val="-12"/>
          <w:w w:val="110"/>
        </w:rPr>
        <w:t> </w:t>
      </w:r>
      <w:r>
        <w:rPr>
          <w:color w:val="231F20"/>
          <w:w w:val="110"/>
        </w:rPr>
        <w:t>fever and</w:t>
      </w:r>
      <w:r>
        <w:rPr>
          <w:color w:val="231F20"/>
          <w:w w:val="110"/>
        </w:rPr>
        <w:t> resolving</w:t>
      </w:r>
      <w:r>
        <w:rPr>
          <w:color w:val="231F20"/>
          <w:w w:val="110"/>
        </w:rPr>
        <w:t> spontaneously.</w:t>
      </w:r>
      <w:r>
        <w:rPr>
          <w:color w:val="231F20"/>
          <w:w w:val="110"/>
        </w:rPr>
        <w:t> Neurological</w:t>
      </w:r>
      <w:r>
        <w:rPr>
          <w:color w:val="231F20"/>
          <w:w w:val="110"/>
        </w:rPr>
        <w:t> examination between</w:t>
      </w:r>
      <w:r>
        <w:rPr>
          <w:color w:val="231F20"/>
          <w:w w:val="110"/>
        </w:rPr>
        <w:t> attacks</w:t>
      </w:r>
      <w:r>
        <w:rPr>
          <w:color w:val="231F20"/>
          <w:w w:val="110"/>
        </w:rPr>
        <w:t> was</w:t>
      </w:r>
      <w:r>
        <w:rPr>
          <w:color w:val="231F20"/>
          <w:w w:val="110"/>
        </w:rPr>
        <w:t> normal.</w:t>
      </w:r>
      <w:r>
        <w:rPr>
          <w:color w:val="231F20"/>
          <w:w w:val="110"/>
        </w:rPr>
        <w:t> Laboratory</w:t>
      </w:r>
      <w:r>
        <w:rPr>
          <w:color w:val="231F20"/>
          <w:w w:val="110"/>
        </w:rPr>
        <w:t> investigations (serum</w:t>
      </w:r>
      <w:r>
        <w:rPr>
          <w:color w:val="231F20"/>
          <w:spacing w:val="-13"/>
          <w:w w:val="110"/>
        </w:rPr>
        <w:t> </w:t>
      </w:r>
      <w:r>
        <w:rPr>
          <w:color w:val="231F20"/>
          <w:w w:val="110"/>
        </w:rPr>
        <w:t>and</w:t>
      </w:r>
      <w:r>
        <w:rPr>
          <w:color w:val="231F20"/>
          <w:spacing w:val="-12"/>
          <w:w w:val="110"/>
        </w:rPr>
        <w:t> </w:t>
      </w:r>
      <w:r>
        <w:rPr>
          <w:color w:val="231F20"/>
          <w:w w:val="110"/>
        </w:rPr>
        <w:t>urine</w:t>
      </w:r>
      <w:r>
        <w:rPr>
          <w:color w:val="231F20"/>
          <w:spacing w:val="-13"/>
          <w:w w:val="110"/>
        </w:rPr>
        <w:t> </w:t>
      </w:r>
      <w:r>
        <w:rPr>
          <w:color w:val="231F20"/>
          <w:w w:val="110"/>
        </w:rPr>
        <w:t>copper,</w:t>
      </w:r>
      <w:r>
        <w:rPr>
          <w:color w:val="231F20"/>
          <w:spacing w:val="-12"/>
          <w:w w:val="110"/>
        </w:rPr>
        <w:t> </w:t>
      </w:r>
      <w:r>
        <w:rPr>
          <w:color w:val="231F20"/>
          <w:w w:val="110"/>
        </w:rPr>
        <w:t>calcium,</w:t>
      </w:r>
      <w:r>
        <w:rPr>
          <w:color w:val="231F20"/>
          <w:spacing w:val="-12"/>
          <w:w w:val="110"/>
        </w:rPr>
        <w:t> </w:t>
      </w:r>
      <w:r>
        <w:rPr>
          <w:color w:val="231F20"/>
          <w:w w:val="110"/>
        </w:rPr>
        <w:t>phosphorus,</w:t>
      </w:r>
      <w:r>
        <w:rPr>
          <w:color w:val="231F20"/>
          <w:spacing w:val="-13"/>
          <w:w w:val="110"/>
        </w:rPr>
        <w:t> </w:t>
      </w:r>
      <w:r>
        <w:rPr>
          <w:color w:val="231F20"/>
          <w:w w:val="110"/>
        </w:rPr>
        <w:t>vitamin</w:t>
      </w:r>
      <w:r>
        <w:rPr>
          <w:color w:val="231F20"/>
          <w:spacing w:val="-12"/>
          <w:w w:val="110"/>
        </w:rPr>
        <w:t> </w:t>
      </w:r>
      <w:r>
        <w:rPr>
          <w:color w:val="231F20"/>
          <w:w w:val="110"/>
        </w:rPr>
        <w:t>D, </w:t>
      </w:r>
      <w:r>
        <w:rPr>
          <w:color w:val="231F20"/>
        </w:rPr>
        <w:t>ceruloplasmin, ferritin, transferrin, serum iron, thyroid, para- thyroid, and adrenocorticotropic hormones, anti-transglutami- nase antibodies, serum lipoproteins and lipid proﬁle, lactate, pyruvate, amino acids, and urine organic acids) were normal. Brain magnetic resonance imaging (MRI) was unremarkable. </w:t>
      </w:r>
      <w:r>
        <w:rPr>
          <w:color w:val="231F20"/>
          <w:w w:val="110"/>
        </w:rPr>
        <w:t>Mutations</w:t>
      </w:r>
      <w:r>
        <w:rPr>
          <w:color w:val="231F20"/>
          <w:w w:val="110"/>
        </w:rPr>
        <w:t> in</w:t>
      </w:r>
      <w:r>
        <w:rPr>
          <w:color w:val="231F20"/>
          <w:w w:val="110"/>
        </w:rPr>
        <w:t> </w:t>
      </w:r>
      <w:r>
        <w:rPr>
          <w:i/>
          <w:color w:val="231F20"/>
          <w:w w:val="110"/>
        </w:rPr>
        <w:t>MR-1</w:t>
      </w:r>
      <w:r>
        <w:rPr>
          <w:i/>
          <w:color w:val="231F20"/>
          <w:w w:val="110"/>
        </w:rPr>
        <w:t> </w:t>
      </w:r>
      <w:r>
        <w:rPr>
          <w:color w:val="231F20"/>
          <w:w w:val="110"/>
        </w:rPr>
        <w:t>(myoﬁbrillogenesis</w:t>
      </w:r>
      <w:r>
        <w:rPr>
          <w:color w:val="231F20"/>
          <w:w w:val="110"/>
        </w:rPr>
        <w:t> regulator</w:t>
      </w:r>
      <w:r>
        <w:rPr>
          <w:color w:val="231F20"/>
          <w:w w:val="110"/>
        </w:rPr>
        <w:t> 1)</w:t>
      </w:r>
      <w:r>
        <w:rPr>
          <w:color w:val="231F20"/>
          <w:w w:val="110"/>
          <w:vertAlign w:val="superscript"/>
        </w:rPr>
        <w:t>3</w:t>
      </w:r>
      <w:r>
        <w:rPr>
          <w:color w:val="231F20"/>
          <w:w w:val="110"/>
          <w:vertAlign w:val="baseline"/>
        </w:rPr>
        <w:t> and </w:t>
      </w:r>
      <w:r>
        <w:rPr>
          <w:i/>
          <w:color w:val="231F20"/>
          <w:vertAlign w:val="baseline"/>
        </w:rPr>
        <w:t>SLC2A1 </w:t>
      </w:r>
      <w:r>
        <w:rPr>
          <w:color w:val="231F20"/>
          <w:vertAlign w:val="baseline"/>
        </w:rPr>
        <w:t>(Glut-1)</w:t>
      </w:r>
      <w:r>
        <w:rPr>
          <w:color w:val="231F20"/>
          <w:vertAlign w:val="superscript"/>
        </w:rPr>
        <w:t>4</w:t>
      </w:r>
      <w:r>
        <w:rPr>
          <w:color w:val="231F20"/>
          <w:vertAlign w:val="baseline"/>
        </w:rPr>
        <w:t> genes were excluded, as well as and fam-</w:t>
      </w:r>
      <w:r>
        <w:rPr>
          <w:color w:val="231F20"/>
          <w:spacing w:val="40"/>
          <w:w w:val="110"/>
          <w:vertAlign w:val="baseline"/>
        </w:rPr>
        <w:t> </w:t>
      </w:r>
      <w:r>
        <w:rPr>
          <w:color w:val="231F20"/>
          <w:w w:val="110"/>
          <w:vertAlign w:val="baseline"/>
        </w:rPr>
        <w:t>ily</w:t>
      </w:r>
      <w:r>
        <w:rPr>
          <w:color w:val="231F20"/>
          <w:spacing w:val="-13"/>
          <w:w w:val="110"/>
          <w:vertAlign w:val="baseline"/>
        </w:rPr>
        <w:t> </w:t>
      </w:r>
      <w:r>
        <w:rPr>
          <w:color w:val="231F20"/>
          <w:w w:val="110"/>
          <w:vertAlign w:val="baseline"/>
        </w:rPr>
        <w:t>linkage</w:t>
      </w:r>
      <w:r>
        <w:rPr>
          <w:color w:val="231F20"/>
          <w:spacing w:val="-11"/>
          <w:w w:val="110"/>
          <w:vertAlign w:val="baseline"/>
        </w:rPr>
        <w:t> </w:t>
      </w:r>
      <w:r>
        <w:rPr>
          <w:color w:val="231F20"/>
          <w:w w:val="110"/>
          <w:vertAlign w:val="baseline"/>
        </w:rPr>
        <w:t>to</w:t>
      </w:r>
      <w:r>
        <w:rPr>
          <w:color w:val="231F20"/>
          <w:spacing w:val="-9"/>
          <w:w w:val="110"/>
          <w:vertAlign w:val="baseline"/>
        </w:rPr>
        <w:t> </w:t>
      </w:r>
      <w:r>
        <w:rPr>
          <w:color w:val="231F20"/>
          <w:w w:val="110"/>
          <w:vertAlign w:val="baseline"/>
        </w:rPr>
        <w:t>chromosome</w:t>
      </w:r>
      <w:r>
        <w:rPr>
          <w:color w:val="231F20"/>
          <w:spacing w:val="-9"/>
          <w:w w:val="110"/>
          <w:vertAlign w:val="baseline"/>
        </w:rPr>
        <w:t> </w:t>
      </w:r>
      <w:r>
        <w:rPr>
          <w:color w:val="231F20"/>
          <w:w w:val="110"/>
          <w:vertAlign w:val="baseline"/>
        </w:rPr>
        <w:t>14q</w:t>
      </w:r>
      <w:r>
        <w:rPr>
          <w:color w:val="231F20"/>
          <w:w w:val="110"/>
          <w:vertAlign w:val="superscript"/>
        </w:rPr>
        <w:t>5</w:t>
      </w:r>
      <w:r>
        <w:rPr>
          <w:color w:val="231F20"/>
          <w:spacing w:val="-10"/>
          <w:w w:val="110"/>
          <w:vertAlign w:val="baseline"/>
        </w:rPr>
        <w:t> </w:t>
      </w:r>
      <w:r>
        <w:rPr>
          <w:color w:val="231F20"/>
          <w:w w:val="110"/>
          <w:vertAlign w:val="baseline"/>
        </w:rPr>
        <w:t>(lod</w:t>
      </w:r>
      <w:r>
        <w:rPr>
          <w:color w:val="231F20"/>
          <w:spacing w:val="-9"/>
          <w:w w:val="110"/>
          <w:vertAlign w:val="baseline"/>
        </w:rPr>
        <w:t> </w:t>
      </w:r>
      <w:r>
        <w:rPr>
          <w:color w:val="231F20"/>
          <w:w w:val="110"/>
          <w:vertAlign w:val="baseline"/>
        </w:rPr>
        <w:t>score</w:t>
      </w:r>
      <w:r>
        <w:rPr>
          <w:color w:val="231F20"/>
          <w:spacing w:val="-10"/>
          <w:w w:val="110"/>
          <w:vertAlign w:val="baseline"/>
        </w:rPr>
        <w:t> </w:t>
      </w:r>
      <w:r>
        <w:rPr>
          <w:rFonts w:ascii="Arial" w:hAnsi="Arial"/>
          <w:color w:val="231F20"/>
          <w:w w:val="110"/>
          <w:vertAlign w:val="baseline"/>
        </w:rPr>
        <w:t>&lt;</w:t>
      </w:r>
      <w:r>
        <w:rPr>
          <w:rFonts w:ascii="Arial" w:hAnsi="Arial"/>
          <w:color w:val="231F20"/>
          <w:spacing w:val="-14"/>
          <w:w w:val="110"/>
          <w:vertAlign w:val="baseline"/>
        </w:rPr>
        <w:t> </w:t>
      </w:r>
      <w:r>
        <w:rPr>
          <w:rFonts w:ascii="Arial" w:hAnsi="Arial"/>
          <w:color w:val="231F20"/>
          <w:w w:val="110"/>
          <w:vertAlign w:val="baseline"/>
        </w:rPr>
        <w:t>2</w:t>
      </w:r>
      <w:r>
        <w:rPr>
          <w:color w:val="231F20"/>
          <w:w w:val="110"/>
          <w:vertAlign w:val="baseline"/>
        </w:rPr>
        <w:t>2;</w:t>
      </w:r>
      <w:r>
        <w:rPr>
          <w:rFonts w:ascii="Arial" w:hAnsi="Arial"/>
          <w:color w:val="231F20"/>
          <w:w w:val="110"/>
          <w:vertAlign w:val="baseline"/>
        </w:rPr>
        <w:t>Y</w:t>
      </w:r>
      <w:r>
        <w:rPr>
          <w:rFonts w:ascii="Arial" w:hAnsi="Arial"/>
          <w:color w:val="231F20"/>
          <w:spacing w:val="-14"/>
          <w:w w:val="110"/>
          <w:vertAlign w:val="baseline"/>
        </w:rPr>
        <w:t> </w:t>
      </w:r>
      <w:r>
        <w:rPr>
          <w:rFonts w:ascii="Arial" w:hAnsi="Arial"/>
          <w:color w:val="231F20"/>
          <w:w w:val="120"/>
          <w:vertAlign w:val="baseline"/>
        </w:rPr>
        <w:t>5</w:t>
      </w:r>
      <w:r>
        <w:rPr>
          <w:rFonts w:ascii="Arial" w:hAnsi="Arial"/>
          <w:color w:val="231F20"/>
          <w:spacing w:val="-15"/>
          <w:w w:val="120"/>
          <w:vertAlign w:val="baseline"/>
        </w:rPr>
        <w:t> </w:t>
      </w:r>
      <w:r>
        <w:rPr>
          <w:color w:val="231F20"/>
          <w:w w:val="110"/>
          <w:vertAlign w:val="baseline"/>
        </w:rPr>
        <w:t>0).</w:t>
      </w:r>
      <w:r>
        <w:rPr>
          <w:color w:val="231F20"/>
          <w:spacing w:val="-9"/>
          <w:w w:val="110"/>
          <w:vertAlign w:val="baseline"/>
        </w:rPr>
        <w:t> </w:t>
      </w:r>
      <w:r>
        <w:rPr>
          <w:color w:val="231F20"/>
          <w:w w:val="110"/>
          <w:vertAlign w:val="baseline"/>
        </w:rPr>
        <w:t>In </w:t>
      </w:r>
      <w:r>
        <w:rPr>
          <w:color w:val="231F20"/>
          <w:vertAlign w:val="baseline"/>
        </w:rPr>
        <w:t>the following years, the girl continued to experience similar episodes</w:t>
      </w:r>
      <w:r>
        <w:rPr>
          <w:color w:val="231F20"/>
          <w:spacing w:val="14"/>
          <w:vertAlign w:val="baseline"/>
        </w:rPr>
        <w:t> </w:t>
      </w:r>
      <w:r>
        <w:rPr>
          <w:color w:val="231F20"/>
          <w:vertAlign w:val="baseline"/>
        </w:rPr>
        <w:t>at</w:t>
      </w:r>
      <w:r>
        <w:rPr>
          <w:color w:val="231F20"/>
          <w:spacing w:val="14"/>
          <w:vertAlign w:val="baseline"/>
        </w:rPr>
        <w:t> </w:t>
      </w:r>
      <w:r>
        <w:rPr>
          <w:color w:val="231F20"/>
          <w:vertAlign w:val="baseline"/>
        </w:rPr>
        <w:t>the</w:t>
      </w:r>
      <w:r>
        <w:rPr>
          <w:color w:val="231F20"/>
          <w:spacing w:val="14"/>
          <w:vertAlign w:val="baseline"/>
        </w:rPr>
        <w:t> </w:t>
      </w:r>
      <w:r>
        <w:rPr>
          <w:color w:val="231F20"/>
          <w:vertAlign w:val="baseline"/>
        </w:rPr>
        <w:t>frequency</w:t>
      </w:r>
      <w:r>
        <w:rPr>
          <w:color w:val="231F20"/>
          <w:spacing w:val="14"/>
          <w:vertAlign w:val="baseline"/>
        </w:rPr>
        <w:t> </w:t>
      </w:r>
      <w:r>
        <w:rPr>
          <w:color w:val="231F20"/>
          <w:vertAlign w:val="baseline"/>
        </w:rPr>
        <w:t>of</w:t>
      </w:r>
      <w:r>
        <w:rPr>
          <w:color w:val="231F20"/>
          <w:spacing w:val="13"/>
          <w:vertAlign w:val="baseline"/>
        </w:rPr>
        <w:t> </w:t>
      </w:r>
      <w:r>
        <w:rPr>
          <w:color w:val="231F20"/>
          <w:vertAlign w:val="baseline"/>
        </w:rPr>
        <w:t>about</w:t>
      </w:r>
      <w:r>
        <w:rPr>
          <w:color w:val="231F20"/>
          <w:spacing w:val="13"/>
          <w:vertAlign w:val="baseline"/>
        </w:rPr>
        <w:t> </w:t>
      </w:r>
      <w:r>
        <w:rPr>
          <w:color w:val="231F20"/>
          <w:vertAlign w:val="baseline"/>
        </w:rPr>
        <w:t>one</w:t>
      </w:r>
      <w:r>
        <w:rPr>
          <w:color w:val="231F20"/>
          <w:spacing w:val="14"/>
          <w:vertAlign w:val="baseline"/>
        </w:rPr>
        <w:t> </w:t>
      </w:r>
      <w:r>
        <w:rPr>
          <w:color w:val="231F20"/>
          <w:vertAlign w:val="baseline"/>
        </w:rPr>
        <w:t>per</w:t>
      </w:r>
      <w:r>
        <w:rPr>
          <w:color w:val="231F20"/>
          <w:spacing w:val="14"/>
          <w:vertAlign w:val="baseline"/>
        </w:rPr>
        <w:t> </w:t>
      </w:r>
      <w:r>
        <w:rPr>
          <w:color w:val="231F20"/>
          <w:vertAlign w:val="baseline"/>
        </w:rPr>
        <w:t>year.</w:t>
      </w:r>
      <w:r>
        <w:rPr>
          <w:color w:val="231F20"/>
          <w:spacing w:val="14"/>
          <w:vertAlign w:val="baseline"/>
        </w:rPr>
        <w:t> </w:t>
      </w:r>
      <w:r>
        <w:rPr>
          <w:color w:val="231F20"/>
          <w:vertAlign w:val="baseline"/>
        </w:rPr>
        <w:t>In</w:t>
      </w:r>
      <w:r>
        <w:rPr>
          <w:color w:val="231F20"/>
          <w:spacing w:val="13"/>
          <w:vertAlign w:val="baseline"/>
        </w:rPr>
        <w:t> </w:t>
      </w:r>
      <w:r>
        <w:rPr>
          <w:color w:val="231F20"/>
          <w:vertAlign w:val="baseline"/>
        </w:rPr>
        <w:t>one</w:t>
      </w:r>
      <w:r>
        <w:rPr>
          <w:color w:val="231F20"/>
          <w:spacing w:val="14"/>
          <w:vertAlign w:val="baseline"/>
        </w:rPr>
        <w:t> </w:t>
      </w:r>
      <w:r>
        <w:rPr>
          <w:color w:val="231F20"/>
          <w:spacing w:val="-2"/>
          <w:vertAlign w:val="baseline"/>
        </w:rPr>
        <w:t>occa-</w:t>
      </w:r>
    </w:p>
    <w:p>
      <w:pPr>
        <w:pStyle w:val="BodyText"/>
        <w:spacing w:after="0" w:line="228" w:lineRule="auto"/>
        <w:jc w:val="both"/>
        <w:sectPr>
          <w:type w:val="continuous"/>
          <w:pgSz w:w="12240" w:h="16200"/>
          <w:pgMar w:top="1060" w:bottom="280" w:left="1080" w:right="1080"/>
          <w:cols w:num="2" w:equalWidth="0">
            <w:col w:w="4862" w:space="179"/>
            <w:col w:w="5039"/>
          </w:cols>
        </w:sectPr>
      </w:pPr>
    </w:p>
    <w:p>
      <w:pPr>
        <w:tabs>
          <w:tab w:pos="5297" w:val="left" w:leader="none"/>
          <w:tab w:pos="9918" w:val="left" w:leader="none"/>
        </w:tabs>
        <w:spacing w:before="0"/>
        <w:ind w:left="504" w:right="0" w:firstLine="0"/>
        <w:jc w:val="left"/>
        <w:rPr>
          <w:sz w:val="16"/>
        </w:rPr>
      </w:pPr>
      <w:r>
        <w:rPr>
          <w:color w:val="231F20"/>
          <w:sz w:val="16"/>
        </w:rPr>
        <w:t>ease</w:t>
      </w:r>
      <w:r>
        <w:rPr>
          <w:color w:val="231F20"/>
          <w:spacing w:val="7"/>
          <w:sz w:val="16"/>
        </w:rPr>
        <w:t> </w:t>
      </w:r>
      <w:r>
        <w:rPr>
          <w:color w:val="231F20"/>
          <w:sz w:val="16"/>
        </w:rPr>
        <w:t>stage,</w:t>
      </w:r>
      <w:r>
        <w:rPr>
          <w:color w:val="231F20"/>
          <w:spacing w:val="7"/>
          <w:sz w:val="16"/>
        </w:rPr>
        <w:t> </w:t>
      </w:r>
      <w:r>
        <w:rPr>
          <w:color w:val="231F20"/>
          <w:sz w:val="16"/>
        </w:rPr>
        <w:t>or</w:t>
      </w:r>
      <w:r>
        <w:rPr>
          <w:color w:val="231F20"/>
          <w:spacing w:val="8"/>
          <w:sz w:val="16"/>
        </w:rPr>
        <w:t> </w:t>
      </w:r>
      <w:r>
        <w:rPr>
          <w:color w:val="231F20"/>
          <w:sz w:val="16"/>
        </w:rPr>
        <w:t>disease</w:t>
      </w:r>
      <w:r>
        <w:rPr>
          <w:color w:val="231F20"/>
          <w:spacing w:val="8"/>
          <w:sz w:val="16"/>
        </w:rPr>
        <w:t> </w:t>
      </w:r>
      <w:r>
        <w:rPr>
          <w:color w:val="231F20"/>
          <w:sz w:val="16"/>
        </w:rPr>
        <w:t>duration.</w:t>
      </w:r>
      <w:r>
        <w:rPr>
          <w:color w:val="231F20"/>
          <w:spacing w:val="8"/>
          <w:sz w:val="16"/>
        </w:rPr>
        <w:t> </w:t>
      </w:r>
      <w:r>
        <w:rPr>
          <w:color w:val="231F20"/>
          <w:sz w:val="16"/>
        </w:rPr>
        <w:t>Neurology</w:t>
      </w:r>
      <w:r>
        <w:rPr>
          <w:color w:val="231F20"/>
          <w:spacing w:val="7"/>
          <w:sz w:val="16"/>
        </w:rPr>
        <w:t> </w:t>
      </w:r>
      <w:r>
        <w:rPr>
          <w:color w:val="231F20"/>
          <w:spacing w:val="-2"/>
          <w:sz w:val="16"/>
        </w:rPr>
        <w:t>1988;38:1237–1244.</w:t>
      </w:r>
      <w:r>
        <w:rPr>
          <w:color w:val="231F20"/>
          <w:sz w:val="16"/>
        </w:rPr>
        <w:tab/>
      </w:r>
      <w:r>
        <w:rPr>
          <w:color w:val="231F20"/>
          <w:sz w:val="16"/>
          <w:u w:val="single" w:color="231F20"/>
        </w:rPr>
        <w:tab/>
      </w:r>
    </w:p>
    <w:p>
      <w:pPr>
        <w:spacing w:after="0"/>
        <w:jc w:val="left"/>
        <w:rPr>
          <w:sz w:val="16"/>
        </w:rPr>
        <w:sectPr>
          <w:type w:val="continuous"/>
          <w:pgSz w:w="12240" w:h="16200"/>
          <w:pgMar w:top="1060" w:bottom="280" w:left="1080" w:right="1080"/>
        </w:sectPr>
      </w:pPr>
    </w:p>
    <w:p>
      <w:pPr>
        <w:pStyle w:val="ListParagraph"/>
        <w:numPr>
          <w:ilvl w:val="0"/>
          <w:numId w:val="6"/>
        </w:numPr>
        <w:tabs>
          <w:tab w:pos="502" w:val="left" w:leader="none"/>
          <w:tab w:pos="504" w:val="left" w:leader="none"/>
        </w:tabs>
        <w:spacing w:line="247" w:lineRule="auto" w:before="0" w:after="0"/>
        <w:ind w:left="504" w:right="38" w:hanging="248"/>
        <w:jc w:val="both"/>
        <w:rPr>
          <w:sz w:val="16"/>
        </w:rPr>
      </w:pPr>
      <w:r>
        <w:rPr>
          <w:color w:val="231F20"/>
          <w:sz w:val="16"/>
        </w:rPr>
        <w:t>Takeda A, Kikuchi A, Matsuzaki-Kobayashi M, Sugeno </w:t>
      </w:r>
      <w:r>
        <w:rPr>
          <w:color w:val="231F20"/>
          <w:sz w:val="16"/>
        </w:rPr>
        <w:t>N,</w:t>
      </w:r>
      <w:r>
        <w:rPr>
          <w:color w:val="231F20"/>
          <w:spacing w:val="40"/>
          <w:sz w:val="16"/>
        </w:rPr>
        <w:t> </w:t>
      </w:r>
      <w:r>
        <w:rPr>
          <w:color w:val="231F20"/>
          <w:sz w:val="16"/>
        </w:rPr>
        <w:t>Itoyama Y. Olfactory dysfunction in Parkinson’s disease. J Neu-</w:t>
      </w:r>
      <w:r>
        <w:rPr>
          <w:color w:val="231F20"/>
          <w:spacing w:val="40"/>
          <w:sz w:val="16"/>
        </w:rPr>
        <w:t> </w:t>
      </w:r>
      <w:r>
        <w:rPr>
          <w:color w:val="231F20"/>
          <w:sz w:val="16"/>
        </w:rPr>
        <w:t>rol 2007;254:IV/2–IV/7.</w:t>
      </w:r>
    </w:p>
    <w:p>
      <w:pPr>
        <w:spacing w:line="184" w:lineRule="exact" w:before="11"/>
        <w:ind w:left="416" w:right="0" w:firstLine="0"/>
        <w:jc w:val="left"/>
        <w:rPr>
          <w:sz w:val="16"/>
        </w:rPr>
      </w:pPr>
      <w:r>
        <w:rPr/>
        <w:br w:type="column"/>
      </w:r>
      <w:r>
        <w:rPr>
          <w:color w:val="231F20"/>
          <w:sz w:val="16"/>
        </w:rPr>
        <w:t>Potential</w:t>
      </w:r>
      <w:r>
        <w:rPr>
          <w:color w:val="231F20"/>
          <w:spacing w:val="9"/>
          <w:sz w:val="16"/>
        </w:rPr>
        <w:t> </w:t>
      </w:r>
      <w:r>
        <w:rPr>
          <w:color w:val="231F20"/>
          <w:sz w:val="16"/>
        </w:rPr>
        <w:t>conﬂict</w:t>
      </w:r>
      <w:r>
        <w:rPr>
          <w:color w:val="231F20"/>
          <w:spacing w:val="10"/>
          <w:sz w:val="16"/>
        </w:rPr>
        <w:t> </w:t>
      </w:r>
      <w:r>
        <w:rPr>
          <w:color w:val="231F20"/>
          <w:sz w:val="16"/>
        </w:rPr>
        <w:t>of</w:t>
      </w:r>
      <w:r>
        <w:rPr>
          <w:color w:val="231F20"/>
          <w:spacing w:val="11"/>
          <w:sz w:val="16"/>
        </w:rPr>
        <w:t> </w:t>
      </w:r>
      <w:r>
        <w:rPr>
          <w:color w:val="231F20"/>
          <w:sz w:val="16"/>
        </w:rPr>
        <w:t>interest:</w:t>
      </w:r>
      <w:r>
        <w:rPr>
          <w:color w:val="231F20"/>
          <w:spacing w:val="10"/>
          <w:sz w:val="16"/>
        </w:rPr>
        <w:t> </w:t>
      </w:r>
      <w:r>
        <w:rPr>
          <w:color w:val="231F20"/>
          <w:sz w:val="16"/>
        </w:rPr>
        <w:t>Nothing</w:t>
      </w:r>
      <w:r>
        <w:rPr>
          <w:color w:val="231F20"/>
          <w:spacing w:val="10"/>
          <w:sz w:val="16"/>
        </w:rPr>
        <w:t> </w:t>
      </w:r>
      <w:r>
        <w:rPr>
          <w:color w:val="231F20"/>
          <w:sz w:val="16"/>
        </w:rPr>
        <w:t>to</w:t>
      </w:r>
      <w:r>
        <w:rPr>
          <w:color w:val="231F20"/>
          <w:spacing w:val="10"/>
          <w:sz w:val="16"/>
        </w:rPr>
        <w:t> </w:t>
      </w:r>
      <w:r>
        <w:rPr>
          <w:color w:val="231F20"/>
          <w:spacing w:val="-2"/>
          <w:sz w:val="16"/>
        </w:rPr>
        <w:t>report.</w:t>
      </w:r>
    </w:p>
    <w:p>
      <w:pPr>
        <w:spacing w:line="232" w:lineRule="auto" w:before="4"/>
        <w:ind w:left="256" w:right="204" w:firstLine="159"/>
        <w:jc w:val="left"/>
        <w:rPr>
          <w:sz w:val="16"/>
        </w:rPr>
      </w:pPr>
      <w:r>
        <w:rPr>
          <w:color w:val="231F20"/>
          <w:w w:val="105"/>
          <w:sz w:val="16"/>
        </w:rPr>
        <w:t>Published</w:t>
      </w:r>
      <w:r>
        <w:rPr>
          <w:color w:val="231F20"/>
          <w:spacing w:val="40"/>
          <w:w w:val="105"/>
          <w:sz w:val="16"/>
        </w:rPr>
        <w:t> </w:t>
      </w:r>
      <w:r>
        <w:rPr>
          <w:color w:val="231F20"/>
          <w:w w:val="105"/>
          <w:sz w:val="16"/>
        </w:rPr>
        <w:t>online</w:t>
      </w:r>
      <w:r>
        <w:rPr>
          <w:color w:val="231F20"/>
          <w:spacing w:val="40"/>
          <w:w w:val="105"/>
          <w:sz w:val="16"/>
        </w:rPr>
        <w:t> </w:t>
      </w:r>
      <w:r>
        <w:rPr>
          <w:color w:val="231F20"/>
          <w:w w:val="105"/>
          <w:sz w:val="16"/>
        </w:rPr>
        <w:t>27</w:t>
      </w:r>
      <w:r>
        <w:rPr>
          <w:color w:val="231F20"/>
          <w:spacing w:val="40"/>
          <w:w w:val="105"/>
          <w:sz w:val="16"/>
        </w:rPr>
        <w:t> </w:t>
      </w:r>
      <w:r>
        <w:rPr>
          <w:color w:val="231F20"/>
          <w:w w:val="105"/>
          <w:sz w:val="16"/>
        </w:rPr>
        <w:t>August</w:t>
      </w:r>
      <w:r>
        <w:rPr>
          <w:color w:val="231F20"/>
          <w:spacing w:val="40"/>
          <w:w w:val="105"/>
          <w:sz w:val="16"/>
        </w:rPr>
        <w:t> </w:t>
      </w:r>
      <w:r>
        <w:rPr>
          <w:color w:val="231F20"/>
          <w:w w:val="105"/>
          <w:sz w:val="16"/>
        </w:rPr>
        <w:t>2010</w:t>
      </w:r>
      <w:r>
        <w:rPr>
          <w:color w:val="231F20"/>
          <w:spacing w:val="40"/>
          <w:w w:val="105"/>
          <w:sz w:val="16"/>
        </w:rPr>
        <w:t> </w:t>
      </w:r>
      <w:r>
        <w:rPr>
          <w:color w:val="231F20"/>
          <w:w w:val="105"/>
          <w:sz w:val="16"/>
        </w:rPr>
        <w:t>in</w:t>
      </w:r>
      <w:r>
        <w:rPr>
          <w:color w:val="231F20"/>
          <w:spacing w:val="40"/>
          <w:w w:val="105"/>
          <w:sz w:val="16"/>
        </w:rPr>
        <w:t> </w:t>
      </w:r>
      <w:r>
        <w:rPr>
          <w:color w:val="231F20"/>
          <w:w w:val="105"/>
          <w:sz w:val="16"/>
        </w:rPr>
        <w:t>Wiley</w:t>
      </w:r>
      <w:r>
        <w:rPr>
          <w:color w:val="231F20"/>
          <w:spacing w:val="40"/>
          <w:w w:val="105"/>
          <w:sz w:val="16"/>
        </w:rPr>
        <w:t> </w:t>
      </w:r>
      <w:r>
        <w:rPr>
          <w:color w:val="231F20"/>
          <w:w w:val="105"/>
          <w:sz w:val="16"/>
        </w:rPr>
        <w:t>Online</w:t>
      </w:r>
      <w:r>
        <w:rPr>
          <w:color w:val="231F20"/>
          <w:spacing w:val="40"/>
          <w:w w:val="105"/>
          <w:sz w:val="16"/>
        </w:rPr>
        <w:t> </w:t>
      </w:r>
      <w:r>
        <w:rPr>
          <w:color w:val="231F20"/>
          <w:w w:val="105"/>
          <w:sz w:val="16"/>
        </w:rPr>
        <w:t>Library</w:t>
      </w:r>
      <w:r>
        <w:rPr>
          <w:color w:val="231F20"/>
          <w:spacing w:val="40"/>
          <w:w w:val="105"/>
          <w:sz w:val="16"/>
        </w:rPr>
        <w:t> </w:t>
      </w:r>
      <w:r>
        <w:rPr>
          <w:color w:val="231F20"/>
          <w:w w:val="105"/>
          <w:sz w:val="16"/>
        </w:rPr>
        <w:t>(wileyonlinelibrary.com).</w:t>
      </w:r>
      <w:r>
        <w:rPr>
          <w:color w:val="231F20"/>
          <w:spacing w:val="40"/>
          <w:w w:val="105"/>
          <w:sz w:val="16"/>
        </w:rPr>
        <w:t> </w:t>
      </w:r>
      <w:r>
        <w:rPr>
          <w:color w:val="231F20"/>
          <w:w w:val="105"/>
          <w:sz w:val="16"/>
        </w:rPr>
        <w:t>DOI: 10.1002/mds.23267</w:t>
      </w:r>
    </w:p>
    <w:p>
      <w:pPr>
        <w:spacing w:after="0" w:line="232" w:lineRule="auto"/>
        <w:jc w:val="left"/>
        <w:rPr>
          <w:sz w:val="16"/>
        </w:rPr>
        <w:sectPr>
          <w:type w:val="continuous"/>
          <w:pgSz w:w="12240" w:h="16200"/>
          <w:pgMar w:top="1060" w:bottom="280" w:left="1080" w:right="1080"/>
          <w:cols w:num="2" w:equalWidth="0">
            <w:col w:w="4861" w:space="180"/>
            <w:col w:w="5039"/>
          </w:cols>
        </w:sectPr>
      </w:pPr>
    </w:p>
    <w:p>
      <w:pPr>
        <w:pStyle w:val="BodyText"/>
        <w:rPr>
          <w:sz w:val="14"/>
        </w:rPr>
      </w:pPr>
      <w:r>
        <w:rPr>
          <w:sz w:val="14"/>
        </w:rPr>
        <mc:AlternateContent>
          <mc:Choice Requires="wps">
            <w:drawing>
              <wp:anchor distT="0" distB="0" distL="0" distR="0" allowOverlap="1" layoutInCell="1" locked="0" behindDoc="0" simplePos="0" relativeHeight="15735296">
                <wp:simplePos x="0" y="0"/>
                <wp:positionH relativeFrom="page">
                  <wp:posOffset>7555927</wp:posOffset>
                </wp:positionH>
                <wp:positionV relativeFrom="page">
                  <wp:posOffset>208819</wp:posOffset>
                </wp:positionV>
                <wp:extent cx="95885" cy="987552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95885" cy="9875520"/>
                        </a:xfrm>
                        <a:prstGeom prst="rect">
                          <a:avLst/>
                        </a:prstGeom>
                      </wps:spPr>
                      <wps:txbx>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wps:txbx>
                      <wps:bodyPr wrap="square" lIns="0" tIns="0" rIns="0" bIns="0" rtlCol="0" vert="vert">
                        <a:noAutofit/>
                      </wps:bodyPr>
                    </wps:wsp>
                  </a:graphicData>
                </a:graphic>
              </wp:anchor>
            </w:drawing>
          </mc:Choice>
          <mc:Fallback>
            <w:pict>
              <v:shape style="position:absolute;margin-left:594.954956pt;margin-top:16.442499pt;width:7.55pt;height:777.6pt;mso-position-horizontal-relative:page;mso-position-vertical-relative:page;z-index:15735296" type="#_x0000_t202" id="docshape12" filled="false" stroked="false">
                <v:textbox inset="0,0,0,0" style="layout-flow:vertical">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v:textbox>
                <w10:wrap type="none"/>
              </v:shape>
            </w:pict>
          </mc:Fallback>
        </mc:AlternateContent>
      </w:r>
    </w:p>
    <w:p>
      <w:pPr>
        <w:pStyle w:val="BodyText"/>
        <w:rPr>
          <w:sz w:val="14"/>
        </w:rPr>
      </w:pPr>
    </w:p>
    <w:p>
      <w:pPr>
        <w:pStyle w:val="BodyText"/>
        <w:rPr>
          <w:sz w:val="14"/>
        </w:rPr>
      </w:pPr>
    </w:p>
    <w:p>
      <w:pPr>
        <w:pStyle w:val="BodyText"/>
        <w:spacing w:before="27"/>
        <w:rPr>
          <w:sz w:val="14"/>
        </w:rPr>
      </w:pPr>
    </w:p>
    <w:p>
      <w:pPr>
        <w:spacing w:before="0"/>
        <w:ind w:left="256" w:right="0" w:firstLine="0"/>
        <w:jc w:val="left"/>
        <w:rPr>
          <w:i/>
          <w:sz w:val="14"/>
        </w:rPr>
      </w:pPr>
      <w:r>
        <w:rPr>
          <w:i/>
          <w:color w:val="231F20"/>
          <w:sz w:val="14"/>
        </w:rPr>
        <w:t>Movement</w:t>
      </w:r>
      <w:r>
        <w:rPr>
          <w:i/>
          <w:color w:val="231F20"/>
          <w:spacing w:val="8"/>
          <w:sz w:val="14"/>
        </w:rPr>
        <w:t> </w:t>
      </w:r>
      <w:r>
        <w:rPr>
          <w:i/>
          <w:color w:val="231F20"/>
          <w:sz w:val="14"/>
        </w:rPr>
        <w:t>Disorders,</w:t>
      </w:r>
      <w:r>
        <w:rPr>
          <w:i/>
          <w:color w:val="231F20"/>
          <w:spacing w:val="10"/>
          <w:sz w:val="14"/>
        </w:rPr>
        <w:t> </w:t>
      </w:r>
      <w:r>
        <w:rPr>
          <w:i/>
          <w:color w:val="231F20"/>
          <w:sz w:val="14"/>
        </w:rPr>
        <w:t>Vol.</w:t>
      </w:r>
      <w:r>
        <w:rPr>
          <w:i/>
          <w:color w:val="231F20"/>
          <w:spacing w:val="9"/>
          <w:sz w:val="14"/>
        </w:rPr>
        <w:t> </w:t>
      </w:r>
      <w:r>
        <w:rPr>
          <w:i/>
          <w:color w:val="231F20"/>
          <w:sz w:val="14"/>
        </w:rPr>
        <w:t>25,</w:t>
      </w:r>
      <w:r>
        <w:rPr>
          <w:i/>
          <w:color w:val="231F20"/>
          <w:spacing w:val="9"/>
          <w:sz w:val="14"/>
        </w:rPr>
        <w:t> </w:t>
      </w:r>
      <w:r>
        <w:rPr>
          <w:i/>
          <w:color w:val="231F20"/>
          <w:sz w:val="14"/>
        </w:rPr>
        <w:t>No.</w:t>
      </w:r>
      <w:r>
        <w:rPr>
          <w:i/>
          <w:color w:val="231F20"/>
          <w:spacing w:val="8"/>
          <w:sz w:val="14"/>
        </w:rPr>
        <w:t> </w:t>
      </w:r>
      <w:r>
        <w:rPr>
          <w:i/>
          <w:color w:val="231F20"/>
          <w:sz w:val="14"/>
        </w:rPr>
        <w:t>14,</w:t>
      </w:r>
      <w:r>
        <w:rPr>
          <w:i/>
          <w:color w:val="231F20"/>
          <w:spacing w:val="9"/>
          <w:sz w:val="14"/>
        </w:rPr>
        <w:t> </w:t>
      </w:r>
      <w:r>
        <w:rPr>
          <w:i/>
          <w:color w:val="231F20"/>
          <w:spacing w:val="-4"/>
          <w:sz w:val="14"/>
        </w:rPr>
        <w:t>2010</w:t>
      </w:r>
    </w:p>
    <w:p>
      <w:pPr>
        <w:spacing w:after="0"/>
        <w:jc w:val="left"/>
        <w:rPr>
          <w:i/>
          <w:sz w:val="14"/>
        </w:rPr>
        <w:sectPr>
          <w:type w:val="continuous"/>
          <w:pgSz w:w="12240" w:h="16200"/>
          <w:pgMar w:top="1060" w:bottom="280" w:left="1080" w:right="1080"/>
        </w:sectPr>
      </w:pPr>
    </w:p>
    <w:p>
      <w:pPr>
        <w:pStyle w:val="Heading3"/>
        <w:tabs>
          <w:tab w:pos="9859" w:val="right" w:leader="none"/>
        </w:tabs>
      </w:pPr>
      <w:r>
        <w:rPr>
          <w:color w:val="231F20"/>
        </w:rPr>
        <w:t>LETTERS</w:t>
      </w:r>
      <w:r>
        <w:rPr>
          <w:color w:val="231F20"/>
          <w:spacing w:val="12"/>
        </w:rPr>
        <w:t> </w:t>
      </w:r>
      <w:r>
        <w:rPr>
          <w:color w:val="231F20"/>
        </w:rPr>
        <w:t>TO</w:t>
      </w:r>
      <w:r>
        <w:rPr>
          <w:color w:val="231F20"/>
          <w:spacing w:val="10"/>
        </w:rPr>
        <w:t> </w:t>
      </w:r>
      <w:r>
        <w:rPr>
          <w:color w:val="231F20"/>
        </w:rPr>
        <w:t>THE</w:t>
      </w:r>
      <w:r>
        <w:rPr>
          <w:color w:val="231F20"/>
          <w:spacing w:val="11"/>
        </w:rPr>
        <w:t> </w:t>
      </w:r>
      <w:r>
        <w:rPr>
          <w:color w:val="231F20"/>
          <w:spacing w:val="-2"/>
        </w:rPr>
        <w:t>EDITOR</w:t>
      </w:r>
      <w:r>
        <w:rPr>
          <w:i w:val="0"/>
          <w:color w:val="231F20"/>
        </w:rPr>
        <w:tab/>
      </w:r>
      <w:r>
        <w:rPr>
          <w:color w:val="231F20"/>
          <w:spacing w:val="-4"/>
        </w:rPr>
        <w:t>2469</w:t>
      </w:r>
    </w:p>
    <w:p>
      <w:pPr>
        <w:spacing w:before="384"/>
        <w:ind w:left="38" w:right="1" w:firstLine="0"/>
        <w:jc w:val="center"/>
        <w:rPr>
          <w:i/>
          <w:sz w:val="18"/>
        </w:rPr>
      </w:pPr>
      <w:r>
        <w:rPr>
          <w:color w:val="231F20"/>
          <w:sz w:val="18"/>
        </w:rPr>
        <w:t>TABLE</w:t>
      </w:r>
      <w:r>
        <w:rPr>
          <w:color w:val="231F20"/>
          <w:spacing w:val="16"/>
          <w:sz w:val="18"/>
        </w:rPr>
        <w:t> </w:t>
      </w:r>
      <w:r>
        <w:rPr>
          <w:color w:val="231F20"/>
          <w:sz w:val="18"/>
        </w:rPr>
        <w:t>1.</w:t>
      </w:r>
      <w:r>
        <w:rPr>
          <w:color w:val="231F20"/>
          <w:spacing w:val="47"/>
          <w:sz w:val="18"/>
        </w:rPr>
        <w:t> </w:t>
      </w:r>
      <w:r>
        <w:rPr>
          <w:i/>
          <w:color w:val="231F20"/>
          <w:sz w:val="18"/>
        </w:rPr>
        <w:t>Clinical</w:t>
      </w:r>
      <w:r>
        <w:rPr>
          <w:i/>
          <w:color w:val="231F20"/>
          <w:spacing w:val="17"/>
          <w:sz w:val="18"/>
        </w:rPr>
        <w:t> </w:t>
      </w:r>
      <w:r>
        <w:rPr>
          <w:i/>
          <w:color w:val="231F20"/>
          <w:sz w:val="18"/>
        </w:rPr>
        <w:t>features</w:t>
      </w:r>
      <w:r>
        <w:rPr>
          <w:i/>
          <w:color w:val="231F20"/>
          <w:spacing w:val="15"/>
          <w:sz w:val="18"/>
        </w:rPr>
        <w:t> </w:t>
      </w:r>
      <w:r>
        <w:rPr>
          <w:i/>
          <w:color w:val="231F20"/>
          <w:sz w:val="18"/>
        </w:rPr>
        <w:t>of</w:t>
      </w:r>
      <w:r>
        <w:rPr>
          <w:i/>
          <w:color w:val="231F20"/>
          <w:spacing w:val="16"/>
          <w:sz w:val="18"/>
        </w:rPr>
        <w:t> </w:t>
      </w:r>
      <w:r>
        <w:rPr>
          <w:i/>
          <w:color w:val="231F20"/>
          <w:sz w:val="18"/>
        </w:rPr>
        <w:t>the</w:t>
      </w:r>
      <w:r>
        <w:rPr>
          <w:i/>
          <w:color w:val="231F20"/>
          <w:spacing w:val="16"/>
          <w:sz w:val="18"/>
        </w:rPr>
        <w:t> </w:t>
      </w:r>
      <w:r>
        <w:rPr>
          <w:i/>
          <w:color w:val="231F20"/>
          <w:sz w:val="18"/>
        </w:rPr>
        <w:t>PNKD</w:t>
      </w:r>
      <w:r>
        <w:rPr>
          <w:i/>
          <w:color w:val="231F20"/>
          <w:spacing w:val="16"/>
          <w:sz w:val="18"/>
        </w:rPr>
        <w:t> </w:t>
      </w:r>
      <w:r>
        <w:rPr>
          <w:i/>
          <w:color w:val="231F20"/>
          <w:spacing w:val="-2"/>
          <w:sz w:val="18"/>
        </w:rPr>
        <w:t>patients</w:t>
      </w:r>
    </w:p>
    <w:p>
      <w:pPr>
        <w:spacing w:after="0"/>
        <w:jc w:val="center"/>
        <w:rPr>
          <w:i/>
          <w:sz w:val="18"/>
        </w:rPr>
        <w:sectPr>
          <w:pgSz w:w="12240" w:h="16200"/>
          <w:pgMar w:top="1040" w:bottom="280" w:left="1080" w:right="1080"/>
        </w:sect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rPr>
          <w:i/>
          <w:sz w:val="16"/>
        </w:rPr>
      </w:pPr>
    </w:p>
    <w:p>
      <w:pPr>
        <w:pStyle w:val="BodyText"/>
        <w:spacing w:before="48"/>
        <w:rPr>
          <w:i/>
          <w:sz w:val="16"/>
        </w:rPr>
      </w:pPr>
    </w:p>
    <w:p>
      <w:pPr>
        <w:spacing w:before="0"/>
        <w:ind w:left="0" w:right="0" w:firstLine="0"/>
        <w:jc w:val="right"/>
        <w:rPr>
          <w:sz w:val="16"/>
        </w:rPr>
      </w:pPr>
      <w:r>
        <w:rPr>
          <w:sz w:val="16"/>
        </w:rPr>
        <mc:AlternateContent>
          <mc:Choice Requires="wps">
            <w:drawing>
              <wp:anchor distT="0" distB="0" distL="0" distR="0" allowOverlap="1" layoutInCell="1" locked="0" behindDoc="0" simplePos="0" relativeHeight="15736832">
                <wp:simplePos x="0" y="0"/>
                <wp:positionH relativeFrom="page">
                  <wp:posOffset>810780</wp:posOffset>
                </wp:positionH>
                <wp:positionV relativeFrom="paragraph">
                  <wp:posOffset>-1031152</wp:posOffset>
                </wp:positionV>
                <wp:extent cx="6174740" cy="107505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6174740" cy="107505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0"/>
                              <w:gridCol w:w="1126"/>
                              <w:gridCol w:w="1369"/>
                              <w:gridCol w:w="1776"/>
                              <w:gridCol w:w="1336"/>
                              <w:gridCol w:w="1238"/>
                              <w:gridCol w:w="1736"/>
                            </w:tblGrid>
                            <w:tr>
                              <w:trPr>
                                <w:trHeight w:val="672" w:hRule="atLeast"/>
                              </w:trPr>
                              <w:tc>
                                <w:tcPr>
                                  <w:tcW w:w="1020" w:type="dxa"/>
                                  <w:tcBorders>
                                    <w:top w:val="single" w:sz="12" w:space="0" w:color="231F20"/>
                                    <w:bottom w:val="single" w:sz="4" w:space="0" w:color="231F20"/>
                                  </w:tcBorders>
                                </w:tcPr>
                                <w:p>
                                  <w:pPr>
                                    <w:pStyle w:val="TableParagraph"/>
                                    <w:rPr>
                                      <w:i/>
                                      <w:sz w:val="16"/>
                                    </w:rPr>
                                  </w:pPr>
                                </w:p>
                                <w:p>
                                  <w:pPr>
                                    <w:pStyle w:val="TableParagraph"/>
                                    <w:spacing w:before="45"/>
                                    <w:rPr>
                                      <w:i/>
                                      <w:sz w:val="16"/>
                                    </w:rPr>
                                  </w:pPr>
                                </w:p>
                                <w:p>
                                  <w:pPr>
                                    <w:pStyle w:val="TableParagraph"/>
                                    <w:spacing w:before="1"/>
                                    <w:ind w:left="-1"/>
                                    <w:rPr>
                                      <w:sz w:val="16"/>
                                    </w:rPr>
                                  </w:pPr>
                                  <w:r>
                                    <w:rPr>
                                      <w:color w:val="231F20"/>
                                      <w:sz w:val="16"/>
                                    </w:rPr>
                                    <w:t>Pt</w:t>
                                  </w:r>
                                  <w:r>
                                    <w:rPr>
                                      <w:color w:val="231F20"/>
                                      <w:spacing w:val="11"/>
                                      <w:sz w:val="16"/>
                                    </w:rPr>
                                    <w:t> </w:t>
                                  </w:r>
                                  <w:r>
                                    <w:rPr>
                                      <w:color w:val="231F20"/>
                                      <w:spacing w:val="-2"/>
                                      <w:sz w:val="16"/>
                                    </w:rPr>
                                    <w:t>ID/age/sex</w:t>
                                  </w:r>
                                </w:p>
                              </w:tc>
                              <w:tc>
                                <w:tcPr>
                                  <w:tcW w:w="1126" w:type="dxa"/>
                                  <w:tcBorders>
                                    <w:top w:val="single" w:sz="12" w:space="0" w:color="231F20"/>
                                    <w:bottom w:val="single" w:sz="4" w:space="0" w:color="231F20"/>
                                  </w:tcBorders>
                                </w:tcPr>
                                <w:p>
                                  <w:pPr>
                                    <w:pStyle w:val="TableParagraph"/>
                                    <w:rPr>
                                      <w:i/>
                                      <w:sz w:val="16"/>
                                    </w:rPr>
                                  </w:pPr>
                                </w:p>
                                <w:p>
                                  <w:pPr>
                                    <w:pStyle w:val="TableParagraph"/>
                                    <w:spacing w:before="45"/>
                                    <w:rPr>
                                      <w:i/>
                                      <w:sz w:val="16"/>
                                    </w:rPr>
                                  </w:pPr>
                                </w:p>
                                <w:p>
                                  <w:pPr>
                                    <w:pStyle w:val="TableParagraph"/>
                                    <w:spacing w:before="1"/>
                                    <w:jc w:val="center"/>
                                    <w:rPr>
                                      <w:sz w:val="16"/>
                                    </w:rPr>
                                  </w:pPr>
                                  <w:r>
                                    <w:rPr>
                                      <w:color w:val="231F20"/>
                                      <w:sz w:val="16"/>
                                    </w:rPr>
                                    <w:t>Age</w:t>
                                  </w:r>
                                  <w:r>
                                    <w:rPr>
                                      <w:color w:val="231F20"/>
                                      <w:spacing w:val="10"/>
                                      <w:sz w:val="16"/>
                                    </w:rPr>
                                    <w:t> </w:t>
                                  </w:r>
                                  <w:r>
                                    <w:rPr>
                                      <w:color w:val="231F20"/>
                                      <w:sz w:val="16"/>
                                    </w:rPr>
                                    <w:t>of</w:t>
                                  </w:r>
                                  <w:r>
                                    <w:rPr>
                                      <w:color w:val="231F20"/>
                                      <w:spacing w:val="11"/>
                                      <w:sz w:val="16"/>
                                    </w:rPr>
                                    <w:t> </w:t>
                                  </w:r>
                                  <w:r>
                                    <w:rPr>
                                      <w:color w:val="231F20"/>
                                      <w:spacing w:val="-2"/>
                                      <w:sz w:val="16"/>
                                    </w:rPr>
                                    <w:t>onset</w:t>
                                  </w:r>
                                </w:p>
                              </w:tc>
                              <w:tc>
                                <w:tcPr>
                                  <w:tcW w:w="1369" w:type="dxa"/>
                                  <w:tcBorders>
                                    <w:top w:val="single" w:sz="12" w:space="0" w:color="231F20"/>
                                    <w:bottom w:val="single" w:sz="4" w:space="0" w:color="231F20"/>
                                  </w:tcBorders>
                                </w:tcPr>
                                <w:p>
                                  <w:pPr>
                                    <w:pStyle w:val="TableParagraph"/>
                                    <w:spacing w:before="52"/>
                                    <w:rPr>
                                      <w:i/>
                                      <w:sz w:val="16"/>
                                    </w:rPr>
                                  </w:pPr>
                                </w:p>
                                <w:p>
                                  <w:pPr>
                                    <w:pStyle w:val="TableParagraph"/>
                                    <w:spacing w:line="235" w:lineRule="auto"/>
                                    <w:ind w:left="474" w:hanging="192"/>
                                    <w:rPr>
                                      <w:sz w:val="16"/>
                                    </w:rPr>
                                  </w:pPr>
                                  <w:r>
                                    <w:rPr>
                                      <w:color w:val="231F20"/>
                                      <w:spacing w:val="-2"/>
                                      <w:sz w:val="16"/>
                                    </w:rPr>
                                    <w:t>Precipitating</w:t>
                                  </w:r>
                                  <w:r>
                                    <w:rPr>
                                      <w:color w:val="231F20"/>
                                      <w:spacing w:val="40"/>
                                      <w:sz w:val="16"/>
                                    </w:rPr>
                                    <w:t> </w:t>
                                  </w:r>
                                  <w:r>
                                    <w:rPr>
                                      <w:color w:val="231F20"/>
                                      <w:spacing w:val="-2"/>
                                      <w:sz w:val="16"/>
                                    </w:rPr>
                                    <w:t>factors</w:t>
                                  </w:r>
                                </w:p>
                              </w:tc>
                              <w:tc>
                                <w:tcPr>
                                  <w:tcW w:w="1776" w:type="dxa"/>
                                  <w:tcBorders>
                                    <w:top w:val="single" w:sz="12" w:space="0" w:color="231F20"/>
                                    <w:bottom w:val="single" w:sz="4" w:space="0" w:color="231F20"/>
                                  </w:tcBorders>
                                </w:tcPr>
                                <w:p>
                                  <w:pPr>
                                    <w:pStyle w:val="TableParagraph"/>
                                    <w:spacing w:before="52"/>
                                    <w:rPr>
                                      <w:i/>
                                      <w:sz w:val="16"/>
                                    </w:rPr>
                                  </w:pPr>
                                </w:p>
                                <w:p>
                                  <w:pPr>
                                    <w:pStyle w:val="TableParagraph"/>
                                    <w:spacing w:line="235" w:lineRule="auto"/>
                                    <w:ind w:left="575" w:hanging="420"/>
                                    <w:rPr>
                                      <w:sz w:val="16"/>
                                    </w:rPr>
                                  </w:pPr>
                                  <w:r>
                                    <w:rPr>
                                      <w:color w:val="231F20"/>
                                      <w:sz w:val="16"/>
                                    </w:rPr>
                                    <w:t>Body</w:t>
                                  </w:r>
                                  <w:r>
                                    <w:rPr>
                                      <w:color w:val="231F20"/>
                                      <w:spacing w:val="-7"/>
                                      <w:sz w:val="16"/>
                                    </w:rPr>
                                    <w:t> </w:t>
                                  </w:r>
                                  <w:r>
                                    <w:rPr>
                                      <w:color w:val="231F20"/>
                                      <w:sz w:val="16"/>
                                    </w:rPr>
                                    <w:t>regions</w:t>
                                  </w:r>
                                  <w:r>
                                    <w:rPr>
                                      <w:color w:val="231F20"/>
                                      <w:spacing w:val="-7"/>
                                      <w:sz w:val="16"/>
                                    </w:rPr>
                                    <w:t> </w:t>
                                  </w:r>
                                  <w:r>
                                    <w:rPr>
                                      <w:color w:val="231F20"/>
                                      <w:sz w:val="16"/>
                                    </w:rPr>
                                    <w:t>involved</w:t>
                                  </w:r>
                                  <w:r>
                                    <w:rPr>
                                      <w:color w:val="231F20"/>
                                      <w:spacing w:val="40"/>
                                      <w:sz w:val="16"/>
                                    </w:rPr>
                                    <w:t> </w:t>
                                  </w:r>
                                  <w:r>
                                    <w:rPr>
                                      <w:color w:val="231F20"/>
                                      <w:spacing w:val="-2"/>
                                      <w:sz w:val="16"/>
                                    </w:rPr>
                                    <w:t>(duration)</w:t>
                                  </w:r>
                                </w:p>
                              </w:tc>
                              <w:tc>
                                <w:tcPr>
                                  <w:tcW w:w="1336" w:type="dxa"/>
                                  <w:tcBorders>
                                    <w:top w:val="single" w:sz="12" w:space="0" w:color="231F20"/>
                                    <w:bottom w:val="single" w:sz="4" w:space="0" w:color="231F20"/>
                                  </w:tcBorders>
                                </w:tcPr>
                                <w:p>
                                  <w:pPr>
                                    <w:pStyle w:val="TableParagraph"/>
                                    <w:spacing w:before="52"/>
                                    <w:rPr>
                                      <w:i/>
                                      <w:sz w:val="16"/>
                                    </w:rPr>
                                  </w:pPr>
                                </w:p>
                                <w:p>
                                  <w:pPr>
                                    <w:pStyle w:val="TableParagraph"/>
                                    <w:spacing w:line="235" w:lineRule="auto"/>
                                    <w:ind w:left="275" w:hanging="22"/>
                                    <w:rPr>
                                      <w:sz w:val="16"/>
                                    </w:rPr>
                                  </w:pPr>
                                  <w:r>
                                    <w:rPr>
                                      <w:color w:val="231F20"/>
                                      <w:spacing w:val="-2"/>
                                      <w:sz w:val="16"/>
                                    </w:rPr>
                                    <w:t>Neurological</w:t>
                                  </w:r>
                                  <w:r>
                                    <w:rPr>
                                      <w:color w:val="231F20"/>
                                      <w:spacing w:val="40"/>
                                      <w:sz w:val="16"/>
                                    </w:rPr>
                                    <w:t> </w:t>
                                  </w:r>
                                  <w:r>
                                    <w:rPr>
                                      <w:color w:val="231F20"/>
                                      <w:spacing w:val="-2"/>
                                      <w:sz w:val="16"/>
                                    </w:rPr>
                                    <w:t>examination</w:t>
                                  </w:r>
                                </w:p>
                              </w:tc>
                              <w:tc>
                                <w:tcPr>
                                  <w:tcW w:w="1238" w:type="dxa"/>
                                  <w:tcBorders>
                                    <w:top w:val="single" w:sz="12" w:space="0" w:color="231F20"/>
                                    <w:bottom w:val="single" w:sz="4" w:space="0" w:color="231F20"/>
                                  </w:tcBorders>
                                </w:tcPr>
                                <w:p>
                                  <w:pPr>
                                    <w:pStyle w:val="TableParagraph"/>
                                    <w:spacing w:line="235" w:lineRule="auto" w:before="57"/>
                                    <w:ind w:left="216" w:right="176"/>
                                    <w:jc w:val="center"/>
                                    <w:rPr>
                                      <w:sz w:val="16"/>
                                    </w:rPr>
                                  </w:pPr>
                                  <w:r>
                                    <w:rPr>
                                      <w:color w:val="231F20"/>
                                      <w:spacing w:val="-2"/>
                                      <w:sz w:val="16"/>
                                    </w:rPr>
                                    <w:t>Intracranial</w:t>
                                  </w:r>
                                  <w:r>
                                    <w:rPr>
                                      <w:color w:val="231F20"/>
                                      <w:spacing w:val="40"/>
                                      <w:sz w:val="16"/>
                                    </w:rPr>
                                    <w:t> </w:t>
                                  </w:r>
                                  <w:r>
                                    <w:rPr>
                                      <w:color w:val="231F20"/>
                                      <w:spacing w:val="-2"/>
                                      <w:sz w:val="16"/>
                                    </w:rPr>
                                    <w:t>calciﬁcations</w:t>
                                  </w:r>
                                  <w:r>
                                    <w:rPr>
                                      <w:color w:val="231F20"/>
                                      <w:spacing w:val="40"/>
                                      <w:sz w:val="16"/>
                                    </w:rPr>
                                    <w:t> </w:t>
                                  </w:r>
                                  <w:r>
                                    <w:rPr>
                                      <w:color w:val="231F20"/>
                                      <w:spacing w:val="-2"/>
                                      <w:sz w:val="16"/>
                                    </w:rPr>
                                    <w:t>distribution</w:t>
                                  </w:r>
                                </w:p>
                              </w:tc>
                              <w:tc>
                                <w:tcPr>
                                  <w:tcW w:w="1736" w:type="dxa"/>
                                  <w:tcBorders>
                                    <w:top w:val="single" w:sz="12" w:space="0" w:color="231F20"/>
                                    <w:bottom w:val="single" w:sz="4" w:space="0" w:color="231F20"/>
                                  </w:tcBorders>
                                </w:tcPr>
                                <w:p>
                                  <w:pPr>
                                    <w:pStyle w:val="TableParagraph"/>
                                    <w:spacing w:before="52"/>
                                    <w:rPr>
                                      <w:i/>
                                      <w:sz w:val="16"/>
                                    </w:rPr>
                                  </w:pPr>
                                </w:p>
                                <w:p>
                                  <w:pPr>
                                    <w:pStyle w:val="TableParagraph"/>
                                    <w:spacing w:line="235" w:lineRule="auto"/>
                                    <w:ind w:left="423" w:hanging="17"/>
                                    <w:rPr>
                                      <w:sz w:val="16"/>
                                    </w:rPr>
                                  </w:pPr>
                                  <w:r>
                                    <w:rPr>
                                      <w:color w:val="231F20"/>
                                      <w:sz w:val="16"/>
                                    </w:rPr>
                                    <w:t>Frequency</w:t>
                                  </w:r>
                                  <w:r>
                                    <w:rPr>
                                      <w:color w:val="231F20"/>
                                      <w:spacing w:val="-7"/>
                                      <w:sz w:val="16"/>
                                    </w:rPr>
                                    <w:t> </w:t>
                                  </w:r>
                                  <w:r>
                                    <w:rPr>
                                      <w:color w:val="231F20"/>
                                      <w:sz w:val="16"/>
                                    </w:rPr>
                                    <w:t>of</w:t>
                                  </w:r>
                                  <w:r>
                                    <w:rPr>
                                      <w:color w:val="231F20"/>
                                      <w:spacing w:val="-6"/>
                                      <w:sz w:val="16"/>
                                    </w:rPr>
                                    <w:t> </w:t>
                                  </w:r>
                                  <w:r>
                                    <w:rPr>
                                      <w:color w:val="231F20"/>
                                      <w:sz w:val="16"/>
                                    </w:rPr>
                                    <w:t>the</w:t>
                                  </w:r>
                                  <w:r>
                                    <w:rPr>
                                      <w:color w:val="231F20"/>
                                      <w:spacing w:val="40"/>
                                      <w:sz w:val="16"/>
                                    </w:rPr>
                                    <w:t> </w:t>
                                  </w:r>
                                  <w:r>
                                    <w:rPr>
                                      <w:color w:val="231F20"/>
                                      <w:spacing w:val="-2"/>
                                      <w:sz w:val="16"/>
                                    </w:rPr>
                                    <w:t>attacks/Outcome</w:t>
                                  </w:r>
                                </w:p>
                              </w:tc>
                            </w:tr>
                            <w:tr>
                              <w:trPr>
                                <w:trHeight w:val="214" w:hRule="atLeast"/>
                              </w:trPr>
                              <w:tc>
                                <w:tcPr>
                                  <w:tcW w:w="1020" w:type="dxa"/>
                                  <w:tcBorders>
                                    <w:top w:val="single" w:sz="4" w:space="0" w:color="231F20"/>
                                  </w:tcBorders>
                                </w:tcPr>
                                <w:p>
                                  <w:pPr>
                                    <w:pStyle w:val="TableParagraph"/>
                                    <w:spacing w:line="164" w:lineRule="exact" w:before="30"/>
                                    <w:ind w:left="-1"/>
                                    <w:rPr>
                                      <w:sz w:val="16"/>
                                    </w:rPr>
                                  </w:pPr>
                                  <w:r>
                                    <w:rPr>
                                      <w:color w:val="231F20"/>
                                      <w:spacing w:val="-2"/>
                                      <w:sz w:val="16"/>
                                    </w:rPr>
                                    <w:t>I:2/82/M</w:t>
                                  </w:r>
                                </w:p>
                              </w:tc>
                              <w:tc>
                                <w:tcPr>
                                  <w:tcW w:w="1126" w:type="dxa"/>
                                  <w:tcBorders>
                                    <w:top w:val="single" w:sz="4" w:space="0" w:color="231F20"/>
                                  </w:tcBorders>
                                </w:tcPr>
                                <w:p>
                                  <w:pPr>
                                    <w:pStyle w:val="TableParagraph"/>
                                    <w:spacing w:line="164" w:lineRule="exact" w:before="30"/>
                                    <w:jc w:val="center"/>
                                    <w:rPr>
                                      <w:sz w:val="16"/>
                                    </w:rPr>
                                  </w:pPr>
                                  <w:r>
                                    <w:rPr>
                                      <w:color w:val="231F20"/>
                                      <w:sz w:val="16"/>
                                    </w:rPr>
                                    <w:t>70</w:t>
                                  </w:r>
                                  <w:r>
                                    <w:rPr>
                                      <w:color w:val="231F20"/>
                                      <w:spacing w:val="10"/>
                                      <w:sz w:val="16"/>
                                    </w:rPr>
                                    <w:t> </w:t>
                                  </w:r>
                                  <w:r>
                                    <w:rPr>
                                      <w:color w:val="231F20"/>
                                      <w:spacing w:val="-2"/>
                                      <w:sz w:val="16"/>
                                    </w:rPr>
                                    <w:t>years</w:t>
                                  </w:r>
                                </w:p>
                              </w:tc>
                              <w:tc>
                                <w:tcPr>
                                  <w:tcW w:w="1369" w:type="dxa"/>
                                  <w:tcBorders>
                                    <w:top w:val="single" w:sz="4" w:space="0" w:color="231F20"/>
                                  </w:tcBorders>
                                </w:tcPr>
                                <w:p>
                                  <w:pPr>
                                    <w:pStyle w:val="TableParagraph"/>
                                    <w:spacing w:line="164" w:lineRule="exact" w:before="30"/>
                                    <w:ind w:left="144"/>
                                    <w:rPr>
                                      <w:sz w:val="16"/>
                                    </w:rPr>
                                  </w:pPr>
                                  <w:r>
                                    <w:rPr>
                                      <w:color w:val="231F20"/>
                                      <w:spacing w:val="-2"/>
                                      <w:sz w:val="16"/>
                                    </w:rPr>
                                    <w:t>Fever</w:t>
                                  </w:r>
                                </w:p>
                              </w:tc>
                              <w:tc>
                                <w:tcPr>
                                  <w:tcW w:w="1776" w:type="dxa"/>
                                  <w:tcBorders>
                                    <w:top w:val="single" w:sz="4" w:space="0" w:color="231F20"/>
                                  </w:tcBorders>
                                </w:tcPr>
                                <w:p>
                                  <w:pPr>
                                    <w:pStyle w:val="TableParagraph"/>
                                    <w:spacing w:line="165" w:lineRule="exact" w:before="29"/>
                                    <w:ind w:left="156"/>
                                    <w:rPr>
                                      <w:sz w:val="16"/>
                                    </w:rPr>
                                  </w:pPr>
                                  <w:r>
                                    <w:rPr>
                                      <w:color w:val="231F20"/>
                                      <w:sz w:val="16"/>
                                    </w:rPr>
                                    <w:t>Head</w:t>
                                  </w:r>
                                  <w:r>
                                    <w:rPr>
                                      <w:color w:val="231F20"/>
                                      <w:spacing w:val="8"/>
                                      <w:sz w:val="16"/>
                                    </w:rPr>
                                    <w:t> </w:t>
                                  </w:r>
                                  <w:r>
                                    <w:rPr>
                                      <w:color w:val="231F20"/>
                                      <w:spacing w:val="-2"/>
                                      <w:sz w:val="16"/>
                                    </w:rPr>
                                    <w:t>(15</w:t>
                                  </w:r>
                                  <w:r>
                                    <w:rPr>
                                      <w:rFonts w:ascii="Arial"/>
                                      <w:color w:val="231F20"/>
                                      <w:spacing w:val="-2"/>
                                      <w:sz w:val="16"/>
                                      <w:vertAlign w:val="superscript"/>
                                    </w:rPr>
                                    <w:t>0</w:t>
                                  </w:r>
                                  <w:r>
                                    <w:rPr>
                                      <w:color w:val="231F20"/>
                                      <w:spacing w:val="-2"/>
                                      <w:sz w:val="16"/>
                                      <w:vertAlign w:val="baseline"/>
                                    </w:rPr>
                                    <w:t>)</w:t>
                                  </w:r>
                                </w:p>
                              </w:tc>
                              <w:tc>
                                <w:tcPr>
                                  <w:tcW w:w="1336" w:type="dxa"/>
                                  <w:tcBorders>
                                    <w:top w:val="single" w:sz="4" w:space="0" w:color="231F20"/>
                                  </w:tcBorders>
                                </w:tcPr>
                                <w:p>
                                  <w:pPr>
                                    <w:pStyle w:val="TableParagraph"/>
                                    <w:spacing w:line="164" w:lineRule="exact" w:before="30"/>
                                    <w:ind w:left="144"/>
                                    <w:rPr>
                                      <w:sz w:val="16"/>
                                    </w:rPr>
                                  </w:pPr>
                                  <w:r>
                                    <w:rPr>
                                      <w:color w:val="231F20"/>
                                      <w:spacing w:val="-2"/>
                                      <w:sz w:val="16"/>
                                    </w:rPr>
                                    <w:t>Normal</w:t>
                                  </w:r>
                                </w:p>
                              </w:tc>
                              <w:tc>
                                <w:tcPr>
                                  <w:tcW w:w="1238" w:type="dxa"/>
                                  <w:tcBorders>
                                    <w:top w:val="single" w:sz="4" w:space="0" w:color="231F20"/>
                                  </w:tcBorders>
                                </w:tcPr>
                                <w:p>
                                  <w:pPr>
                                    <w:pStyle w:val="TableParagraph"/>
                                    <w:spacing w:line="164" w:lineRule="exact" w:before="30"/>
                                    <w:ind w:left="145"/>
                                    <w:rPr>
                                      <w:sz w:val="16"/>
                                    </w:rPr>
                                  </w:pPr>
                                  <w:r>
                                    <w:rPr>
                                      <w:color w:val="231F20"/>
                                      <w:spacing w:val="-5"/>
                                      <w:w w:val="110"/>
                                      <w:sz w:val="16"/>
                                    </w:rPr>
                                    <w:t>ND</w:t>
                                  </w:r>
                                  <w:r>
                                    <w:rPr>
                                      <w:color w:val="231F20"/>
                                      <w:spacing w:val="-5"/>
                                      <w:w w:val="110"/>
                                      <w:sz w:val="16"/>
                                      <w:vertAlign w:val="superscript"/>
                                    </w:rPr>
                                    <w:t>a</w:t>
                                  </w:r>
                                </w:p>
                              </w:tc>
                              <w:tc>
                                <w:tcPr>
                                  <w:tcW w:w="1736" w:type="dxa"/>
                                  <w:tcBorders>
                                    <w:top w:val="single" w:sz="4" w:space="0" w:color="231F20"/>
                                  </w:tcBorders>
                                </w:tcPr>
                                <w:p>
                                  <w:pPr>
                                    <w:pStyle w:val="TableParagraph"/>
                                    <w:spacing w:line="164" w:lineRule="exact" w:before="30"/>
                                    <w:ind w:left="179"/>
                                    <w:rPr>
                                      <w:sz w:val="16"/>
                                    </w:rPr>
                                  </w:pPr>
                                  <w:r>
                                    <w:rPr>
                                      <w:color w:val="231F20"/>
                                      <w:sz w:val="16"/>
                                    </w:rPr>
                                    <w:t>Single</w:t>
                                  </w:r>
                                  <w:r>
                                    <w:rPr>
                                      <w:color w:val="231F20"/>
                                      <w:spacing w:val="8"/>
                                      <w:sz w:val="16"/>
                                    </w:rPr>
                                    <w:t> </w:t>
                                  </w:r>
                                  <w:r>
                                    <w:rPr>
                                      <w:color w:val="231F20"/>
                                      <w:spacing w:val="-2"/>
                                      <w:sz w:val="16"/>
                                    </w:rPr>
                                    <w:t>episode</w:t>
                                  </w:r>
                                </w:p>
                              </w:tc>
                            </w:tr>
                            <w:tr>
                              <w:trPr>
                                <w:trHeight w:val="190" w:hRule="atLeast"/>
                              </w:trPr>
                              <w:tc>
                                <w:tcPr>
                                  <w:tcW w:w="1020" w:type="dxa"/>
                                </w:tcPr>
                                <w:p>
                                  <w:pPr>
                                    <w:pStyle w:val="TableParagraph"/>
                                    <w:spacing w:line="171" w:lineRule="exact"/>
                                    <w:ind w:left="-1"/>
                                    <w:rPr>
                                      <w:sz w:val="16"/>
                                    </w:rPr>
                                  </w:pPr>
                                  <w:r>
                                    <w:rPr>
                                      <w:color w:val="231F20"/>
                                      <w:spacing w:val="-2"/>
                                      <w:sz w:val="16"/>
                                    </w:rPr>
                                    <w:t>II:3/70/F</w:t>
                                  </w:r>
                                </w:p>
                              </w:tc>
                              <w:tc>
                                <w:tcPr>
                                  <w:tcW w:w="1126" w:type="dxa"/>
                                </w:tcPr>
                                <w:p>
                                  <w:pPr>
                                    <w:pStyle w:val="TableParagraph"/>
                                    <w:spacing w:line="171" w:lineRule="exact"/>
                                    <w:jc w:val="center"/>
                                    <w:rPr>
                                      <w:sz w:val="16"/>
                                    </w:rPr>
                                  </w:pPr>
                                  <w:r>
                                    <w:rPr>
                                      <w:color w:val="231F20"/>
                                      <w:sz w:val="16"/>
                                    </w:rPr>
                                    <w:t>4</w:t>
                                  </w:r>
                                  <w:r>
                                    <w:rPr>
                                      <w:color w:val="231F20"/>
                                      <w:spacing w:val="11"/>
                                      <w:sz w:val="16"/>
                                    </w:rPr>
                                    <w:t> </w:t>
                                  </w:r>
                                  <w:r>
                                    <w:rPr>
                                      <w:color w:val="231F20"/>
                                      <w:spacing w:val="-2"/>
                                      <w:sz w:val="16"/>
                                    </w:rPr>
                                    <w:t>years</w:t>
                                  </w:r>
                                </w:p>
                              </w:tc>
                              <w:tc>
                                <w:tcPr>
                                  <w:tcW w:w="1369" w:type="dxa"/>
                                </w:tcPr>
                                <w:p>
                                  <w:pPr>
                                    <w:pStyle w:val="TableParagraph"/>
                                    <w:spacing w:line="171" w:lineRule="exact"/>
                                    <w:ind w:left="144"/>
                                    <w:rPr>
                                      <w:sz w:val="16"/>
                                    </w:rPr>
                                  </w:pPr>
                                  <w:r>
                                    <w:rPr>
                                      <w:color w:val="231F20"/>
                                      <w:spacing w:val="-2"/>
                                      <w:sz w:val="16"/>
                                    </w:rPr>
                                    <w:t>Fasting,</w:t>
                                  </w:r>
                                </w:p>
                              </w:tc>
                              <w:tc>
                                <w:tcPr>
                                  <w:tcW w:w="1776" w:type="dxa"/>
                                </w:tcPr>
                                <w:p>
                                  <w:pPr>
                                    <w:pStyle w:val="TableParagraph"/>
                                    <w:spacing w:line="171" w:lineRule="exact"/>
                                    <w:ind w:left="156"/>
                                    <w:rPr>
                                      <w:sz w:val="16"/>
                                    </w:rPr>
                                  </w:pPr>
                                  <w:r>
                                    <w:rPr>
                                      <w:color w:val="231F20"/>
                                      <w:sz w:val="16"/>
                                    </w:rPr>
                                    <w:t>Head,</w:t>
                                  </w:r>
                                  <w:r>
                                    <w:rPr>
                                      <w:color w:val="231F20"/>
                                      <w:spacing w:val="8"/>
                                      <w:sz w:val="16"/>
                                    </w:rPr>
                                    <w:t> </w:t>
                                  </w:r>
                                  <w:r>
                                    <w:rPr>
                                      <w:color w:val="231F20"/>
                                      <w:sz w:val="16"/>
                                    </w:rPr>
                                    <w:t>limbs</w:t>
                                  </w:r>
                                  <w:r>
                                    <w:rPr>
                                      <w:color w:val="231F20"/>
                                      <w:spacing w:val="9"/>
                                      <w:sz w:val="16"/>
                                    </w:rPr>
                                    <w:t> </w:t>
                                  </w:r>
                                  <w:r>
                                    <w:rPr>
                                      <w:color w:val="231F20"/>
                                      <w:spacing w:val="-2"/>
                                      <w:sz w:val="16"/>
                                    </w:rPr>
                                    <w:t>(15–20</w:t>
                                  </w:r>
                                  <w:r>
                                    <w:rPr>
                                      <w:rFonts w:ascii="Arial" w:hAnsi="Arial"/>
                                      <w:color w:val="231F20"/>
                                      <w:spacing w:val="-2"/>
                                      <w:sz w:val="16"/>
                                      <w:vertAlign w:val="superscript"/>
                                    </w:rPr>
                                    <w:t>0</w:t>
                                  </w:r>
                                  <w:r>
                                    <w:rPr>
                                      <w:color w:val="231F20"/>
                                      <w:spacing w:val="-2"/>
                                      <w:sz w:val="16"/>
                                      <w:vertAlign w:val="baseline"/>
                                    </w:rPr>
                                    <w:t>)</w:t>
                                  </w:r>
                                </w:p>
                              </w:tc>
                              <w:tc>
                                <w:tcPr>
                                  <w:tcW w:w="1336" w:type="dxa"/>
                                </w:tcPr>
                                <w:p>
                                  <w:pPr>
                                    <w:pStyle w:val="TableParagraph"/>
                                    <w:spacing w:line="171" w:lineRule="exact"/>
                                    <w:ind w:left="144"/>
                                    <w:rPr>
                                      <w:sz w:val="16"/>
                                    </w:rPr>
                                  </w:pPr>
                                  <w:r>
                                    <w:rPr>
                                      <w:color w:val="231F20"/>
                                      <w:sz w:val="16"/>
                                    </w:rPr>
                                    <w:t>Postural,</w:t>
                                  </w:r>
                                  <w:r>
                                    <w:rPr>
                                      <w:color w:val="231F20"/>
                                      <w:spacing w:val="6"/>
                                      <w:sz w:val="16"/>
                                    </w:rPr>
                                    <w:t> </w:t>
                                  </w:r>
                                  <w:r>
                                    <w:rPr>
                                      <w:color w:val="231F20"/>
                                      <w:spacing w:val="-2"/>
                                      <w:sz w:val="16"/>
                                    </w:rPr>
                                    <w:t>kinetic</w:t>
                                  </w:r>
                                </w:p>
                              </w:tc>
                              <w:tc>
                                <w:tcPr>
                                  <w:tcW w:w="1238" w:type="dxa"/>
                                </w:tcPr>
                                <w:p>
                                  <w:pPr>
                                    <w:pStyle w:val="TableParagraph"/>
                                    <w:spacing w:line="171" w:lineRule="exact"/>
                                    <w:ind w:left="145"/>
                                    <w:rPr>
                                      <w:sz w:val="16"/>
                                    </w:rPr>
                                  </w:pPr>
                                  <w:r>
                                    <w:rPr>
                                      <w:color w:val="231F20"/>
                                      <w:sz w:val="16"/>
                                    </w:rPr>
                                    <w:t>Basal</w:t>
                                  </w:r>
                                  <w:r>
                                    <w:rPr>
                                      <w:color w:val="231F20"/>
                                      <w:spacing w:val="8"/>
                                      <w:sz w:val="16"/>
                                    </w:rPr>
                                    <w:t> </w:t>
                                  </w:r>
                                  <w:r>
                                    <w:rPr>
                                      <w:color w:val="231F20"/>
                                      <w:spacing w:val="-2"/>
                                      <w:sz w:val="16"/>
                                    </w:rPr>
                                    <w:t>ganglia,</w:t>
                                  </w:r>
                                </w:p>
                              </w:tc>
                              <w:tc>
                                <w:tcPr>
                                  <w:tcW w:w="1736" w:type="dxa"/>
                                </w:tcPr>
                                <w:p>
                                  <w:pPr>
                                    <w:pStyle w:val="TableParagraph"/>
                                    <w:spacing w:line="171" w:lineRule="exact"/>
                                    <w:ind w:left="179"/>
                                    <w:rPr>
                                      <w:sz w:val="16"/>
                                    </w:rPr>
                                  </w:pPr>
                                  <w:r>
                                    <w:rPr>
                                      <w:color w:val="231F20"/>
                                      <w:spacing w:val="-2"/>
                                      <w:sz w:val="16"/>
                                    </w:rPr>
                                    <w:t>Yearly/Spontaneous</w:t>
                                  </w:r>
                                </w:p>
                              </w:tc>
                            </w:tr>
                            <w:tr>
                              <w:trPr>
                                <w:trHeight w:val="179" w:hRule="atLeast"/>
                              </w:trPr>
                              <w:tc>
                                <w:tcPr>
                                  <w:tcW w:w="1020" w:type="dxa"/>
                                </w:tcPr>
                                <w:p>
                                  <w:pPr>
                                    <w:pStyle w:val="TableParagraph"/>
                                    <w:rPr>
                                      <w:sz w:val="12"/>
                                    </w:rPr>
                                  </w:pPr>
                                </w:p>
                              </w:tc>
                              <w:tc>
                                <w:tcPr>
                                  <w:tcW w:w="1126" w:type="dxa"/>
                                </w:tcPr>
                                <w:p>
                                  <w:pPr>
                                    <w:pStyle w:val="TableParagraph"/>
                                    <w:rPr>
                                      <w:sz w:val="12"/>
                                    </w:rPr>
                                  </w:pPr>
                                </w:p>
                              </w:tc>
                              <w:tc>
                                <w:tcPr>
                                  <w:tcW w:w="1369" w:type="dxa"/>
                                </w:tcPr>
                                <w:p>
                                  <w:pPr>
                                    <w:pStyle w:val="TableParagraph"/>
                                    <w:spacing w:line="159" w:lineRule="exact"/>
                                    <w:ind w:left="313"/>
                                    <w:rPr>
                                      <w:sz w:val="16"/>
                                    </w:rPr>
                                  </w:pPr>
                                  <w:r>
                                    <w:rPr>
                                      <w:color w:val="231F20"/>
                                      <w:spacing w:val="-2"/>
                                      <w:sz w:val="16"/>
                                    </w:rPr>
                                    <w:t>emotional</w:t>
                                  </w:r>
                                </w:p>
                              </w:tc>
                              <w:tc>
                                <w:tcPr>
                                  <w:tcW w:w="1776" w:type="dxa"/>
                                </w:tcPr>
                                <w:p>
                                  <w:pPr>
                                    <w:pStyle w:val="TableParagraph"/>
                                    <w:rPr>
                                      <w:sz w:val="12"/>
                                    </w:rPr>
                                  </w:pPr>
                                </w:p>
                              </w:tc>
                              <w:tc>
                                <w:tcPr>
                                  <w:tcW w:w="1336" w:type="dxa"/>
                                </w:tcPr>
                                <w:p>
                                  <w:pPr>
                                    <w:pStyle w:val="TableParagraph"/>
                                    <w:spacing w:line="159" w:lineRule="exact"/>
                                    <w:ind w:left="313"/>
                                    <w:rPr>
                                      <w:sz w:val="16"/>
                                    </w:rPr>
                                  </w:pPr>
                                  <w:r>
                                    <w:rPr>
                                      <w:color w:val="231F20"/>
                                      <w:spacing w:val="-2"/>
                                      <w:sz w:val="16"/>
                                    </w:rPr>
                                    <w:t>tremor</w:t>
                                  </w:r>
                                </w:p>
                              </w:tc>
                              <w:tc>
                                <w:tcPr>
                                  <w:tcW w:w="1238" w:type="dxa"/>
                                </w:tcPr>
                                <w:p>
                                  <w:pPr>
                                    <w:pStyle w:val="TableParagraph"/>
                                    <w:spacing w:line="159" w:lineRule="exact"/>
                                    <w:ind w:left="314"/>
                                    <w:rPr>
                                      <w:sz w:val="16"/>
                                    </w:rPr>
                                  </w:pPr>
                                  <w:r>
                                    <w:rPr>
                                      <w:color w:val="231F20"/>
                                      <w:spacing w:val="-2"/>
                                      <w:sz w:val="16"/>
                                    </w:rPr>
                                    <w:t>cerebellum</w:t>
                                  </w:r>
                                </w:p>
                              </w:tc>
                              <w:tc>
                                <w:tcPr>
                                  <w:tcW w:w="1736" w:type="dxa"/>
                                </w:tcPr>
                                <w:p>
                                  <w:pPr>
                                    <w:pStyle w:val="TableParagraph"/>
                                    <w:spacing w:line="159" w:lineRule="exact"/>
                                    <w:ind w:left="349" w:right="-15"/>
                                    <w:rPr>
                                      <w:sz w:val="16"/>
                                    </w:rPr>
                                  </w:pPr>
                                  <w:r>
                                    <w:rPr>
                                      <w:color w:val="231F20"/>
                                      <w:sz w:val="16"/>
                                    </w:rPr>
                                    <w:t>remission</w:t>
                                  </w:r>
                                  <w:r>
                                    <w:rPr>
                                      <w:color w:val="231F20"/>
                                      <w:spacing w:val="8"/>
                                      <w:sz w:val="16"/>
                                    </w:rPr>
                                    <w:t> </w:t>
                                  </w:r>
                                  <w:r>
                                    <w:rPr>
                                      <w:color w:val="231F20"/>
                                      <w:sz w:val="16"/>
                                    </w:rPr>
                                    <w:t>at</w:t>
                                  </w:r>
                                  <w:r>
                                    <w:rPr>
                                      <w:color w:val="231F20"/>
                                      <w:spacing w:val="9"/>
                                      <w:sz w:val="16"/>
                                    </w:rPr>
                                    <w:t> </w:t>
                                  </w:r>
                                  <w:r>
                                    <w:rPr>
                                      <w:color w:val="231F20"/>
                                      <w:sz w:val="16"/>
                                    </w:rPr>
                                    <w:t>30</w:t>
                                  </w:r>
                                  <w:r>
                                    <w:rPr>
                                      <w:color w:val="231F20"/>
                                      <w:spacing w:val="10"/>
                                      <w:sz w:val="16"/>
                                    </w:rPr>
                                    <w:t> </w:t>
                                  </w:r>
                                  <w:r>
                                    <w:rPr>
                                      <w:color w:val="231F20"/>
                                      <w:spacing w:val="-4"/>
                                      <w:sz w:val="16"/>
                                    </w:rPr>
                                    <w:t>years</w:t>
                                  </w:r>
                                </w:p>
                              </w:tc>
                            </w:tr>
                            <w:tr>
                              <w:trPr>
                                <w:trHeight w:val="179" w:hRule="atLeast"/>
                              </w:trPr>
                              <w:tc>
                                <w:tcPr>
                                  <w:tcW w:w="1020" w:type="dxa"/>
                                </w:tcPr>
                                <w:p>
                                  <w:pPr>
                                    <w:pStyle w:val="TableParagraph"/>
                                    <w:rPr>
                                      <w:sz w:val="12"/>
                                    </w:rPr>
                                  </w:pPr>
                                </w:p>
                              </w:tc>
                              <w:tc>
                                <w:tcPr>
                                  <w:tcW w:w="1126" w:type="dxa"/>
                                </w:tcPr>
                                <w:p>
                                  <w:pPr>
                                    <w:pStyle w:val="TableParagraph"/>
                                    <w:rPr>
                                      <w:sz w:val="12"/>
                                    </w:rPr>
                                  </w:pPr>
                                </w:p>
                              </w:tc>
                              <w:tc>
                                <w:tcPr>
                                  <w:tcW w:w="1369" w:type="dxa"/>
                                </w:tcPr>
                                <w:p>
                                  <w:pPr>
                                    <w:pStyle w:val="TableParagraph"/>
                                    <w:spacing w:line="159" w:lineRule="exact"/>
                                    <w:ind w:left="313"/>
                                    <w:rPr>
                                      <w:sz w:val="16"/>
                                    </w:rPr>
                                  </w:pPr>
                                  <w:r>
                                    <w:rPr>
                                      <w:color w:val="231F20"/>
                                      <w:spacing w:val="-2"/>
                                      <w:sz w:val="16"/>
                                    </w:rPr>
                                    <w:t>stress</w:t>
                                  </w:r>
                                </w:p>
                              </w:tc>
                              <w:tc>
                                <w:tcPr>
                                  <w:tcW w:w="1776" w:type="dxa"/>
                                </w:tcPr>
                                <w:p>
                                  <w:pPr>
                                    <w:pStyle w:val="TableParagraph"/>
                                    <w:rPr>
                                      <w:sz w:val="12"/>
                                    </w:rPr>
                                  </w:pPr>
                                </w:p>
                              </w:tc>
                              <w:tc>
                                <w:tcPr>
                                  <w:tcW w:w="1336" w:type="dxa"/>
                                </w:tcPr>
                                <w:p>
                                  <w:pPr>
                                    <w:pStyle w:val="TableParagraph"/>
                                    <w:rPr>
                                      <w:sz w:val="12"/>
                                    </w:rPr>
                                  </w:pPr>
                                </w:p>
                              </w:tc>
                              <w:tc>
                                <w:tcPr>
                                  <w:tcW w:w="1238" w:type="dxa"/>
                                </w:tcPr>
                                <w:p>
                                  <w:pPr>
                                    <w:pStyle w:val="TableParagraph"/>
                                    <w:rPr>
                                      <w:sz w:val="12"/>
                                    </w:rPr>
                                  </w:pPr>
                                </w:p>
                              </w:tc>
                              <w:tc>
                                <w:tcPr>
                                  <w:tcW w:w="1736" w:type="dxa"/>
                                </w:tcPr>
                                <w:p>
                                  <w:pPr>
                                    <w:pStyle w:val="TableParagraph"/>
                                    <w:rPr>
                                      <w:sz w:val="12"/>
                                    </w:rPr>
                                  </w:pPr>
                                </w:p>
                              </w:tc>
                            </w:tr>
                            <w:tr>
                              <w:trPr>
                                <w:trHeight w:val="219" w:hRule="atLeast"/>
                              </w:trPr>
                              <w:tc>
                                <w:tcPr>
                                  <w:tcW w:w="1020" w:type="dxa"/>
                                </w:tcPr>
                                <w:p>
                                  <w:pPr>
                                    <w:pStyle w:val="TableParagraph"/>
                                    <w:spacing w:line="168" w:lineRule="exact"/>
                                    <w:ind w:left="-1"/>
                                    <w:rPr>
                                      <w:sz w:val="16"/>
                                    </w:rPr>
                                  </w:pPr>
                                  <w:r>
                                    <w:rPr>
                                      <w:color w:val="231F20"/>
                                      <w:spacing w:val="-2"/>
                                      <w:sz w:val="16"/>
                                    </w:rPr>
                                    <w:t>III:2/39/M</w:t>
                                  </w:r>
                                </w:p>
                              </w:tc>
                              <w:tc>
                                <w:tcPr>
                                  <w:tcW w:w="1126" w:type="dxa"/>
                                </w:tcPr>
                                <w:p>
                                  <w:pPr>
                                    <w:pStyle w:val="TableParagraph"/>
                                    <w:spacing w:line="168" w:lineRule="exact"/>
                                    <w:jc w:val="center"/>
                                    <w:rPr>
                                      <w:sz w:val="16"/>
                                    </w:rPr>
                                  </w:pPr>
                                  <w:r>
                                    <w:rPr>
                                      <w:color w:val="231F20"/>
                                      <w:sz w:val="16"/>
                                    </w:rPr>
                                    <w:t>4</w:t>
                                  </w:r>
                                  <w:r>
                                    <w:rPr>
                                      <w:color w:val="231F20"/>
                                      <w:spacing w:val="11"/>
                                      <w:sz w:val="16"/>
                                    </w:rPr>
                                    <w:t> </w:t>
                                  </w:r>
                                  <w:r>
                                    <w:rPr>
                                      <w:color w:val="231F20"/>
                                      <w:spacing w:val="-2"/>
                                      <w:sz w:val="16"/>
                                    </w:rPr>
                                    <w:t>years</w:t>
                                  </w:r>
                                </w:p>
                              </w:tc>
                              <w:tc>
                                <w:tcPr>
                                  <w:tcW w:w="1369" w:type="dxa"/>
                                </w:tcPr>
                                <w:p>
                                  <w:pPr>
                                    <w:pStyle w:val="TableParagraph"/>
                                    <w:spacing w:line="168" w:lineRule="exact"/>
                                    <w:ind w:left="144"/>
                                    <w:rPr>
                                      <w:sz w:val="16"/>
                                    </w:rPr>
                                  </w:pPr>
                                  <w:r>
                                    <w:rPr>
                                      <w:color w:val="231F20"/>
                                      <w:sz w:val="16"/>
                                    </w:rPr>
                                    <w:t>Emotional</w:t>
                                  </w:r>
                                  <w:r>
                                    <w:rPr>
                                      <w:color w:val="231F20"/>
                                      <w:spacing w:val="3"/>
                                      <w:sz w:val="16"/>
                                    </w:rPr>
                                    <w:t> </w:t>
                                  </w:r>
                                  <w:r>
                                    <w:rPr>
                                      <w:color w:val="231F20"/>
                                      <w:spacing w:val="-2"/>
                                      <w:sz w:val="16"/>
                                    </w:rPr>
                                    <w:t>stress</w:t>
                                  </w:r>
                                </w:p>
                              </w:tc>
                              <w:tc>
                                <w:tcPr>
                                  <w:tcW w:w="1776" w:type="dxa"/>
                                </w:tcPr>
                                <w:p>
                                  <w:pPr>
                                    <w:pStyle w:val="TableParagraph"/>
                                    <w:spacing w:line="168" w:lineRule="exact"/>
                                    <w:ind w:left="156"/>
                                    <w:rPr>
                                      <w:sz w:val="16"/>
                                    </w:rPr>
                                  </w:pPr>
                                  <w:r>
                                    <w:rPr>
                                      <w:color w:val="231F20"/>
                                      <w:sz w:val="16"/>
                                    </w:rPr>
                                    <w:t>Head,</w:t>
                                  </w:r>
                                  <w:r>
                                    <w:rPr>
                                      <w:color w:val="231F20"/>
                                      <w:spacing w:val="8"/>
                                      <w:sz w:val="16"/>
                                    </w:rPr>
                                    <w:t> </w:t>
                                  </w:r>
                                  <w:r>
                                    <w:rPr>
                                      <w:color w:val="231F20"/>
                                      <w:sz w:val="16"/>
                                    </w:rPr>
                                    <w:t>limbs,</w:t>
                                  </w:r>
                                  <w:r>
                                    <w:rPr>
                                      <w:color w:val="231F20"/>
                                      <w:spacing w:val="8"/>
                                      <w:sz w:val="16"/>
                                    </w:rPr>
                                    <w:t> </w:t>
                                  </w:r>
                                  <w:r>
                                    <w:rPr>
                                      <w:color w:val="231F20"/>
                                      <w:spacing w:val="-5"/>
                                      <w:sz w:val="16"/>
                                    </w:rPr>
                                    <w:t>and</w:t>
                                  </w:r>
                                </w:p>
                              </w:tc>
                              <w:tc>
                                <w:tcPr>
                                  <w:tcW w:w="1336" w:type="dxa"/>
                                </w:tcPr>
                                <w:p>
                                  <w:pPr>
                                    <w:pStyle w:val="TableParagraph"/>
                                    <w:spacing w:line="168" w:lineRule="exact"/>
                                    <w:ind w:left="144"/>
                                    <w:rPr>
                                      <w:sz w:val="16"/>
                                    </w:rPr>
                                  </w:pPr>
                                  <w:r>
                                    <w:rPr>
                                      <w:color w:val="231F20"/>
                                      <w:spacing w:val="-2"/>
                                      <w:sz w:val="16"/>
                                    </w:rPr>
                                    <w:t>Normal</w:t>
                                  </w:r>
                                </w:p>
                              </w:tc>
                              <w:tc>
                                <w:tcPr>
                                  <w:tcW w:w="1238" w:type="dxa"/>
                                </w:tcPr>
                                <w:p>
                                  <w:pPr>
                                    <w:pStyle w:val="TableParagraph"/>
                                    <w:spacing w:line="168" w:lineRule="exact"/>
                                    <w:ind w:left="145"/>
                                    <w:rPr>
                                      <w:sz w:val="16"/>
                                    </w:rPr>
                                  </w:pPr>
                                  <w:r>
                                    <w:rPr>
                                      <w:color w:val="231F20"/>
                                      <w:sz w:val="16"/>
                                    </w:rPr>
                                    <w:t>Basal</w:t>
                                  </w:r>
                                  <w:r>
                                    <w:rPr>
                                      <w:color w:val="231F20"/>
                                      <w:spacing w:val="8"/>
                                      <w:sz w:val="16"/>
                                    </w:rPr>
                                    <w:t> </w:t>
                                  </w:r>
                                  <w:r>
                                    <w:rPr>
                                      <w:color w:val="231F20"/>
                                      <w:spacing w:val="-2"/>
                                      <w:sz w:val="16"/>
                                    </w:rPr>
                                    <w:t>ganglia,</w:t>
                                  </w:r>
                                </w:p>
                              </w:tc>
                              <w:tc>
                                <w:tcPr>
                                  <w:tcW w:w="1736" w:type="dxa"/>
                                </w:tcPr>
                                <w:p>
                                  <w:pPr>
                                    <w:pStyle w:val="TableParagraph"/>
                                    <w:spacing w:line="168" w:lineRule="exact"/>
                                    <w:ind w:left="179"/>
                                    <w:rPr>
                                      <w:sz w:val="16"/>
                                    </w:rPr>
                                  </w:pPr>
                                  <w:r>
                                    <w:rPr>
                                      <w:color w:val="231F20"/>
                                      <w:spacing w:val="-2"/>
                                      <w:sz w:val="16"/>
                                    </w:rPr>
                                    <w:t>Yearly/Spontaneous</w:t>
                                  </w:r>
                                </w:p>
                              </w:tc>
                            </w:tr>
                          </w:tbl>
                          <w:p>
                            <w:pPr>
                              <w:pStyle w:val="BodyText"/>
                            </w:pPr>
                          </w:p>
                        </w:txbxContent>
                      </wps:txbx>
                      <wps:bodyPr wrap="square" lIns="0" tIns="0" rIns="0" bIns="0" rtlCol="0">
                        <a:noAutofit/>
                      </wps:bodyPr>
                    </wps:wsp>
                  </a:graphicData>
                </a:graphic>
              </wp:anchor>
            </w:drawing>
          </mc:Choice>
          <mc:Fallback>
            <w:pict>
              <v:shape style="position:absolute;margin-left:63.841pt;margin-top:-81.193115pt;width:486.2pt;height:84.65pt;mso-position-horizontal-relative:page;mso-position-vertical-relative:paragraph;z-index:15736832" type="#_x0000_t202" id="docshape1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0"/>
                        <w:gridCol w:w="1126"/>
                        <w:gridCol w:w="1369"/>
                        <w:gridCol w:w="1776"/>
                        <w:gridCol w:w="1336"/>
                        <w:gridCol w:w="1238"/>
                        <w:gridCol w:w="1736"/>
                      </w:tblGrid>
                      <w:tr>
                        <w:trPr>
                          <w:trHeight w:val="672" w:hRule="atLeast"/>
                        </w:trPr>
                        <w:tc>
                          <w:tcPr>
                            <w:tcW w:w="1020" w:type="dxa"/>
                            <w:tcBorders>
                              <w:top w:val="single" w:sz="12" w:space="0" w:color="231F20"/>
                              <w:bottom w:val="single" w:sz="4" w:space="0" w:color="231F20"/>
                            </w:tcBorders>
                          </w:tcPr>
                          <w:p>
                            <w:pPr>
                              <w:pStyle w:val="TableParagraph"/>
                              <w:rPr>
                                <w:i/>
                                <w:sz w:val="16"/>
                              </w:rPr>
                            </w:pPr>
                          </w:p>
                          <w:p>
                            <w:pPr>
                              <w:pStyle w:val="TableParagraph"/>
                              <w:spacing w:before="45"/>
                              <w:rPr>
                                <w:i/>
                                <w:sz w:val="16"/>
                              </w:rPr>
                            </w:pPr>
                          </w:p>
                          <w:p>
                            <w:pPr>
                              <w:pStyle w:val="TableParagraph"/>
                              <w:spacing w:before="1"/>
                              <w:ind w:left="-1"/>
                              <w:rPr>
                                <w:sz w:val="16"/>
                              </w:rPr>
                            </w:pPr>
                            <w:r>
                              <w:rPr>
                                <w:color w:val="231F20"/>
                                <w:sz w:val="16"/>
                              </w:rPr>
                              <w:t>Pt</w:t>
                            </w:r>
                            <w:r>
                              <w:rPr>
                                <w:color w:val="231F20"/>
                                <w:spacing w:val="11"/>
                                <w:sz w:val="16"/>
                              </w:rPr>
                              <w:t> </w:t>
                            </w:r>
                            <w:r>
                              <w:rPr>
                                <w:color w:val="231F20"/>
                                <w:spacing w:val="-2"/>
                                <w:sz w:val="16"/>
                              </w:rPr>
                              <w:t>ID/age/sex</w:t>
                            </w:r>
                          </w:p>
                        </w:tc>
                        <w:tc>
                          <w:tcPr>
                            <w:tcW w:w="1126" w:type="dxa"/>
                            <w:tcBorders>
                              <w:top w:val="single" w:sz="12" w:space="0" w:color="231F20"/>
                              <w:bottom w:val="single" w:sz="4" w:space="0" w:color="231F20"/>
                            </w:tcBorders>
                          </w:tcPr>
                          <w:p>
                            <w:pPr>
                              <w:pStyle w:val="TableParagraph"/>
                              <w:rPr>
                                <w:i/>
                                <w:sz w:val="16"/>
                              </w:rPr>
                            </w:pPr>
                          </w:p>
                          <w:p>
                            <w:pPr>
                              <w:pStyle w:val="TableParagraph"/>
                              <w:spacing w:before="45"/>
                              <w:rPr>
                                <w:i/>
                                <w:sz w:val="16"/>
                              </w:rPr>
                            </w:pPr>
                          </w:p>
                          <w:p>
                            <w:pPr>
                              <w:pStyle w:val="TableParagraph"/>
                              <w:spacing w:before="1"/>
                              <w:jc w:val="center"/>
                              <w:rPr>
                                <w:sz w:val="16"/>
                              </w:rPr>
                            </w:pPr>
                            <w:r>
                              <w:rPr>
                                <w:color w:val="231F20"/>
                                <w:sz w:val="16"/>
                              </w:rPr>
                              <w:t>Age</w:t>
                            </w:r>
                            <w:r>
                              <w:rPr>
                                <w:color w:val="231F20"/>
                                <w:spacing w:val="10"/>
                                <w:sz w:val="16"/>
                              </w:rPr>
                              <w:t> </w:t>
                            </w:r>
                            <w:r>
                              <w:rPr>
                                <w:color w:val="231F20"/>
                                <w:sz w:val="16"/>
                              </w:rPr>
                              <w:t>of</w:t>
                            </w:r>
                            <w:r>
                              <w:rPr>
                                <w:color w:val="231F20"/>
                                <w:spacing w:val="11"/>
                                <w:sz w:val="16"/>
                              </w:rPr>
                              <w:t> </w:t>
                            </w:r>
                            <w:r>
                              <w:rPr>
                                <w:color w:val="231F20"/>
                                <w:spacing w:val="-2"/>
                                <w:sz w:val="16"/>
                              </w:rPr>
                              <w:t>onset</w:t>
                            </w:r>
                          </w:p>
                        </w:tc>
                        <w:tc>
                          <w:tcPr>
                            <w:tcW w:w="1369" w:type="dxa"/>
                            <w:tcBorders>
                              <w:top w:val="single" w:sz="12" w:space="0" w:color="231F20"/>
                              <w:bottom w:val="single" w:sz="4" w:space="0" w:color="231F20"/>
                            </w:tcBorders>
                          </w:tcPr>
                          <w:p>
                            <w:pPr>
                              <w:pStyle w:val="TableParagraph"/>
                              <w:spacing w:before="52"/>
                              <w:rPr>
                                <w:i/>
                                <w:sz w:val="16"/>
                              </w:rPr>
                            </w:pPr>
                          </w:p>
                          <w:p>
                            <w:pPr>
                              <w:pStyle w:val="TableParagraph"/>
                              <w:spacing w:line="235" w:lineRule="auto"/>
                              <w:ind w:left="474" w:hanging="192"/>
                              <w:rPr>
                                <w:sz w:val="16"/>
                              </w:rPr>
                            </w:pPr>
                            <w:r>
                              <w:rPr>
                                <w:color w:val="231F20"/>
                                <w:spacing w:val="-2"/>
                                <w:sz w:val="16"/>
                              </w:rPr>
                              <w:t>Precipitating</w:t>
                            </w:r>
                            <w:r>
                              <w:rPr>
                                <w:color w:val="231F20"/>
                                <w:spacing w:val="40"/>
                                <w:sz w:val="16"/>
                              </w:rPr>
                              <w:t> </w:t>
                            </w:r>
                            <w:r>
                              <w:rPr>
                                <w:color w:val="231F20"/>
                                <w:spacing w:val="-2"/>
                                <w:sz w:val="16"/>
                              </w:rPr>
                              <w:t>factors</w:t>
                            </w:r>
                          </w:p>
                        </w:tc>
                        <w:tc>
                          <w:tcPr>
                            <w:tcW w:w="1776" w:type="dxa"/>
                            <w:tcBorders>
                              <w:top w:val="single" w:sz="12" w:space="0" w:color="231F20"/>
                              <w:bottom w:val="single" w:sz="4" w:space="0" w:color="231F20"/>
                            </w:tcBorders>
                          </w:tcPr>
                          <w:p>
                            <w:pPr>
                              <w:pStyle w:val="TableParagraph"/>
                              <w:spacing w:before="52"/>
                              <w:rPr>
                                <w:i/>
                                <w:sz w:val="16"/>
                              </w:rPr>
                            </w:pPr>
                          </w:p>
                          <w:p>
                            <w:pPr>
                              <w:pStyle w:val="TableParagraph"/>
                              <w:spacing w:line="235" w:lineRule="auto"/>
                              <w:ind w:left="575" w:hanging="420"/>
                              <w:rPr>
                                <w:sz w:val="16"/>
                              </w:rPr>
                            </w:pPr>
                            <w:r>
                              <w:rPr>
                                <w:color w:val="231F20"/>
                                <w:sz w:val="16"/>
                              </w:rPr>
                              <w:t>Body</w:t>
                            </w:r>
                            <w:r>
                              <w:rPr>
                                <w:color w:val="231F20"/>
                                <w:spacing w:val="-7"/>
                                <w:sz w:val="16"/>
                              </w:rPr>
                              <w:t> </w:t>
                            </w:r>
                            <w:r>
                              <w:rPr>
                                <w:color w:val="231F20"/>
                                <w:sz w:val="16"/>
                              </w:rPr>
                              <w:t>regions</w:t>
                            </w:r>
                            <w:r>
                              <w:rPr>
                                <w:color w:val="231F20"/>
                                <w:spacing w:val="-7"/>
                                <w:sz w:val="16"/>
                              </w:rPr>
                              <w:t> </w:t>
                            </w:r>
                            <w:r>
                              <w:rPr>
                                <w:color w:val="231F20"/>
                                <w:sz w:val="16"/>
                              </w:rPr>
                              <w:t>involved</w:t>
                            </w:r>
                            <w:r>
                              <w:rPr>
                                <w:color w:val="231F20"/>
                                <w:spacing w:val="40"/>
                                <w:sz w:val="16"/>
                              </w:rPr>
                              <w:t> </w:t>
                            </w:r>
                            <w:r>
                              <w:rPr>
                                <w:color w:val="231F20"/>
                                <w:spacing w:val="-2"/>
                                <w:sz w:val="16"/>
                              </w:rPr>
                              <w:t>(duration)</w:t>
                            </w:r>
                          </w:p>
                        </w:tc>
                        <w:tc>
                          <w:tcPr>
                            <w:tcW w:w="1336" w:type="dxa"/>
                            <w:tcBorders>
                              <w:top w:val="single" w:sz="12" w:space="0" w:color="231F20"/>
                              <w:bottom w:val="single" w:sz="4" w:space="0" w:color="231F20"/>
                            </w:tcBorders>
                          </w:tcPr>
                          <w:p>
                            <w:pPr>
                              <w:pStyle w:val="TableParagraph"/>
                              <w:spacing w:before="52"/>
                              <w:rPr>
                                <w:i/>
                                <w:sz w:val="16"/>
                              </w:rPr>
                            </w:pPr>
                          </w:p>
                          <w:p>
                            <w:pPr>
                              <w:pStyle w:val="TableParagraph"/>
                              <w:spacing w:line="235" w:lineRule="auto"/>
                              <w:ind w:left="275" w:hanging="22"/>
                              <w:rPr>
                                <w:sz w:val="16"/>
                              </w:rPr>
                            </w:pPr>
                            <w:r>
                              <w:rPr>
                                <w:color w:val="231F20"/>
                                <w:spacing w:val="-2"/>
                                <w:sz w:val="16"/>
                              </w:rPr>
                              <w:t>Neurological</w:t>
                            </w:r>
                            <w:r>
                              <w:rPr>
                                <w:color w:val="231F20"/>
                                <w:spacing w:val="40"/>
                                <w:sz w:val="16"/>
                              </w:rPr>
                              <w:t> </w:t>
                            </w:r>
                            <w:r>
                              <w:rPr>
                                <w:color w:val="231F20"/>
                                <w:spacing w:val="-2"/>
                                <w:sz w:val="16"/>
                              </w:rPr>
                              <w:t>examination</w:t>
                            </w:r>
                          </w:p>
                        </w:tc>
                        <w:tc>
                          <w:tcPr>
                            <w:tcW w:w="1238" w:type="dxa"/>
                            <w:tcBorders>
                              <w:top w:val="single" w:sz="12" w:space="0" w:color="231F20"/>
                              <w:bottom w:val="single" w:sz="4" w:space="0" w:color="231F20"/>
                            </w:tcBorders>
                          </w:tcPr>
                          <w:p>
                            <w:pPr>
                              <w:pStyle w:val="TableParagraph"/>
                              <w:spacing w:line="235" w:lineRule="auto" w:before="57"/>
                              <w:ind w:left="216" w:right="176"/>
                              <w:jc w:val="center"/>
                              <w:rPr>
                                <w:sz w:val="16"/>
                              </w:rPr>
                            </w:pPr>
                            <w:r>
                              <w:rPr>
                                <w:color w:val="231F20"/>
                                <w:spacing w:val="-2"/>
                                <w:sz w:val="16"/>
                              </w:rPr>
                              <w:t>Intracranial</w:t>
                            </w:r>
                            <w:r>
                              <w:rPr>
                                <w:color w:val="231F20"/>
                                <w:spacing w:val="40"/>
                                <w:sz w:val="16"/>
                              </w:rPr>
                              <w:t> </w:t>
                            </w:r>
                            <w:r>
                              <w:rPr>
                                <w:color w:val="231F20"/>
                                <w:spacing w:val="-2"/>
                                <w:sz w:val="16"/>
                              </w:rPr>
                              <w:t>calciﬁcations</w:t>
                            </w:r>
                            <w:r>
                              <w:rPr>
                                <w:color w:val="231F20"/>
                                <w:spacing w:val="40"/>
                                <w:sz w:val="16"/>
                              </w:rPr>
                              <w:t> </w:t>
                            </w:r>
                            <w:r>
                              <w:rPr>
                                <w:color w:val="231F20"/>
                                <w:spacing w:val="-2"/>
                                <w:sz w:val="16"/>
                              </w:rPr>
                              <w:t>distribution</w:t>
                            </w:r>
                          </w:p>
                        </w:tc>
                        <w:tc>
                          <w:tcPr>
                            <w:tcW w:w="1736" w:type="dxa"/>
                            <w:tcBorders>
                              <w:top w:val="single" w:sz="12" w:space="0" w:color="231F20"/>
                              <w:bottom w:val="single" w:sz="4" w:space="0" w:color="231F20"/>
                            </w:tcBorders>
                          </w:tcPr>
                          <w:p>
                            <w:pPr>
                              <w:pStyle w:val="TableParagraph"/>
                              <w:spacing w:before="52"/>
                              <w:rPr>
                                <w:i/>
                                <w:sz w:val="16"/>
                              </w:rPr>
                            </w:pPr>
                          </w:p>
                          <w:p>
                            <w:pPr>
                              <w:pStyle w:val="TableParagraph"/>
                              <w:spacing w:line="235" w:lineRule="auto"/>
                              <w:ind w:left="423" w:hanging="17"/>
                              <w:rPr>
                                <w:sz w:val="16"/>
                              </w:rPr>
                            </w:pPr>
                            <w:r>
                              <w:rPr>
                                <w:color w:val="231F20"/>
                                <w:sz w:val="16"/>
                              </w:rPr>
                              <w:t>Frequency</w:t>
                            </w:r>
                            <w:r>
                              <w:rPr>
                                <w:color w:val="231F20"/>
                                <w:spacing w:val="-7"/>
                                <w:sz w:val="16"/>
                              </w:rPr>
                              <w:t> </w:t>
                            </w:r>
                            <w:r>
                              <w:rPr>
                                <w:color w:val="231F20"/>
                                <w:sz w:val="16"/>
                              </w:rPr>
                              <w:t>of</w:t>
                            </w:r>
                            <w:r>
                              <w:rPr>
                                <w:color w:val="231F20"/>
                                <w:spacing w:val="-6"/>
                                <w:sz w:val="16"/>
                              </w:rPr>
                              <w:t> </w:t>
                            </w:r>
                            <w:r>
                              <w:rPr>
                                <w:color w:val="231F20"/>
                                <w:sz w:val="16"/>
                              </w:rPr>
                              <w:t>the</w:t>
                            </w:r>
                            <w:r>
                              <w:rPr>
                                <w:color w:val="231F20"/>
                                <w:spacing w:val="40"/>
                                <w:sz w:val="16"/>
                              </w:rPr>
                              <w:t> </w:t>
                            </w:r>
                            <w:r>
                              <w:rPr>
                                <w:color w:val="231F20"/>
                                <w:spacing w:val="-2"/>
                                <w:sz w:val="16"/>
                              </w:rPr>
                              <w:t>attacks/Outcome</w:t>
                            </w:r>
                          </w:p>
                        </w:tc>
                      </w:tr>
                      <w:tr>
                        <w:trPr>
                          <w:trHeight w:val="214" w:hRule="atLeast"/>
                        </w:trPr>
                        <w:tc>
                          <w:tcPr>
                            <w:tcW w:w="1020" w:type="dxa"/>
                            <w:tcBorders>
                              <w:top w:val="single" w:sz="4" w:space="0" w:color="231F20"/>
                            </w:tcBorders>
                          </w:tcPr>
                          <w:p>
                            <w:pPr>
                              <w:pStyle w:val="TableParagraph"/>
                              <w:spacing w:line="164" w:lineRule="exact" w:before="30"/>
                              <w:ind w:left="-1"/>
                              <w:rPr>
                                <w:sz w:val="16"/>
                              </w:rPr>
                            </w:pPr>
                            <w:r>
                              <w:rPr>
                                <w:color w:val="231F20"/>
                                <w:spacing w:val="-2"/>
                                <w:sz w:val="16"/>
                              </w:rPr>
                              <w:t>I:2/82/M</w:t>
                            </w:r>
                          </w:p>
                        </w:tc>
                        <w:tc>
                          <w:tcPr>
                            <w:tcW w:w="1126" w:type="dxa"/>
                            <w:tcBorders>
                              <w:top w:val="single" w:sz="4" w:space="0" w:color="231F20"/>
                            </w:tcBorders>
                          </w:tcPr>
                          <w:p>
                            <w:pPr>
                              <w:pStyle w:val="TableParagraph"/>
                              <w:spacing w:line="164" w:lineRule="exact" w:before="30"/>
                              <w:jc w:val="center"/>
                              <w:rPr>
                                <w:sz w:val="16"/>
                              </w:rPr>
                            </w:pPr>
                            <w:r>
                              <w:rPr>
                                <w:color w:val="231F20"/>
                                <w:sz w:val="16"/>
                              </w:rPr>
                              <w:t>70</w:t>
                            </w:r>
                            <w:r>
                              <w:rPr>
                                <w:color w:val="231F20"/>
                                <w:spacing w:val="10"/>
                                <w:sz w:val="16"/>
                              </w:rPr>
                              <w:t> </w:t>
                            </w:r>
                            <w:r>
                              <w:rPr>
                                <w:color w:val="231F20"/>
                                <w:spacing w:val="-2"/>
                                <w:sz w:val="16"/>
                              </w:rPr>
                              <w:t>years</w:t>
                            </w:r>
                          </w:p>
                        </w:tc>
                        <w:tc>
                          <w:tcPr>
                            <w:tcW w:w="1369" w:type="dxa"/>
                            <w:tcBorders>
                              <w:top w:val="single" w:sz="4" w:space="0" w:color="231F20"/>
                            </w:tcBorders>
                          </w:tcPr>
                          <w:p>
                            <w:pPr>
                              <w:pStyle w:val="TableParagraph"/>
                              <w:spacing w:line="164" w:lineRule="exact" w:before="30"/>
                              <w:ind w:left="144"/>
                              <w:rPr>
                                <w:sz w:val="16"/>
                              </w:rPr>
                            </w:pPr>
                            <w:r>
                              <w:rPr>
                                <w:color w:val="231F20"/>
                                <w:spacing w:val="-2"/>
                                <w:sz w:val="16"/>
                              </w:rPr>
                              <w:t>Fever</w:t>
                            </w:r>
                          </w:p>
                        </w:tc>
                        <w:tc>
                          <w:tcPr>
                            <w:tcW w:w="1776" w:type="dxa"/>
                            <w:tcBorders>
                              <w:top w:val="single" w:sz="4" w:space="0" w:color="231F20"/>
                            </w:tcBorders>
                          </w:tcPr>
                          <w:p>
                            <w:pPr>
                              <w:pStyle w:val="TableParagraph"/>
                              <w:spacing w:line="165" w:lineRule="exact" w:before="29"/>
                              <w:ind w:left="156"/>
                              <w:rPr>
                                <w:sz w:val="16"/>
                              </w:rPr>
                            </w:pPr>
                            <w:r>
                              <w:rPr>
                                <w:color w:val="231F20"/>
                                <w:sz w:val="16"/>
                              </w:rPr>
                              <w:t>Head</w:t>
                            </w:r>
                            <w:r>
                              <w:rPr>
                                <w:color w:val="231F20"/>
                                <w:spacing w:val="8"/>
                                <w:sz w:val="16"/>
                              </w:rPr>
                              <w:t> </w:t>
                            </w:r>
                            <w:r>
                              <w:rPr>
                                <w:color w:val="231F20"/>
                                <w:spacing w:val="-2"/>
                                <w:sz w:val="16"/>
                              </w:rPr>
                              <w:t>(15</w:t>
                            </w:r>
                            <w:r>
                              <w:rPr>
                                <w:rFonts w:ascii="Arial"/>
                                <w:color w:val="231F20"/>
                                <w:spacing w:val="-2"/>
                                <w:sz w:val="16"/>
                                <w:vertAlign w:val="superscript"/>
                              </w:rPr>
                              <w:t>0</w:t>
                            </w:r>
                            <w:r>
                              <w:rPr>
                                <w:color w:val="231F20"/>
                                <w:spacing w:val="-2"/>
                                <w:sz w:val="16"/>
                                <w:vertAlign w:val="baseline"/>
                              </w:rPr>
                              <w:t>)</w:t>
                            </w:r>
                          </w:p>
                        </w:tc>
                        <w:tc>
                          <w:tcPr>
                            <w:tcW w:w="1336" w:type="dxa"/>
                            <w:tcBorders>
                              <w:top w:val="single" w:sz="4" w:space="0" w:color="231F20"/>
                            </w:tcBorders>
                          </w:tcPr>
                          <w:p>
                            <w:pPr>
                              <w:pStyle w:val="TableParagraph"/>
                              <w:spacing w:line="164" w:lineRule="exact" w:before="30"/>
                              <w:ind w:left="144"/>
                              <w:rPr>
                                <w:sz w:val="16"/>
                              </w:rPr>
                            </w:pPr>
                            <w:r>
                              <w:rPr>
                                <w:color w:val="231F20"/>
                                <w:spacing w:val="-2"/>
                                <w:sz w:val="16"/>
                              </w:rPr>
                              <w:t>Normal</w:t>
                            </w:r>
                          </w:p>
                        </w:tc>
                        <w:tc>
                          <w:tcPr>
                            <w:tcW w:w="1238" w:type="dxa"/>
                            <w:tcBorders>
                              <w:top w:val="single" w:sz="4" w:space="0" w:color="231F20"/>
                            </w:tcBorders>
                          </w:tcPr>
                          <w:p>
                            <w:pPr>
                              <w:pStyle w:val="TableParagraph"/>
                              <w:spacing w:line="164" w:lineRule="exact" w:before="30"/>
                              <w:ind w:left="145"/>
                              <w:rPr>
                                <w:sz w:val="16"/>
                              </w:rPr>
                            </w:pPr>
                            <w:r>
                              <w:rPr>
                                <w:color w:val="231F20"/>
                                <w:spacing w:val="-5"/>
                                <w:w w:val="110"/>
                                <w:sz w:val="16"/>
                              </w:rPr>
                              <w:t>ND</w:t>
                            </w:r>
                            <w:r>
                              <w:rPr>
                                <w:color w:val="231F20"/>
                                <w:spacing w:val="-5"/>
                                <w:w w:val="110"/>
                                <w:sz w:val="16"/>
                                <w:vertAlign w:val="superscript"/>
                              </w:rPr>
                              <w:t>a</w:t>
                            </w:r>
                          </w:p>
                        </w:tc>
                        <w:tc>
                          <w:tcPr>
                            <w:tcW w:w="1736" w:type="dxa"/>
                            <w:tcBorders>
                              <w:top w:val="single" w:sz="4" w:space="0" w:color="231F20"/>
                            </w:tcBorders>
                          </w:tcPr>
                          <w:p>
                            <w:pPr>
                              <w:pStyle w:val="TableParagraph"/>
                              <w:spacing w:line="164" w:lineRule="exact" w:before="30"/>
                              <w:ind w:left="179"/>
                              <w:rPr>
                                <w:sz w:val="16"/>
                              </w:rPr>
                            </w:pPr>
                            <w:r>
                              <w:rPr>
                                <w:color w:val="231F20"/>
                                <w:sz w:val="16"/>
                              </w:rPr>
                              <w:t>Single</w:t>
                            </w:r>
                            <w:r>
                              <w:rPr>
                                <w:color w:val="231F20"/>
                                <w:spacing w:val="8"/>
                                <w:sz w:val="16"/>
                              </w:rPr>
                              <w:t> </w:t>
                            </w:r>
                            <w:r>
                              <w:rPr>
                                <w:color w:val="231F20"/>
                                <w:spacing w:val="-2"/>
                                <w:sz w:val="16"/>
                              </w:rPr>
                              <w:t>episode</w:t>
                            </w:r>
                          </w:p>
                        </w:tc>
                      </w:tr>
                      <w:tr>
                        <w:trPr>
                          <w:trHeight w:val="190" w:hRule="atLeast"/>
                        </w:trPr>
                        <w:tc>
                          <w:tcPr>
                            <w:tcW w:w="1020" w:type="dxa"/>
                          </w:tcPr>
                          <w:p>
                            <w:pPr>
                              <w:pStyle w:val="TableParagraph"/>
                              <w:spacing w:line="171" w:lineRule="exact"/>
                              <w:ind w:left="-1"/>
                              <w:rPr>
                                <w:sz w:val="16"/>
                              </w:rPr>
                            </w:pPr>
                            <w:r>
                              <w:rPr>
                                <w:color w:val="231F20"/>
                                <w:spacing w:val="-2"/>
                                <w:sz w:val="16"/>
                              </w:rPr>
                              <w:t>II:3/70/F</w:t>
                            </w:r>
                          </w:p>
                        </w:tc>
                        <w:tc>
                          <w:tcPr>
                            <w:tcW w:w="1126" w:type="dxa"/>
                          </w:tcPr>
                          <w:p>
                            <w:pPr>
                              <w:pStyle w:val="TableParagraph"/>
                              <w:spacing w:line="171" w:lineRule="exact"/>
                              <w:jc w:val="center"/>
                              <w:rPr>
                                <w:sz w:val="16"/>
                              </w:rPr>
                            </w:pPr>
                            <w:r>
                              <w:rPr>
                                <w:color w:val="231F20"/>
                                <w:sz w:val="16"/>
                              </w:rPr>
                              <w:t>4</w:t>
                            </w:r>
                            <w:r>
                              <w:rPr>
                                <w:color w:val="231F20"/>
                                <w:spacing w:val="11"/>
                                <w:sz w:val="16"/>
                              </w:rPr>
                              <w:t> </w:t>
                            </w:r>
                            <w:r>
                              <w:rPr>
                                <w:color w:val="231F20"/>
                                <w:spacing w:val="-2"/>
                                <w:sz w:val="16"/>
                              </w:rPr>
                              <w:t>years</w:t>
                            </w:r>
                          </w:p>
                        </w:tc>
                        <w:tc>
                          <w:tcPr>
                            <w:tcW w:w="1369" w:type="dxa"/>
                          </w:tcPr>
                          <w:p>
                            <w:pPr>
                              <w:pStyle w:val="TableParagraph"/>
                              <w:spacing w:line="171" w:lineRule="exact"/>
                              <w:ind w:left="144"/>
                              <w:rPr>
                                <w:sz w:val="16"/>
                              </w:rPr>
                            </w:pPr>
                            <w:r>
                              <w:rPr>
                                <w:color w:val="231F20"/>
                                <w:spacing w:val="-2"/>
                                <w:sz w:val="16"/>
                              </w:rPr>
                              <w:t>Fasting,</w:t>
                            </w:r>
                          </w:p>
                        </w:tc>
                        <w:tc>
                          <w:tcPr>
                            <w:tcW w:w="1776" w:type="dxa"/>
                          </w:tcPr>
                          <w:p>
                            <w:pPr>
                              <w:pStyle w:val="TableParagraph"/>
                              <w:spacing w:line="171" w:lineRule="exact"/>
                              <w:ind w:left="156"/>
                              <w:rPr>
                                <w:sz w:val="16"/>
                              </w:rPr>
                            </w:pPr>
                            <w:r>
                              <w:rPr>
                                <w:color w:val="231F20"/>
                                <w:sz w:val="16"/>
                              </w:rPr>
                              <w:t>Head,</w:t>
                            </w:r>
                            <w:r>
                              <w:rPr>
                                <w:color w:val="231F20"/>
                                <w:spacing w:val="8"/>
                                <w:sz w:val="16"/>
                              </w:rPr>
                              <w:t> </w:t>
                            </w:r>
                            <w:r>
                              <w:rPr>
                                <w:color w:val="231F20"/>
                                <w:sz w:val="16"/>
                              </w:rPr>
                              <w:t>limbs</w:t>
                            </w:r>
                            <w:r>
                              <w:rPr>
                                <w:color w:val="231F20"/>
                                <w:spacing w:val="9"/>
                                <w:sz w:val="16"/>
                              </w:rPr>
                              <w:t> </w:t>
                            </w:r>
                            <w:r>
                              <w:rPr>
                                <w:color w:val="231F20"/>
                                <w:spacing w:val="-2"/>
                                <w:sz w:val="16"/>
                              </w:rPr>
                              <w:t>(15–20</w:t>
                            </w:r>
                            <w:r>
                              <w:rPr>
                                <w:rFonts w:ascii="Arial" w:hAnsi="Arial"/>
                                <w:color w:val="231F20"/>
                                <w:spacing w:val="-2"/>
                                <w:sz w:val="16"/>
                                <w:vertAlign w:val="superscript"/>
                              </w:rPr>
                              <w:t>0</w:t>
                            </w:r>
                            <w:r>
                              <w:rPr>
                                <w:color w:val="231F20"/>
                                <w:spacing w:val="-2"/>
                                <w:sz w:val="16"/>
                                <w:vertAlign w:val="baseline"/>
                              </w:rPr>
                              <w:t>)</w:t>
                            </w:r>
                          </w:p>
                        </w:tc>
                        <w:tc>
                          <w:tcPr>
                            <w:tcW w:w="1336" w:type="dxa"/>
                          </w:tcPr>
                          <w:p>
                            <w:pPr>
                              <w:pStyle w:val="TableParagraph"/>
                              <w:spacing w:line="171" w:lineRule="exact"/>
                              <w:ind w:left="144"/>
                              <w:rPr>
                                <w:sz w:val="16"/>
                              </w:rPr>
                            </w:pPr>
                            <w:r>
                              <w:rPr>
                                <w:color w:val="231F20"/>
                                <w:sz w:val="16"/>
                              </w:rPr>
                              <w:t>Postural,</w:t>
                            </w:r>
                            <w:r>
                              <w:rPr>
                                <w:color w:val="231F20"/>
                                <w:spacing w:val="6"/>
                                <w:sz w:val="16"/>
                              </w:rPr>
                              <w:t> </w:t>
                            </w:r>
                            <w:r>
                              <w:rPr>
                                <w:color w:val="231F20"/>
                                <w:spacing w:val="-2"/>
                                <w:sz w:val="16"/>
                              </w:rPr>
                              <w:t>kinetic</w:t>
                            </w:r>
                          </w:p>
                        </w:tc>
                        <w:tc>
                          <w:tcPr>
                            <w:tcW w:w="1238" w:type="dxa"/>
                          </w:tcPr>
                          <w:p>
                            <w:pPr>
                              <w:pStyle w:val="TableParagraph"/>
                              <w:spacing w:line="171" w:lineRule="exact"/>
                              <w:ind w:left="145"/>
                              <w:rPr>
                                <w:sz w:val="16"/>
                              </w:rPr>
                            </w:pPr>
                            <w:r>
                              <w:rPr>
                                <w:color w:val="231F20"/>
                                <w:sz w:val="16"/>
                              </w:rPr>
                              <w:t>Basal</w:t>
                            </w:r>
                            <w:r>
                              <w:rPr>
                                <w:color w:val="231F20"/>
                                <w:spacing w:val="8"/>
                                <w:sz w:val="16"/>
                              </w:rPr>
                              <w:t> </w:t>
                            </w:r>
                            <w:r>
                              <w:rPr>
                                <w:color w:val="231F20"/>
                                <w:spacing w:val="-2"/>
                                <w:sz w:val="16"/>
                              </w:rPr>
                              <w:t>ganglia,</w:t>
                            </w:r>
                          </w:p>
                        </w:tc>
                        <w:tc>
                          <w:tcPr>
                            <w:tcW w:w="1736" w:type="dxa"/>
                          </w:tcPr>
                          <w:p>
                            <w:pPr>
                              <w:pStyle w:val="TableParagraph"/>
                              <w:spacing w:line="171" w:lineRule="exact"/>
                              <w:ind w:left="179"/>
                              <w:rPr>
                                <w:sz w:val="16"/>
                              </w:rPr>
                            </w:pPr>
                            <w:r>
                              <w:rPr>
                                <w:color w:val="231F20"/>
                                <w:spacing w:val="-2"/>
                                <w:sz w:val="16"/>
                              </w:rPr>
                              <w:t>Yearly/Spontaneous</w:t>
                            </w:r>
                          </w:p>
                        </w:tc>
                      </w:tr>
                      <w:tr>
                        <w:trPr>
                          <w:trHeight w:val="179" w:hRule="atLeast"/>
                        </w:trPr>
                        <w:tc>
                          <w:tcPr>
                            <w:tcW w:w="1020" w:type="dxa"/>
                          </w:tcPr>
                          <w:p>
                            <w:pPr>
                              <w:pStyle w:val="TableParagraph"/>
                              <w:rPr>
                                <w:sz w:val="12"/>
                              </w:rPr>
                            </w:pPr>
                          </w:p>
                        </w:tc>
                        <w:tc>
                          <w:tcPr>
                            <w:tcW w:w="1126" w:type="dxa"/>
                          </w:tcPr>
                          <w:p>
                            <w:pPr>
                              <w:pStyle w:val="TableParagraph"/>
                              <w:rPr>
                                <w:sz w:val="12"/>
                              </w:rPr>
                            </w:pPr>
                          </w:p>
                        </w:tc>
                        <w:tc>
                          <w:tcPr>
                            <w:tcW w:w="1369" w:type="dxa"/>
                          </w:tcPr>
                          <w:p>
                            <w:pPr>
                              <w:pStyle w:val="TableParagraph"/>
                              <w:spacing w:line="159" w:lineRule="exact"/>
                              <w:ind w:left="313"/>
                              <w:rPr>
                                <w:sz w:val="16"/>
                              </w:rPr>
                            </w:pPr>
                            <w:r>
                              <w:rPr>
                                <w:color w:val="231F20"/>
                                <w:spacing w:val="-2"/>
                                <w:sz w:val="16"/>
                              </w:rPr>
                              <w:t>emotional</w:t>
                            </w:r>
                          </w:p>
                        </w:tc>
                        <w:tc>
                          <w:tcPr>
                            <w:tcW w:w="1776" w:type="dxa"/>
                          </w:tcPr>
                          <w:p>
                            <w:pPr>
                              <w:pStyle w:val="TableParagraph"/>
                              <w:rPr>
                                <w:sz w:val="12"/>
                              </w:rPr>
                            </w:pPr>
                          </w:p>
                        </w:tc>
                        <w:tc>
                          <w:tcPr>
                            <w:tcW w:w="1336" w:type="dxa"/>
                          </w:tcPr>
                          <w:p>
                            <w:pPr>
                              <w:pStyle w:val="TableParagraph"/>
                              <w:spacing w:line="159" w:lineRule="exact"/>
                              <w:ind w:left="313"/>
                              <w:rPr>
                                <w:sz w:val="16"/>
                              </w:rPr>
                            </w:pPr>
                            <w:r>
                              <w:rPr>
                                <w:color w:val="231F20"/>
                                <w:spacing w:val="-2"/>
                                <w:sz w:val="16"/>
                              </w:rPr>
                              <w:t>tremor</w:t>
                            </w:r>
                          </w:p>
                        </w:tc>
                        <w:tc>
                          <w:tcPr>
                            <w:tcW w:w="1238" w:type="dxa"/>
                          </w:tcPr>
                          <w:p>
                            <w:pPr>
                              <w:pStyle w:val="TableParagraph"/>
                              <w:spacing w:line="159" w:lineRule="exact"/>
                              <w:ind w:left="314"/>
                              <w:rPr>
                                <w:sz w:val="16"/>
                              </w:rPr>
                            </w:pPr>
                            <w:r>
                              <w:rPr>
                                <w:color w:val="231F20"/>
                                <w:spacing w:val="-2"/>
                                <w:sz w:val="16"/>
                              </w:rPr>
                              <w:t>cerebellum</w:t>
                            </w:r>
                          </w:p>
                        </w:tc>
                        <w:tc>
                          <w:tcPr>
                            <w:tcW w:w="1736" w:type="dxa"/>
                          </w:tcPr>
                          <w:p>
                            <w:pPr>
                              <w:pStyle w:val="TableParagraph"/>
                              <w:spacing w:line="159" w:lineRule="exact"/>
                              <w:ind w:left="349" w:right="-15"/>
                              <w:rPr>
                                <w:sz w:val="16"/>
                              </w:rPr>
                            </w:pPr>
                            <w:r>
                              <w:rPr>
                                <w:color w:val="231F20"/>
                                <w:sz w:val="16"/>
                              </w:rPr>
                              <w:t>remission</w:t>
                            </w:r>
                            <w:r>
                              <w:rPr>
                                <w:color w:val="231F20"/>
                                <w:spacing w:val="8"/>
                                <w:sz w:val="16"/>
                              </w:rPr>
                              <w:t> </w:t>
                            </w:r>
                            <w:r>
                              <w:rPr>
                                <w:color w:val="231F20"/>
                                <w:sz w:val="16"/>
                              </w:rPr>
                              <w:t>at</w:t>
                            </w:r>
                            <w:r>
                              <w:rPr>
                                <w:color w:val="231F20"/>
                                <w:spacing w:val="9"/>
                                <w:sz w:val="16"/>
                              </w:rPr>
                              <w:t> </w:t>
                            </w:r>
                            <w:r>
                              <w:rPr>
                                <w:color w:val="231F20"/>
                                <w:sz w:val="16"/>
                              </w:rPr>
                              <w:t>30</w:t>
                            </w:r>
                            <w:r>
                              <w:rPr>
                                <w:color w:val="231F20"/>
                                <w:spacing w:val="10"/>
                                <w:sz w:val="16"/>
                              </w:rPr>
                              <w:t> </w:t>
                            </w:r>
                            <w:r>
                              <w:rPr>
                                <w:color w:val="231F20"/>
                                <w:spacing w:val="-4"/>
                                <w:sz w:val="16"/>
                              </w:rPr>
                              <w:t>years</w:t>
                            </w:r>
                          </w:p>
                        </w:tc>
                      </w:tr>
                      <w:tr>
                        <w:trPr>
                          <w:trHeight w:val="179" w:hRule="atLeast"/>
                        </w:trPr>
                        <w:tc>
                          <w:tcPr>
                            <w:tcW w:w="1020" w:type="dxa"/>
                          </w:tcPr>
                          <w:p>
                            <w:pPr>
                              <w:pStyle w:val="TableParagraph"/>
                              <w:rPr>
                                <w:sz w:val="12"/>
                              </w:rPr>
                            </w:pPr>
                          </w:p>
                        </w:tc>
                        <w:tc>
                          <w:tcPr>
                            <w:tcW w:w="1126" w:type="dxa"/>
                          </w:tcPr>
                          <w:p>
                            <w:pPr>
                              <w:pStyle w:val="TableParagraph"/>
                              <w:rPr>
                                <w:sz w:val="12"/>
                              </w:rPr>
                            </w:pPr>
                          </w:p>
                        </w:tc>
                        <w:tc>
                          <w:tcPr>
                            <w:tcW w:w="1369" w:type="dxa"/>
                          </w:tcPr>
                          <w:p>
                            <w:pPr>
                              <w:pStyle w:val="TableParagraph"/>
                              <w:spacing w:line="159" w:lineRule="exact"/>
                              <w:ind w:left="313"/>
                              <w:rPr>
                                <w:sz w:val="16"/>
                              </w:rPr>
                            </w:pPr>
                            <w:r>
                              <w:rPr>
                                <w:color w:val="231F20"/>
                                <w:spacing w:val="-2"/>
                                <w:sz w:val="16"/>
                              </w:rPr>
                              <w:t>stress</w:t>
                            </w:r>
                          </w:p>
                        </w:tc>
                        <w:tc>
                          <w:tcPr>
                            <w:tcW w:w="1776" w:type="dxa"/>
                          </w:tcPr>
                          <w:p>
                            <w:pPr>
                              <w:pStyle w:val="TableParagraph"/>
                              <w:rPr>
                                <w:sz w:val="12"/>
                              </w:rPr>
                            </w:pPr>
                          </w:p>
                        </w:tc>
                        <w:tc>
                          <w:tcPr>
                            <w:tcW w:w="1336" w:type="dxa"/>
                          </w:tcPr>
                          <w:p>
                            <w:pPr>
                              <w:pStyle w:val="TableParagraph"/>
                              <w:rPr>
                                <w:sz w:val="12"/>
                              </w:rPr>
                            </w:pPr>
                          </w:p>
                        </w:tc>
                        <w:tc>
                          <w:tcPr>
                            <w:tcW w:w="1238" w:type="dxa"/>
                          </w:tcPr>
                          <w:p>
                            <w:pPr>
                              <w:pStyle w:val="TableParagraph"/>
                              <w:rPr>
                                <w:sz w:val="12"/>
                              </w:rPr>
                            </w:pPr>
                          </w:p>
                        </w:tc>
                        <w:tc>
                          <w:tcPr>
                            <w:tcW w:w="1736" w:type="dxa"/>
                          </w:tcPr>
                          <w:p>
                            <w:pPr>
                              <w:pStyle w:val="TableParagraph"/>
                              <w:rPr>
                                <w:sz w:val="12"/>
                              </w:rPr>
                            </w:pPr>
                          </w:p>
                        </w:tc>
                      </w:tr>
                      <w:tr>
                        <w:trPr>
                          <w:trHeight w:val="219" w:hRule="atLeast"/>
                        </w:trPr>
                        <w:tc>
                          <w:tcPr>
                            <w:tcW w:w="1020" w:type="dxa"/>
                          </w:tcPr>
                          <w:p>
                            <w:pPr>
                              <w:pStyle w:val="TableParagraph"/>
                              <w:spacing w:line="168" w:lineRule="exact"/>
                              <w:ind w:left="-1"/>
                              <w:rPr>
                                <w:sz w:val="16"/>
                              </w:rPr>
                            </w:pPr>
                            <w:r>
                              <w:rPr>
                                <w:color w:val="231F20"/>
                                <w:spacing w:val="-2"/>
                                <w:sz w:val="16"/>
                              </w:rPr>
                              <w:t>III:2/39/M</w:t>
                            </w:r>
                          </w:p>
                        </w:tc>
                        <w:tc>
                          <w:tcPr>
                            <w:tcW w:w="1126" w:type="dxa"/>
                          </w:tcPr>
                          <w:p>
                            <w:pPr>
                              <w:pStyle w:val="TableParagraph"/>
                              <w:spacing w:line="168" w:lineRule="exact"/>
                              <w:jc w:val="center"/>
                              <w:rPr>
                                <w:sz w:val="16"/>
                              </w:rPr>
                            </w:pPr>
                            <w:r>
                              <w:rPr>
                                <w:color w:val="231F20"/>
                                <w:sz w:val="16"/>
                              </w:rPr>
                              <w:t>4</w:t>
                            </w:r>
                            <w:r>
                              <w:rPr>
                                <w:color w:val="231F20"/>
                                <w:spacing w:val="11"/>
                                <w:sz w:val="16"/>
                              </w:rPr>
                              <w:t> </w:t>
                            </w:r>
                            <w:r>
                              <w:rPr>
                                <w:color w:val="231F20"/>
                                <w:spacing w:val="-2"/>
                                <w:sz w:val="16"/>
                              </w:rPr>
                              <w:t>years</w:t>
                            </w:r>
                          </w:p>
                        </w:tc>
                        <w:tc>
                          <w:tcPr>
                            <w:tcW w:w="1369" w:type="dxa"/>
                          </w:tcPr>
                          <w:p>
                            <w:pPr>
                              <w:pStyle w:val="TableParagraph"/>
                              <w:spacing w:line="168" w:lineRule="exact"/>
                              <w:ind w:left="144"/>
                              <w:rPr>
                                <w:sz w:val="16"/>
                              </w:rPr>
                            </w:pPr>
                            <w:r>
                              <w:rPr>
                                <w:color w:val="231F20"/>
                                <w:sz w:val="16"/>
                              </w:rPr>
                              <w:t>Emotional</w:t>
                            </w:r>
                            <w:r>
                              <w:rPr>
                                <w:color w:val="231F20"/>
                                <w:spacing w:val="3"/>
                                <w:sz w:val="16"/>
                              </w:rPr>
                              <w:t> </w:t>
                            </w:r>
                            <w:r>
                              <w:rPr>
                                <w:color w:val="231F20"/>
                                <w:spacing w:val="-2"/>
                                <w:sz w:val="16"/>
                              </w:rPr>
                              <w:t>stress</w:t>
                            </w:r>
                          </w:p>
                        </w:tc>
                        <w:tc>
                          <w:tcPr>
                            <w:tcW w:w="1776" w:type="dxa"/>
                          </w:tcPr>
                          <w:p>
                            <w:pPr>
                              <w:pStyle w:val="TableParagraph"/>
                              <w:spacing w:line="168" w:lineRule="exact"/>
                              <w:ind w:left="156"/>
                              <w:rPr>
                                <w:sz w:val="16"/>
                              </w:rPr>
                            </w:pPr>
                            <w:r>
                              <w:rPr>
                                <w:color w:val="231F20"/>
                                <w:sz w:val="16"/>
                              </w:rPr>
                              <w:t>Head,</w:t>
                            </w:r>
                            <w:r>
                              <w:rPr>
                                <w:color w:val="231F20"/>
                                <w:spacing w:val="8"/>
                                <w:sz w:val="16"/>
                              </w:rPr>
                              <w:t> </w:t>
                            </w:r>
                            <w:r>
                              <w:rPr>
                                <w:color w:val="231F20"/>
                                <w:sz w:val="16"/>
                              </w:rPr>
                              <w:t>limbs,</w:t>
                            </w:r>
                            <w:r>
                              <w:rPr>
                                <w:color w:val="231F20"/>
                                <w:spacing w:val="8"/>
                                <w:sz w:val="16"/>
                              </w:rPr>
                              <w:t> </w:t>
                            </w:r>
                            <w:r>
                              <w:rPr>
                                <w:color w:val="231F20"/>
                                <w:spacing w:val="-5"/>
                                <w:sz w:val="16"/>
                              </w:rPr>
                              <w:t>and</w:t>
                            </w:r>
                          </w:p>
                        </w:tc>
                        <w:tc>
                          <w:tcPr>
                            <w:tcW w:w="1336" w:type="dxa"/>
                          </w:tcPr>
                          <w:p>
                            <w:pPr>
                              <w:pStyle w:val="TableParagraph"/>
                              <w:spacing w:line="168" w:lineRule="exact"/>
                              <w:ind w:left="144"/>
                              <w:rPr>
                                <w:sz w:val="16"/>
                              </w:rPr>
                            </w:pPr>
                            <w:r>
                              <w:rPr>
                                <w:color w:val="231F20"/>
                                <w:spacing w:val="-2"/>
                                <w:sz w:val="16"/>
                              </w:rPr>
                              <w:t>Normal</w:t>
                            </w:r>
                          </w:p>
                        </w:tc>
                        <w:tc>
                          <w:tcPr>
                            <w:tcW w:w="1238" w:type="dxa"/>
                          </w:tcPr>
                          <w:p>
                            <w:pPr>
                              <w:pStyle w:val="TableParagraph"/>
                              <w:spacing w:line="168" w:lineRule="exact"/>
                              <w:ind w:left="145"/>
                              <w:rPr>
                                <w:sz w:val="16"/>
                              </w:rPr>
                            </w:pPr>
                            <w:r>
                              <w:rPr>
                                <w:color w:val="231F20"/>
                                <w:sz w:val="16"/>
                              </w:rPr>
                              <w:t>Basal</w:t>
                            </w:r>
                            <w:r>
                              <w:rPr>
                                <w:color w:val="231F20"/>
                                <w:spacing w:val="8"/>
                                <w:sz w:val="16"/>
                              </w:rPr>
                              <w:t> </w:t>
                            </w:r>
                            <w:r>
                              <w:rPr>
                                <w:color w:val="231F20"/>
                                <w:spacing w:val="-2"/>
                                <w:sz w:val="16"/>
                              </w:rPr>
                              <w:t>ganglia,</w:t>
                            </w:r>
                          </w:p>
                        </w:tc>
                        <w:tc>
                          <w:tcPr>
                            <w:tcW w:w="1736" w:type="dxa"/>
                          </w:tcPr>
                          <w:p>
                            <w:pPr>
                              <w:pStyle w:val="TableParagraph"/>
                              <w:spacing w:line="168" w:lineRule="exact"/>
                              <w:ind w:left="179"/>
                              <w:rPr>
                                <w:sz w:val="16"/>
                              </w:rPr>
                            </w:pPr>
                            <w:r>
                              <w:rPr>
                                <w:color w:val="231F20"/>
                                <w:spacing w:val="-2"/>
                                <w:sz w:val="16"/>
                              </w:rPr>
                              <w:t>Yearly/Spontaneous</w:t>
                            </w:r>
                          </w:p>
                        </w:tc>
                      </w:tr>
                    </w:tbl>
                    <w:p>
                      <w:pPr>
                        <w:pStyle w:val="BodyText"/>
                      </w:pPr>
                    </w:p>
                  </w:txbxContent>
                </v:textbox>
                <w10:wrap type="none"/>
              </v:shape>
            </w:pict>
          </mc:Fallback>
        </mc:AlternateContent>
      </w:r>
      <w:r>
        <w:rPr>
          <w:color w:val="231F20"/>
          <w:sz w:val="16"/>
        </w:rPr>
        <w:t>trunk</w:t>
      </w:r>
      <w:r>
        <w:rPr>
          <w:color w:val="231F20"/>
          <w:spacing w:val="9"/>
          <w:sz w:val="16"/>
        </w:rPr>
        <w:t> </w:t>
      </w:r>
      <w:r>
        <w:rPr>
          <w:color w:val="231F20"/>
          <w:spacing w:val="-2"/>
          <w:sz w:val="16"/>
        </w:rPr>
        <w:t>(20–30</w:t>
      </w:r>
      <w:r>
        <w:rPr>
          <w:rFonts w:ascii="Arial" w:hAnsi="Arial"/>
          <w:color w:val="231F20"/>
          <w:spacing w:val="-2"/>
          <w:sz w:val="16"/>
          <w:vertAlign w:val="superscript"/>
        </w:rPr>
        <w:t>0</w:t>
      </w:r>
      <w:r>
        <w:rPr>
          <w:color w:val="231F20"/>
          <w:spacing w:val="-2"/>
          <w:sz w:val="16"/>
          <w:vertAlign w:val="baseline"/>
        </w:rPr>
        <w:t>)</w:t>
      </w:r>
    </w:p>
    <w:p>
      <w:pPr>
        <w:spacing w:line="240" w:lineRule="auto" w:before="0"/>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53"/>
        <w:rPr>
          <w:sz w:val="16"/>
        </w:rPr>
      </w:pPr>
    </w:p>
    <w:p>
      <w:pPr>
        <w:spacing w:line="232" w:lineRule="auto" w:before="0"/>
        <w:ind w:left="2128" w:right="0" w:firstLine="0"/>
        <w:jc w:val="left"/>
        <w:rPr>
          <w:sz w:val="16"/>
        </w:rPr>
      </w:pPr>
      <w:r>
        <w:rPr>
          <w:color w:val="231F20"/>
          <w:spacing w:val="-2"/>
          <w:sz w:val="16"/>
        </w:rPr>
        <w:t>cerebral</w:t>
      </w:r>
      <w:r>
        <w:rPr>
          <w:color w:val="231F20"/>
          <w:spacing w:val="40"/>
          <w:sz w:val="16"/>
        </w:rPr>
        <w:t> </w:t>
      </w:r>
      <w:r>
        <w:rPr>
          <w:color w:val="231F20"/>
          <w:sz w:val="16"/>
        </w:rPr>
        <w:t>white</w:t>
      </w:r>
      <w:r>
        <w:rPr>
          <w:color w:val="231F20"/>
          <w:spacing w:val="-6"/>
          <w:sz w:val="16"/>
        </w:rPr>
        <w:t> </w:t>
      </w:r>
      <w:r>
        <w:rPr>
          <w:color w:val="231F20"/>
          <w:sz w:val="16"/>
        </w:rPr>
        <w:t>matter</w:t>
      </w:r>
    </w:p>
    <w:p>
      <w:pPr>
        <w:spacing w:line="240" w:lineRule="auto" w:before="0"/>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49"/>
        <w:rPr>
          <w:sz w:val="16"/>
        </w:rPr>
      </w:pPr>
    </w:p>
    <w:p>
      <w:pPr>
        <w:spacing w:before="0"/>
        <w:ind w:left="415" w:right="0" w:firstLine="0"/>
        <w:jc w:val="left"/>
        <w:rPr>
          <w:sz w:val="16"/>
        </w:rPr>
      </w:pPr>
      <w:r>
        <w:rPr>
          <w:color w:val="231F20"/>
          <w:sz w:val="16"/>
        </w:rPr>
        <w:t>remission</w:t>
      </w:r>
      <w:r>
        <w:rPr>
          <w:color w:val="231F20"/>
          <w:spacing w:val="8"/>
          <w:sz w:val="16"/>
        </w:rPr>
        <w:t> </w:t>
      </w:r>
      <w:r>
        <w:rPr>
          <w:color w:val="231F20"/>
          <w:sz w:val="16"/>
        </w:rPr>
        <w:t>at</w:t>
      </w:r>
      <w:r>
        <w:rPr>
          <w:color w:val="231F20"/>
          <w:spacing w:val="9"/>
          <w:sz w:val="16"/>
        </w:rPr>
        <w:t> </w:t>
      </w:r>
      <w:r>
        <w:rPr>
          <w:color w:val="231F20"/>
          <w:sz w:val="16"/>
        </w:rPr>
        <w:t>33</w:t>
      </w:r>
      <w:r>
        <w:rPr>
          <w:color w:val="231F20"/>
          <w:spacing w:val="10"/>
          <w:sz w:val="16"/>
        </w:rPr>
        <w:t> </w:t>
      </w:r>
      <w:r>
        <w:rPr>
          <w:color w:val="231F20"/>
          <w:spacing w:val="-4"/>
          <w:sz w:val="16"/>
        </w:rPr>
        <w:t>years</w:t>
      </w:r>
    </w:p>
    <w:p>
      <w:pPr>
        <w:spacing w:after="0"/>
        <w:jc w:val="left"/>
        <w:rPr>
          <w:sz w:val="16"/>
        </w:rPr>
        <w:sectPr>
          <w:type w:val="continuous"/>
          <w:pgSz w:w="12240" w:h="16200"/>
          <w:pgMar w:top="1060" w:bottom="280" w:left="1080" w:right="1080"/>
          <w:cols w:num="3" w:equalWidth="0">
            <w:col w:w="5031" w:space="40"/>
            <w:col w:w="2947" w:space="39"/>
            <w:col w:w="2023"/>
          </w:cols>
        </w:sectPr>
      </w:pPr>
    </w:p>
    <w:p>
      <w:pPr>
        <w:tabs>
          <w:tab w:pos="1604" w:val="left" w:leader="none"/>
          <w:tab w:pos="2547" w:val="left" w:leader="none"/>
        </w:tabs>
        <w:spacing w:line="180" w:lineRule="exact" w:before="0"/>
        <w:ind w:left="256" w:right="0" w:firstLine="0"/>
        <w:jc w:val="left"/>
        <w:rPr>
          <w:sz w:val="16"/>
        </w:rPr>
      </w:pPr>
      <w:r>
        <w:rPr>
          <w:color w:val="231F20"/>
          <w:spacing w:val="-2"/>
          <w:sz w:val="16"/>
        </w:rPr>
        <w:t>III:3/37/M</w:t>
      </w:r>
      <w:r>
        <w:rPr>
          <w:color w:val="231F20"/>
          <w:sz w:val="16"/>
        </w:rPr>
        <w:tab/>
        <w:t>6</w:t>
      </w:r>
      <w:r>
        <w:rPr>
          <w:color w:val="231F20"/>
          <w:spacing w:val="11"/>
          <w:sz w:val="16"/>
        </w:rPr>
        <w:t> </w:t>
      </w:r>
      <w:r>
        <w:rPr>
          <w:color w:val="231F20"/>
          <w:spacing w:val="-2"/>
          <w:sz w:val="16"/>
        </w:rPr>
        <w:t>years</w:t>
      </w:r>
      <w:r>
        <w:rPr>
          <w:color w:val="231F20"/>
          <w:sz w:val="16"/>
        </w:rPr>
        <w:tab/>
        <w:t>Fever,</w:t>
      </w:r>
      <w:r>
        <w:rPr>
          <w:color w:val="231F20"/>
          <w:spacing w:val="6"/>
          <w:sz w:val="16"/>
        </w:rPr>
        <w:t> </w:t>
      </w:r>
      <w:r>
        <w:rPr>
          <w:color w:val="231F20"/>
          <w:spacing w:val="-2"/>
          <w:sz w:val="16"/>
        </w:rPr>
        <w:t>emotional</w:t>
      </w:r>
    </w:p>
    <w:p>
      <w:pPr>
        <w:spacing w:line="181" w:lineRule="exact" w:before="0"/>
        <w:ind w:left="2716" w:right="0" w:firstLine="0"/>
        <w:jc w:val="left"/>
        <w:rPr>
          <w:sz w:val="16"/>
        </w:rPr>
      </w:pPr>
      <w:r>
        <w:rPr>
          <w:color w:val="231F20"/>
          <w:spacing w:val="-2"/>
          <w:sz w:val="16"/>
        </w:rPr>
        <w:t>stress</w:t>
      </w:r>
    </w:p>
    <w:p>
      <w:pPr>
        <w:tabs>
          <w:tab w:pos="2010" w:val="left" w:leader="none"/>
          <w:tab w:pos="3346" w:val="left" w:leader="none"/>
          <w:tab w:pos="4619" w:val="left" w:leader="none"/>
        </w:tabs>
        <w:spacing w:line="182" w:lineRule="exact" w:before="0"/>
        <w:ind w:left="245" w:right="0" w:firstLine="0"/>
        <w:jc w:val="left"/>
        <w:rPr>
          <w:sz w:val="16"/>
        </w:rPr>
      </w:pPr>
      <w:r>
        <w:rPr/>
        <w:br w:type="column"/>
      </w:r>
      <w:r>
        <w:rPr>
          <w:color w:val="231F20"/>
          <w:sz w:val="16"/>
        </w:rPr>
        <w:t>Head,</w:t>
      </w:r>
      <w:r>
        <w:rPr>
          <w:color w:val="231F20"/>
          <w:spacing w:val="8"/>
          <w:sz w:val="16"/>
        </w:rPr>
        <w:t> </w:t>
      </w:r>
      <w:r>
        <w:rPr>
          <w:color w:val="231F20"/>
          <w:sz w:val="16"/>
        </w:rPr>
        <w:t>limbs</w:t>
      </w:r>
      <w:r>
        <w:rPr>
          <w:color w:val="231F20"/>
          <w:spacing w:val="9"/>
          <w:sz w:val="16"/>
        </w:rPr>
        <w:t> </w:t>
      </w:r>
      <w:r>
        <w:rPr>
          <w:color w:val="231F20"/>
          <w:spacing w:val="-2"/>
          <w:sz w:val="16"/>
        </w:rPr>
        <w:t>(20–30</w:t>
      </w:r>
      <w:r>
        <w:rPr>
          <w:rFonts w:ascii="Arial" w:hAnsi="Arial"/>
          <w:color w:val="231F20"/>
          <w:spacing w:val="-2"/>
          <w:sz w:val="16"/>
          <w:vertAlign w:val="superscript"/>
        </w:rPr>
        <w:t>0</w:t>
      </w:r>
      <w:r>
        <w:rPr>
          <w:color w:val="231F20"/>
          <w:spacing w:val="-2"/>
          <w:sz w:val="16"/>
          <w:vertAlign w:val="baseline"/>
        </w:rPr>
        <w:t>)</w:t>
      </w:r>
      <w:r>
        <w:rPr>
          <w:color w:val="231F20"/>
          <w:sz w:val="16"/>
          <w:vertAlign w:val="baseline"/>
        </w:rPr>
        <w:tab/>
      </w:r>
      <w:r>
        <w:rPr>
          <w:color w:val="231F20"/>
          <w:spacing w:val="-2"/>
          <w:sz w:val="16"/>
          <w:vertAlign w:val="baseline"/>
        </w:rPr>
        <w:t>Normal</w:t>
      </w:r>
      <w:r>
        <w:rPr>
          <w:color w:val="231F20"/>
          <w:sz w:val="16"/>
          <w:vertAlign w:val="baseline"/>
        </w:rPr>
        <w:tab/>
        <w:t>Basal</w:t>
      </w:r>
      <w:r>
        <w:rPr>
          <w:color w:val="231F20"/>
          <w:spacing w:val="8"/>
          <w:sz w:val="16"/>
          <w:vertAlign w:val="baseline"/>
        </w:rPr>
        <w:t> </w:t>
      </w:r>
      <w:r>
        <w:rPr>
          <w:color w:val="231F20"/>
          <w:spacing w:val="-2"/>
          <w:sz w:val="16"/>
          <w:vertAlign w:val="baseline"/>
        </w:rPr>
        <w:t>ganglia</w:t>
      </w:r>
      <w:r>
        <w:rPr>
          <w:color w:val="231F20"/>
          <w:sz w:val="16"/>
          <w:vertAlign w:val="baseline"/>
        </w:rPr>
        <w:tab/>
      </w:r>
      <w:r>
        <w:rPr>
          <w:color w:val="231F20"/>
          <w:spacing w:val="-2"/>
          <w:sz w:val="16"/>
          <w:vertAlign w:val="baseline"/>
        </w:rPr>
        <w:t>Yearly/Persist</w:t>
      </w:r>
    </w:p>
    <w:p>
      <w:pPr>
        <w:spacing w:after="0" w:line="182" w:lineRule="exact"/>
        <w:jc w:val="left"/>
        <w:rPr>
          <w:sz w:val="16"/>
        </w:rPr>
        <w:sectPr>
          <w:type w:val="continuous"/>
          <w:pgSz w:w="12240" w:h="16200"/>
          <w:pgMar w:top="1060" w:bottom="280" w:left="1080" w:right="1080"/>
          <w:cols w:num="2" w:equalWidth="0">
            <w:col w:w="3643" w:space="40"/>
            <w:col w:w="6397"/>
          </w:cols>
        </w:sectPr>
      </w:pPr>
    </w:p>
    <w:p>
      <w:pPr>
        <w:tabs>
          <w:tab w:pos="1539" w:val="left" w:leader="none"/>
          <w:tab w:pos="2547" w:val="left" w:leader="none"/>
          <w:tab w:pos="3928" w:val="left" w:leader="none"/>
          <w:tab w:pos="5692" w:val="left" w:leader="none"/>
          <w:tab w:pos="7029" w:val="left" w:leader="none"/>
          <w:tab w:pos="8301" w:val="left" w:leader="none"/>
        </w:tabs>
        <w:spacing w:line="181" w:lineRule="exact" w:before="0"/>
        <w:ind w:left="256" w:right="0" w:firstLine="0"/>
        <w:jc w:val="left"/>
        <w:rPr>
          <w:sz w:val="16"/>
        </w:rPr>
      </w:pPr>
      <w:r>
        <w:rPr>
          <w:color w:val="231F20"/>
          <w:spacing w:val="-2"/>
          <w:sz w:val="16"/>
        </w:rPr>
        <w:t>IV:2/7/F</w:t>
      </w:r>
      <w:r>
        <w:rPr>
          <w:color w:val="231F20"/>
          <w:sz w:val="16"/>
        </w:rPr>
        <w:tab/>
        <w:t>9</w:t>
      </w:r>
      <w:r>
        <w:rPr>
          <w:color w:val="231F20"/>
          <w:spacing w:val="11"/>
          <w:sz w:val="16"/>
        </w:rPr>
        <w:t> </w:t>
      </w:r>
      <w:r>
        <w:rPr>
          <w:color w:val="231F20"/>
          <w:spacing w:val="-2"/>
          <w:sz w:val="16"/>
        </w:rPr>
        <w:t>months</w:t>
      </w:r>
      <w:r>
        <w:rPr>
          <w:color w:val="231F20"/>
          <w:sz w:val="16"/>
        </w:rPr>
        <w:tab/>
      </w:r>
      <w:r>
        <w:rPr>
          <w:color w:val="231F20"/>
          <w:spacing w:val="-2"/>
          <w:sz w:val="16"/>
        </w:rPr>
        <w:t>Fever</w:t>
      </w:r>
      <w:r>
        <w:rPr>
          <w:color w:val="231F20"/>
          <w:sz w:val="16"/>
        </w:rPr>
        <w:tab/>
        <w:t>Head,</w:t>
      </w:r>
      <w:r>
        <w:rPr>
          <w:color w:val="231F20"/>
          <w:spacing w:val="8"/>
          <w:sz w:val="16"/>
        </w:rPr>
        <w:t> </w:t>
      </w:r>
      <w:r>
        <w:rPr>
          <w:color w:val="231F20"/>
          <w:sz w:val="16"/>
        </w:rPr>
        <w:t>limbs</w:t>
      </w:r>
      <w:r>
        <w:rPr>
          <w:color w:val="231F20"/>
          <w:spacing w:val="9"/>
          <w:sz w:val="16"/>
        </w:rPr>
        <w:t> </w:t>
      </w:r>
      <w:r>
        <w:rPr>
          <w:color w:val="231F20"/>
          <w:spacing w:val="-2"/>
          <w:sz w:val="16"/>
        </w:rPr>
        <w:t>(5–30</w:t>
      </w:r>
      <w:r>
        <w:rPr>
          <w:rFonts w:ascii="Arial" w:hAnsi="Arial"/>
          <w:color w:val="231F20"/>
          <w:spacing w:val="-2"/>
          <w:sz w:val="16"/>
          <w:vertAlign w:val="superscript"/>
        </w:rPr>
        <w:t>0</w:t>
      </w:r>
      <w:r>
        <w:rPr>
          <w:color w:val="231F20"/>
          <w:spacing w:val="-2"/>
          <w:sz w:val="16"/>
          <w:vertAlign w:val="baseline"/>
        </w:rPr>
        <w:t>)</w:t>
      </w:r>
      <w:r>
        <w:rPr>
          <w:color w:val="231F20"/>
          <w:sz w:val="16"/>
          <w:vertAlign w:val="baseline"/>
        </w:rPr>
        <w:tab/>
      </w:r>
      <w:r>
        <w:rPr>
          <w:color w:val="231F20"/>
          <w:spacing w:val="-2"/>
          <w:sz w:val="16"/>
          <w:vertAlign w:val="baseline"/>
        </w:rPr>
        <w:t>Normal</w:t>
      </w:r>
      <w:r>
        <w:rPr>
          <w:color w:val="231F20"/>
          <w:sz w:val="16"/>
          <w:vertAlign w:val="baseline"/>
        </w:rPr>
        <w:tab/>
      </w:r>
      <w:r>
        <w:rPr>
          <w:color w:val="231F20"/>
          <w:spacing w:val="-2"/>
          <w:sz w:val="16"/>
          <w:vertAlign w:val="baseline"/>
        </w:rPr>
        <w:t>Absent</w:t>
      </w:r>
      <w:r>
        <w:rPr>
          <w:color w:val="231F20"/>
          <w:sz w:val="16"/>
          <w:vertAlign w:val="baseline"/>
        </w:rPr>
        <w:tab/>
      </w:r>
      <w:r>
        <w:rPr>
          <w:color w:val="231F20"/>
          <w:spacing w:val="-2"/>
          <w:sz w:val="16"/>
          <w:vertAlign w:val="baseline"/>
        </w:rPr>
        <w:t>Sporadic/Persist</w:t>
      </w:r>
    </w:p>
    <w:p>
      <w:pPr>
        <w:pStyle w:val="BodyText"/>
        <w:spacing w:before="2"/>
        <w:rPr>
          <w:sz w:val="5"/>
        </w:rPr>
      </w:pPr>
      <w:r>
        <w:rPr>
          <w:sz w:val="5"/>
        </w:rPr>
        <mc:AlternateContent>
          <mc:Choice Requires="wps">
            <w:drawing>
              <wp:anchor distT="0" distB="0" distL="0" distR="0" allowOverlap="1" layoutInCell="1" locked="0" behindDoc="1" simplePos="0" relativeHeight="487595008">
                <wp:simplePos x="0" y="0"/>
                <wp:positionH relativeFrom="page">
                  <wp:posOffset>848880</wp:posOffset>
                </wp:positionH>
                <wp:positionV relativeFrom="paragraph">
                  <wp:posOffset>53624</wp:posOffset>
                </wp:positionV>
                <wp:extent cx="6098540" cy="127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6098540" cy="1270"/>
                        </a:xfrm>
                        <a:custGeom>
                          <a:avLst/>
                          <a:gdLst/>
                          <a:ahLst/>
                          <a:cxnLst/>
                          <a:rect l="l" t="t" r="r" b="b"/>
                          <a:pathLst>
                            <a:path w="6098540" h="0">
                              <a:moveTo>
                                <a:pt x="0" y="0"/>
                              </a:moveTo>
                              <a:lnTo>
                                <a:pt x="6098400" y="0"/>
                              </a:lnTo>
                            </a:path>
                          </a:pathLst>
                        </a:custGeom>
                        <a:ln w="12954">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66.841003pt;margin-top:4.222413pt;width:480.2pt;height:.1pt;mso-position-horizontal-relative:page;mso-position-vertical-relative:paragraph;z-index:-15721472;mso-wrap-distance-left:0;mso-wrap-distance-right:0" id="docshape14" coordorigin="1337,84" coordsize="9604,0" path="m1337,84l10941,84e" filled="false" stroked="true" strokeweight="1.02pt" strokecolor="#231f20">
                <v:path arrowok="t"/>
                <v:stroke dashstyle="solid"/>
                <w10:wrap type="topAndBottom"/>
              </v:shape>
            </w:pict>
          </mc:Fallback>
        </mc:AlternateContent>
      </w:r>
    </w:p>
    <w:p>
      <w:pPr>
        <w:spacing w:before="60"/>
        <w:ind w:left="416" w:right="0" w:firstLine="0"/>
        <w:jc w:val="left"/>
        <w:rPr>
          <w:sz w:val="16"/>
        </w:rPr>
      </w:pPr>
      <w:r>
        <w:rPr>
          <w:color w:val="231F20"/>
          <w:sz w:val="16"/>
          <w:vertAlign w:val="superscript"/>
        </w:rPr>
        <w:t>a</w:t>
      </w:r>
      <w:r>
        <w:rPr>
          <w:color w:val="231F20"/>
          <w:sz w:val="16"/>
          <w:vertAlign w:val="baseline"/>
        </w:rPr>
        <w:t>ND:</w:t>
      </w:r>
      <w:r>
        <w:rPr>
          <w:color w:val="231F20"/>
          <w:spacing w:val="14"/>
          <w:sz w:val="16"/>
          <w:vertAlign w:val="baseline"/>
        </w:rPr>
        <w:t> </w:t>
      </w:r>
      <w:r>
        <w:rPr>
          <w:color w:val="231F20"/>
          <w:sz w:val="16"/>
          <w:vertAlign w:val="baseline"/>
        </w:rPr>
        <w:t>Not</w:t>
      </w:r>
      <w:r>
        <w:rPr>
          <w:color w:val="231F20"/>
          <w:spacing w:val="15"/>
          <w:sz w:val="16"/>
          <w:vertAlign w:val="baseline"/>
        </w:rPr>
        <w:t> </w:t>
      </w:r>
      <w:r>
        <w:rPr>
          <w:color w:val="231F20"/>
          <w:spacing w:val="-2"/>
          <w:sz w:val="16"/>
          <w:vertAlign w:val="baseline"/>
        </w:rPr>
        <w:t>done.</w:t>
      </w:r>
    </w:p>
    <w:p>
      <w:pPr>
        <w:pStyle w:val="BodyText"/>
        <w:spacing w:before="5"/>
        <w:rPr>
          <w:sz w:val="17"/>
        </w:rPr>
      </w:pPr>
    </w:p>
    <w:p>
      <w:pPr>
        <w:pStyle w:val="BodyText"/>
        <w:spacing w:after="0"/>
        <w:rPr>
          <w:sz w:val="17"/>
        </w:rPr>
        <w:sectPr>
          <w:type w:val="continuous"/>
          <w:pgSz w:w="12240" w:h="16200"/>
          <w:pgMar w:top="1060" w:bottom="280" w:left="1080" w:right="1080"/>
        </w:sectPr>
      </w:pPr>
    </w:p>
    <w:p>
      <w:pPr>
        <w:pStyle w:val="BodyText"/>
        <w:spacing w:line="225" w:lineRule="auto" w:before="82"/>
        <w:ind w:left="256" w:right="39"/>
        <w:jc w:val="both"/>
      </w:pPr>
      <w:r>
        <w:rPr>
          <w:color w:val="231F20"/>
        </w:rPr>
        <w:t>sion, ictal electroencephalography (EEG) recording </w:t>
      </w:r>
      <w:r>
        <w:rPr>
          <w:color w:val="231F20"/>
        </w:rPr>
        <w:t>excluded the</w:t>
      </w:r>
      <w:r>
        <w:rPr>
          <w:color w:val="231F20"/>
          <w:spacing w:val="40"/>
        </w:rPr>
        <w:t> </w:t>
      </w:r>
      <w:r>
        <w:rPr>
          <w:color w:val="231F20"/>
        </w:rPr>
        <w:t>epileptic</w:t>
      </w:r>
      <w:r>
        <w:rPr>
          <w:color w:val="231F20"/>
          <w:spacing w:val="40"/>
        </w:rPr>
        <w:t> </w:t>
      </w:r>
      <w:r>
        <w:rPr>
          <w:color w:val="231F20"/>
        </w:rPr>
        <w:t>nature</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event.</w:t>
      </w:r>
      <w:r>
        <w:rPr>
          <w:color w:val="231F20"/>
          <w:spacing w:val="40"/>
        </w:rPr>
        <w:t> </w:t>
      </w:r>
      <w:r>
        <w:rPr>
          <w:color w:val="231F20"/>
        </w:rPr>
        <w:t>At</w:t>
      </w:r>
      <w:r>
        <w:rPr>
          <w:color w:val="231F20"/>
          <w:spacing w:val="40"/>
        </w:rPr>
        <w:t> </w:t>
      </w:r>
      <w:r>
        <w:rPr>
          <w:color w:val="231F20"/>
        </w:rPr>
        <w:t>the</w:t>
      </w:r>
      <w:r>
        <w:rPr>
          <w:color w:val="231F20"/>
          <w:spacing w:val="40"/>
        </w:rPr>
        <w:t> </w:t>
      </w:r>
      <w:r>
        <w:rPr>
          <w:color w:val="231F20"/>
        </w:rPr>
        <w:t>age</w:t>
      </w:r>
      <w:r>
        <w:rPr>
          <w:color w:val="231F20"/>
          <w:spacing w:val="40"/>
        </w:rPr>
        <w:t> </w:t>
      </w:r>
      <w:r>
        <w:rPr>
          <w:color w:val="231F20"/>
        </w:rPr>
        <w:t>of</w:t>
      </w:r>
      <w:r>
        <w:rPr>
          <w:color w:val="231F20"/>
          <w:spacing w:val="40"/>
        </w:rPr>
        <w:t> </w:t>
      </w:r>
      <w:r>
        <w:rPr>
          <w:color w:val="231F20"/>
        </w:rPr>
        <w:t>7</w:t>
      </w:r>
      <w:r>
        <w:rPr>
          <w:color w:val="231F20"/>
          <w:spacing w:val="40"/>
        </w:rPr>
        <w:t> </w:t>
      </w:r>
      <w:r>
        <w:rPr>
          <w:color w:val="231F20"/>
        </w:rPr>
        <w:t>years,</w:t>
      </w:r>
      <w:r>
        <w:rPr>
          <w:color w:val="231F20"/>
          <w:spacing w:val="40"/>
        </w:rPr>
        <w:t> </w:t>
      </w:r>
      <w:r>
        <w:rPr>
          <w:color w:val="231F20"/>
        </w:rPr>
        <w:t>a new CT scan was unremarkable.</w:t>
      </w:r>
    </w:p>
    <w:p>
      <w:pPr>
        <w:pStyle w:val="BodyText"/>
        <w:spacing w:line="230" w:lineRule="auto"/>
        <w:ind w:left="256" w:right="38" w:firstLine="199"/>
        <w:jc w:val="both"/>
      </w:pPr>
      <w:r>
        <w:rPr>
          <w:i/>
          <w:color w:val="231F20"/>
        </w:rPr>
        <w:t>Individual III:2 </w:t>
      </w:r>
      <w:r>
        <w:rPr>
          <w:color w:val="231F20"/>
        </w:rPr>
        <w:t>is a 39-year-old man suffering from </w:t>
      </w:r>
      <w:r>
        <w:rPr>
          <w:color w:val="231F20"/>
        </w:rPr>
        <w:t>recur- rent attacks of choreic-dystonic postures involving the head, limbs, and trunk from 4 years of life, precipitated by emo- tional stress. At age 33 years, brain CT and MRI revealed ba- sal ganglia and cerebral white matter calciﬁcations. Extensive laboratory screening and neurological examination were un- remarkable.</w:t>
      </w:r>
      <w:r>
        <w:rPr>
          <w:color w:val="231F20"/>
          <w:spacing w:val="27"/>
        </w:rPr>
        <w:t> </w:t>
      </w:r>
      <w:r>
        <w:rPr>
          <w:color w:val="231F20"/>
        </w:rPr>
        <w:t>No</w:t>
      </w:r>
      <w:r>
        <w:rPr>
          <w:color w:val="231F20"/>
          <w:spacing w:val="26"/>
        </w:rPr>
        <w:t> </w:t>
      </w:r>
      <w:r>
        <w:rPr>
          <w:color w:val="231F20"/>
        </w:rPr>
        <w:t>further</w:t>
      </w:r>
      <w:r>
        <w:rPr>
          <w:color w:val="231F20"/>
          <w:spacing w:val="26"/>
        </w:rPr>
        <w:t> </w:t>
      </w:r>
      <w:r>
        <w:rPr>
          <w:color w:val="231F20"/>
        </w:rPr>
        <w:t>attacks</w:t>
      </w:r>
      <w:r>
        <w:rPr>
          <w:color w:val="231F20"/>
          <w:spacing w:val="27"/>
        </w:rPr>
        <w:t> </w:t>
      </w:r>
      <w:r>
        <w:rPr>
          <w:color w:val="231F20"/>
        </w:rPr>
        <w:t>were</w:t>
      </w:r>
      <w:r>
        <w:rPr>
          <w:color w:val="231F20"/>
          <w:spacing w:val="26"/>
        </w:rPr>
        <w:t> </w:t>
      </w:r>
      <w:r>
        <w:rPr>
          <w:color w:val="231F20"/>
        </w:rPr>
        <w:t>reported</w:t>
      </w:r>
      <w:r>
        <w:rPr>
          <w:color w:val="231F20"/>
          <w:spacing w:val="26"/>
        </w:rPr>
        <w:t> </w:t>
      </w:r>
      <w:r>
        <w:rPr>
          <w:color w:val="231F20"/>
        </w:rPr>
        <w:t>during</w:t>
      </w:r>
      <w:r>
        <w:rPr>
          <w:color w:val="231F20"/>
          <w:spacing w:val="26"/>
        </w:rPr>
        <w:t> </w:t>
      </w:r>
      <w:r>
        <w:rPr>
          <w:color w:val="231F20"/>
        </w:rPr>
        <w:t>the</w:t>
      </w:r>
      <w:r>
        <w:rPr>
          <w:color w:val="231F20"/>
          <w:spacing w:val="26"/>
        </w:rPr>
        <w:t> </w:t>
      </w:r>
      <w:r>
        <w:rPr>
          <w:color w:val="231F20"/>
        </w:rPr>
        <w:t>last 6 years.</w:t>
      </w:r>
    </w:p>
    <w:p>
      <w:pPr>
        <w:pStyle w:val="BodyText"/>
        <w:spacing w:line="230" w:lineRule="auto" w:before="4"/>
        <w:ind w:left="256" w:right="38" w:firstLine="199"/>
        <w:jc w:val="both"/>
      </w:pPr>
      <w:r>
        <w:rPr>
          <w:i/>
          <w:color w:val="231F20"/>
        </w:rPr>
        <w:t>Individual III:3 </w:t>
      </w:r>
      <w:r>
        <w:rPr>
          <w:color w:val="231F20"/>
        </w:rPr>
        <w:t>is a 37-year-old man experiencing </w:t>
      </w:r>
      <w:r>
        <w:rPr>
          <w:color w:val="231F20"/>
        </w:rPr>
        <w:t>yearly attacks</w:t>
      </w:r>
      <w:r>
        <w:rPr>
          <w:color w:val="231F20"/>
          <w:spacing w:val="-4"/>
        </w:rPr>
        <w:t> </w:t>
      </w:r>
      <w:r>
        <w:rPr>
          <w:color w:val="231F20"/>
        </w:rPr>
        <w:t>of</w:t>
      </w:r>
      <w:r>
        <w:rPr>
          <w:color w:val="231F20"/>
          <w:spacing w:val="-4"/>
        </w:rPr>
        <w:t> </w:t>
      </w:r>
      <w:r>
        <w:rPr>
          <w:color w:val="231F20"/>
        </w:rPr>
        <w:t>sudden-onset</w:t>
      </w:r>
      <w:r>
        <w:rPr>
          <w:color w:val="231F20"/>
          <w:spacing w:val="-5"/>
        </w:rPr>
        <w:t> </w:t>
      </w:r>
      <w:r>
        <w:rPr>
          <w:color w:val="231F20"/>
        </w:rPr>
        <w:t>dystonia</w:t>
      </w:r>
      <w:r>
        <w:rPr>
          <w:color w:val="231F20"/>
          <w:spacing w:val="-4"/>
        </w:rPr>
        <w:t> </w:t>
      </w:r>
      <w:r>
        <w:rPr>
          <w:color w:val="231F20"/>
        </w:rPr>
        <w:t>and</w:t>
      </w:r>
      <w:r>
        <w:rPr>
          <w:color w:val="231F20"/>
          <w:spacing w:val="-5"/>
        </w:rPr>
        <w:t> </w:t>
      </w:r>
      <w:r>
        <w:rPr>
          <w:color w:val="231F20"/>
        </w:rPr>
        <w:t>choreic</w:t>
      </w:r>
      <w:r>
        <w:rPr>
          <w:color w:val="231F20"/>
          <w:spacing w:val="-3"/>
        </w:rPr>
        <w:t> </w:t>
      </w:r>
      <w:r>
        <w:rPr>
          <w:color w:val="231F20"/>
        </w:rPr>
        <w:t>movements</w:t>
      </w:r>
      <w:r>
        <w:rPr>
          <w:color w:val="231F20"/>
          <w:spacing w:val="-4"/>
        </w:rPr>
        <w:t> </w:t>
      </w:r>
      <w:r>
        <w:rPr>
          <w:color w:val="231F20"/>
        </w:rPr>
        <w:t>of</w:t>
      </w:r>
      <w:r>
        <w:rPr>
          <w:color w:val="231F20"/>
          <w:spacing w:val="-5"/>
        </w:rPr>
        <w:t> </w:t>
      </w:r>
      <w:r>
        <w:rPr>
          <w:color w:val="231F20"/>
        </w:rPr>
        <w:t>the head and limbs from age 6 to 30 years, related to physical or emotional</w:t>
      </w:r>
      <w:r>
        <w:rPr>
          <w:color w:val="231F20"/>
          <w:spacing w:val="-2"/>
        </w:rPr>
        <w:t> </w:t>
      </w:r>
      <w:r>
        <w:rPr>
          <w:color w:val="231F20"/>
        </w:rPr>
        <w:t>stress.</w:t>
      </w:r>
      <w:r>
        <w:rPr>
          <w:color w:val="231F20"/>
          <w:spacing w:val="-1"/>
        </w:rPr>
        <w:t> </w:t>
      </w:r>
      <w:r>
        <w:rPr>
          <w:color w:val="231F20"/>
        </w:rPr>
        <w:t>Neurological</w:t>
      </w:r>
      <w:r>
        <w:rPr>
          <w:color w:val="231F20"/>
          <w:spacing w:val="-2"/>
        </w:rPr>
        <w:t> </w:t>
      </w:r>
      <w:r>
        <w:rPr>
          <w:color w:val="231F20"/>
        </w:rPr>
        <w:t>examination</w:t>
      </w:r>
      <w:r>
        <w:rPr>
          <w:color w:val="231F20"/>
          <w:spacing w:val="-2"/>
        </w:rPr>
        <w:t> </w:t>
      </w:r>
      <w:r>
        <w:rPr>
          <w:color w:val="231F20"/>
        </w:rPr>
        <w:t>was</w:t>
      </w:r>
      <w:r>
        <w:rPr>
          <w:color w:val="231F20"/>
          <w:spacing w:val="-1"/>
        </w:rPr>
        <w:t> </w:t>
      </w:r>
      <w:r>
        <w:rPr>
          <w:color w:val="231F20"/>
        </w:rPr>
        <w:t>unremarkable. Laboratory investigations and EEG were normal. Brain CT at age 30 years showed basal ganglia calciﬁcations.</w:t>
      </w:r>
    </w:p>
    <w:p>
      <w:pPr>
        <w:pStyle w:val="BodyText"/>
        <w:spacing w:line="235" w:lineRule="auto"/>
        <w:ind w:left="256" w:right="38" w:firstLine="199"/>
        <w:jc w:val="both"/>
      </w:pPr>
      <w:r>
        <w:rPr>
          <w:i/>
          <w:color w:val="231F20"/>
        </w:rPr>
        <w:t>Individual II:3 </w:t>
      </w:r>
      <w:r>
        <w:rPr>
          <w:color w:val="231F20"/>
        </w:rPr>
        <w:t>is a 70-year-old woman presenting her </w:t>
      </w:r>
      <w:r>
        <w:rPr>
          <w:color w:val="231F20"/>
        </w:rPr>
        <w:t>ﬁrst attack choreic-dystonic postures involving the head and the four limbs at the age of 4 years. Subsequently, these manifes- tations occurred regularly at the frequency of one per year in association with fasting or stress. Laboratory investigations</w:t>
      </w:r>
      <w:r>
        <w:rPr>
          <w:color w:val="231F20"/>
          <w:spacing w:val="40"/>
        </w:rPr>
        <w:t> </w:t>
      </w:r>
      <w:r>
        <w:rPr>
          <w:color w:val="231F20"/>
        </w:rPr>
        <w:t>and neurological examination were normal. At the age of 65 years, brain CT revealed basal ganglia and cerebellar calciﬁ- cations. The patient still experiences yearly episodes and, in</w:t>
      </w:r>
      <w:r>
        <w:rPr>
          <w:color w:val="231F20"/>
          <w:spacing w:val="40"/>
        </w:rPr>
        <w:t> </w:t>
      </w:r>
      <w:r>
        <w:rPr>
          <w:color w:val="231F20"/>
        </w:rPr>
        <w:t>the last few years, developed postural and kinetic tremor, responding to alcohol intake.</w:t>
      </w:r>
    </w:p>
    <w:p>
      <w:pPr>
        <w:pStyle w:val="BodyText"/>
        <w:spacing w:line="230" w:lineRule="auto"/>
        <w:ind w:left="256" w:right="39" w:firstLine="199"/>
        <w:jc w:val="both"/>
      </w:pPr>
      <w:r>
        <w:rPr>
          <w:i/>
          <w:color w:val="231F20"/>
        </w:rPr>
        <w:t>Individual I:2 </w:t>
      </w:r>
      <w:r>
        <w:rPr>
          <w:color w:val="231F20"/>
        </w:rPr>
        <w:t>experienced a single episode of choreic-</w:t>
      </w:r>
      <w:r>
        <w:rPr>
          <w:color w:val="231F20"/>
        </w:rPr>
        <w:t>dys- tonic postures of the head at the age of 75 years, precipitated</w:t>
      </w:r>
      <w:r>
        <w:rPr>
          <w:color w:val="231F20"/>
          <w:spacing w:val="40"/>
        </w:rPr>
        <w:t> </w:t>
      </w:r>
      <w:r>
        <w:rPr>
          <w:color w:val="231F20"/>
        </w:rPr>
        <w:t>by fever and lasting about 20 minutes.</w:t>
      </w:r>
    </w:p>
    <w:p>
      <w:pPr>
        <w:pStyle w:val="BodyText"/>
        <w:spacing w:line="230" w:lineRule="auto" w:before="2"/>
        <w:ind w:left="256" w:right="38" w:firstLine="199"/>
        <w:jc w:val="both"/>
      </w:pPr>
      <w:r>
        <w:rPr>
          <w:color w:val="231F20"/>
        </w:rPr>
        <w:t>This</w:t>
      </w:r>
      <w:r>
        <w:rPr>
          <w:color w:val="231F20"/>
          <w:spacing w:val="40"/>
        </w:rPr>
        <w:t> </w:t>
      </w:r>
      <w:r>
        <w:rPr>
          <w:color w:val="231F20"/>
        </w:rPr>
        <w:t>family</w:t>
      </w:r>
      <w:r>
        <w:rPr>
          <w:color w:val="231F20"/>
          <w:spacing w:val="40"/>
        </w:rPr>
        <w:t> </w:t>
      </w:r>
      <w:r>
        <w:rPr>
          <w:color w:val="231F20"/>
        </w:rPr>
        <w:t>shows</w:t>
      </w:r>
      <w:r>
        <w:rPr>
          <w:color w:val="231F20"/>
          <w:spacing w:val="40"/>
        </w:rPr>
        <w:t> </w:t>
      </w:r>
      <w:r>
        <w:rPr>
          <w:color w:val="231F20"/>
        </w:rPr>
        <w:t>typical</w:t>
      </w:r>
      <w:r>
        <w:rPr>
          <w:color w:val="231F20"/>
          <w:spacing w:val="40"/>
        </w:rPr>
        <w:t> </w:t>
      </w:r>
      <w:r>
        <w:rPr>
          <w:color w:val="231F20"/>
        </w:rPr>
        <w:t>clinical</w:t>
      </w:r>
      <w:r>
        <w:rPr>
          <w:color w:val="231F20"/>
          <w:spacing w:val="40"/>
        </w:rPr>
        <w:t> </w:t>
      </w:r>
      <w:r>
        <w:rPr>
          <w:color w:val="231F20"/>
        </w:rPr>
        <w:t>features</w:t>
      </w:r>
      <w:r>
        <w:rPr>
          <w:color w:val="231F20"/>
          <w:spacing w:val="40"/>
        </w:rPr>
        <w:t> </w:t>
      </w:r>
      <w:r>
        <w:rPr>
          <w:color w:val="231F20"/>
        </w:rPr>
        <w:t>of</w:t>
      </w:r>
      <w:r>
        <w:rPr>
          <w:color w:val="231F20"/>
          <w:spacing w:val="40"/>
        </w:rPr>
        <w:t> </w:t>
      </w:r>
      <w:r>
        <w:rPr>
          <w:color w:val="231F20"/>
        </w:rPr>
        <w:t>PNKD.</w:t>
      </w:r>
      <w:r>
        <w:rPr>
          <w:color w:val="231F20"/>
          <w:vertAlign w:val="superscript"/>
        </w:rPr>
        <w:t>1,2</w:t>
      </w:r>
      <w:r>
        <w:rPr>
          <w:color w:val="231F20"/>
          <w:vertAlign w:val="baseline"/>
        </w:rPr>
        <w:t> All patients showed a typical pattern and duration of the epi- sodes, not activated by movement, and showed normal neuro- logical status between attacks except for the oldest living individual (II:3) who developed late-onset postural and ki- netic tremor, responding to alcohol intake. Individual I:1 who experienced a single attack at age 75 years related to febrile illness, was considered as probably affected, considering the transitory nature of his manifestation and the fact that fever</w:t>
      </w:r>
      <w:r>
        <w:rPr>
          <w:color w:val="231F20"/>
          <w:spacing w:val="40"/>
          <w:vertAlign w:val="baseline"/>
        </w:rPr>
        <w:t> </w:t>
      </w:r>
      <w:r>
        <w:rPr>
          <w:color w:val="231F20"/>
          <w:vertAlign w:val="baseline"/>
        </w:rPr>
        <w:t>was a precipitating factor also in other affected members, as reported in PNKD.</w:t>
      </w:r>
      <w:r>
        <w:rPr>
          <w:color w:val="231F20"/>
          <w:vertAlign w:val="superscript"/>
        </w:rPr>
        <w:t>6</w:t>
      </w:r>
      <w:r>
        <w:rPr>
          <w:color w:val="231F20"/>
          <w:vertAlign w:val="baseline"/>
        </w:rPr>
        <w:t> The course of the disease was relatively benign and affected individuals achieved spontaneous remis- sion or continued to have about yearly episodes without treat- ment. Mutations in </w:t>
      </w:r>
      <w:r>
        <w:rPr>
          <w:i/>
          <w:color w:val="231F20"/>
          <w:vertAlign w:val="baseline"/>
        </w:rPr>
        <w:t>MR-1</w:t>
      </w:r>
      <w:r>
        <w:rPr>
          <w:color w:val="231F20"/>
          <w:vertAlign w:val="baseline"/>
        </w:rPr>
        <w:t>, the only gene associated with familial PNKD,</w:t>
      </w:r>
      <w:r>
        <w:rPr>
          <w:color w:val="231F20"/>
          <w:vertAlign w:val="superscript"/>
        </w:rPr>
        <w:t>3,7</w:t>
      </w:r>
      <w:r>
        <w:rPr>
          <w:color w:val="231F20"/>
          <w:vertAlign w:val="baseline"/>
        </w:rPr>
        <w:t> were excluded.</w:t>
      </w:r>
    </w:p>
    <w:p>
      <w:pPr>
        <w:spacing w:line="240" w:lineRule="auto" w:before="8" w:after="25"/>
        <w:rPr>
          <w:sz w:val="16"/>
        </w:rPr>
      </w:pPr>
      <w:r>
        <w:rPr/>
        <w:br w:type="column"/>
      </w:r>
      <w:r>
        <w:rPr>
          <w:sz w:val="16"/>
        </w:rPr>
      </w:r>
    </w:p>
    <w:p>
      <w:pPr>
        <w:pStyle w:val="BodyText"/>
        <w:ind w:left="518"/>
        <w:rPr>
          <w:sz w:val="20"/>
        </w:rPr>
      </w:pPr>
      <w:r>
        <w:rPr>
          <w:sz w:val="20"/>
        </w:rPr>
        <w:drawing>
          <wp:inline distT="0" distB="0" distL="0" distR="0">
            <wp:extent cx="2562133" cy="5344668"/>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3" cstate="print"/>
                    <a:stretch>
                      <a:fillRect/>
                    </a:stretch>
                  </pic:blipFill>
                  <pic:spPr>
                    <a:xfrm>
                      <a:off x="0" y="0"/>
                      <a:ext cx="2562133" cy="5344668"/>
                    </a:xfrm>
                    <a:prstGeom prst="rect">
                      <a:avLst/>
                    </a:prstGeom>
                  </pic:spPr>
                </pic:pic>
              </a:graphicData>
            </a:graphic>
          </wp:inline>
        </w:drawing>
      </w:r>
      <w:r>
        <w:rPr>
          <w:sz w:val="20"/>
        </w:rPr>
      </w:r>
    </w:p>
    <w:p>
      <w:pPr>
        <w:spacing w:line="232" w:lineRule="auto" w:before="64"/>
        <w:ind w:left="256" w:right="204" w:firstLine="0"/>
        <w:jc w:val="left"/>
        <w:rPr>
          <w:sz w:val="16"/>
        </w:rPr>
      </w:pPr>
      <w:r>
        <w:rPr>
          <w:color w:val="231F20"/>
          <w:sz w:val="16"/>
        </w:rPr>
        <w:t>FIG. 1.</w:t>
      </w:r>
      <w:r>
        <w:rPr>
          <w:color w:val="231F20"/>
          <w:spacing w:val="40"/>
          <w:sz w:val="16"/>
        </w:rPr>
        <w:t> </w:t>
      </w:r>
      <w:r>
        <w:rPr>
          <w:color w:val="231F20"/>
          <w:sz w:val="16"/>
        </w:rPr>
        <w:t>Pedigree and CT scans of affected family members. See </w:t>
      </w:r>
      <w:r>
        <w:rPr>
          <w:color w:val="231F20"/>
          <w:sz w:val="16"/>
        </w:rPr>
        <w:t>the</w:t>
      </w:r>
      <w:r>
        <w:rPr>
          <w:color w:val="231F20"/>
          <w:spacing w:val="40"/>
          <w:sz w:val="16"/>
        </w:rPr>
        <w:t> </w:t>
      </w:r>
      <w:r>
        <w:rPr>
          <w:color w:val="231F20"/>
          <w:sz w:val="16"/>
        </w:rPr>
        <w:t>text for details.</w:t>
      </w:r>
    </w:p>
    <w:p>
      <w:pPr>
        <w:spacing w:after="0" w:line="232" w:lineRule="auto"/>
        <w:jc w:val="left"/>
        <w:rPr>
          <w:sz w:val="16"/>
        </w:rPr>
        <w:sectPr>
          <w:type w:val="continuous"/>
          <w:pgSz w:w="12240" w:h="16200"/>
          <w:pgMar w:top="1060" w:bottom="280" w:left="1080" w:right="1080"/>
          <w:cols w:num="2" w:equalWidth="0">
            <w:col w:w="4861" w:space="180"/>
            <w:col w:w="5039"/>
          </w:cols>
        </w:sectPr>
      </w:pPr>
    </w:p>
    <w:p>
      <w:pPr>
        <w:pStyle w:val="BodyText"/>
        <w:rPr>
          <w:sz w:val="14"/>
        </w:rPr>
      </w:pPr>
      <w:r>
        <w:rPr>
          <w:sz w:val="14"/>
        </w:rPr>
        <mc:AlternateContent>
          <mc:Choice Requires="wps">
            <w:drawing>
              <wp:anchor distT="0" distB="0" distL="0" distR="0" allowOverlap="1" layoutInCell="1" locked="0" behindDoc="0" simplePos="0" relativeHeight="15736320">
                <wp:simplePos x="0" y="0"/>
                <wp:positionH relativeFrom="page">
                  <wp:posOffset>7555927</wp:posOffset>
                </wp:positionH>
                <wp:positionV relativeFrom="page">
                  <wp:posOffset>208819</wp:posOffset>
                </wp:positionV>
                <wp:extent cx="95885" cy="987552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95885" cy="9875520"/>
                        </a:xfrm>
                        <a:prstGeom prst="rect">
                          <a:avLst/>
                        </a:prstGeom>
                      </wps:spPr>
                      <wps:txbx>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wps:txbx>
                      <wps:bodyPr wrap="square" lIns="0" tIns="0" rIns="0" bIns="0" rtlCol="0" vert="vert">
                        <a:noAutofit/>
                      </wps:bodyPr>
                    </wps:wsp>
                  </a:graphicData>
                </a:graphic>
              </wp:anchor>
            </w:drawing>
          </mc:Choice>
          <mc:Fallback>
            <w:pict>
              <v:shape style="position:absolute;margin-left:594.954956pt;margin-top:16.442499pt;width:7.55pt;height:777.6pt;mso-position-horizontal-relative:page;mso-position-vertical-relative:page;z-index:15736320" type="#_x0000_t202" id="docshape15" filled="false" stroked="false">
                <v:textbox inset="0,0,0,0" style="layout-flow:vertical">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v:textbox>
                <w10:wrap type="none"/>
              </v:shape>
            </w:pict>
          </mc:Fallback>
        </mc:AlternateContent>
      </w:r>
    </w:p>
    <w:p>
      <w:pPr>
        <w:pStyle w:val="BodyText"/>
        <w:rPr>
          <w:sz w:val="14"/>
        </w:rPr>
      </w:pPr>
    </w:p>
    <w:p>
      <w:pPr>
        <w:pStyle w:val="BodyText"/>
        <w:rPr>
          <w:sz w:val="14"/>
        </w:rPr>
      </w:pPr>
    </w:p>
    <w:p>
      <w:pPr>
        <w:pStyle w:val="BodyText"/>
        <w:spacing w:before="35"/>
        <w:rPr>
          <w:sz w:val="14"/>
        </w:rPr>
      </w:pPr>
    </w:p>
    <w:p>
      <w:pPr>
        <w:spacing w:before="1"/>
        <w:ind w:left="0" w:right="217" w:firstLine="0"/>
        <w:jc w:val="right"/>
        <w:rPr>
          <w:i/>
          <w:sz w:val="14"/>
        </w:rPr>
      </w:pPr>
      <w:r>
        <w:rPr>
          <w:i/>
          <w:color w:val="231F20"/>
          <w:sz w:val="14"/>
        </w:rPr>
        <w:t>Movement</w:t>
      </w:r>
      <w:r>
        <w:rPr>
          <w:i/>
          <w:color w:val="231F20"/>
          <w:spacing w:val="9"/>
          <w:sz w:val="14"/>
        </w:rPr>
        <w:t> </w:t>
      </w:r>
      <w:r>
        <w:rPr>
          <w:i/>
          <w:color w:val="231F20"/>
          <w:sz w:val="14"/>
        </w:rPr>
        <w:t>Disorders,</w:t>
      </w:r>
      <w:r>
        <w:rPr>
          <w:i/>
          <w:color w:val="231F20"/>
          <w:spacing w:val="9"/>
          <w:sz w:val="14"/>
        </w:rPr>
        <w:t> </w:t>
      </w:r>
      <w:r>
        <w:rPr>
          <w:i/>
          <w:color w:val="231F20"/>
          <w:sz w:val="14"/>
        </w:rPr>
        <w:t>Vol.</w:t>
      </w:r>
      <w:r>
        <w:rPr>
          <w:i/>
          <w:color w:val="231F20"/>
          <w:spacing w:val="8"/>
          <w:sz w:val="14"/>
        </w:rPr>
        <w:t> </w:t>
      </w:r>
      <w:r>
        <w:rPr>
          <w:i/>
          <w:color w:val="231F20"/>
          <w:sz w:val="14"/>
        </w:rPr>
        <w:t>25,</w:t>
      </w:r>
      <w:r>
        <w:rPr>
          <w:i/>
          <w:color w:val="231F20"/>
          <w:spacing w:val="9"/>
          <w:sz w:val="14"/>
        </w:rPr>
        <w:t> </w:t>
      </w:r>
      <w:r>
        <w:rPr>
          <w:i/>
          <w:color w:val="231F20"/>
          <w:sz w:val="14"/>
        </w:rPr>
        <w:t>No.</w:t>
      </w:r>
      <w:r>
        <w:rPr>
          <w:i/>
          <w:color w:val="231F20"/>
          <w:spacing w:val="9"/>
          <w:sz w:val="14"/>
        </w:rPr>
        <w:t> </w:t>
      </w:r>
      <w:r>
        <w:rPr>
          <w:i/>
          <w:color w:val="231F20"/>
          <w:sz w:val="14"/>
        </w:rPr>
        <w:t>14,</w:t>
      </w:r>
      <w:r>
        <w:rPr>
          <w:i/>
          <w:color w:val="231F20"/>
          <w:spacing w:val="8"/>
          <w:sz w:val="14"/>
        </w:rPr>
        <w:t> </w:t>
      </w:r>
      <w:r>
        <w:rPr>
          <w:i/>
          <w:color w:val="231F20"/>
          <w:spacing w:val="-4"/>
          <w:sz w:val="14"/>
        </w:rPr>
        <w:t>2010</w:t>
      </w:r>
    </w:p>
    <w:p>
      <w:pPr>
        <w:spacing w:after="0"/>
        <w:jc w:val="right"/>
        <w:rPr>
          <w:i/>
          <w:sz w:val="14"/>
        </w:rPr>
        <w:sectPr>
          <w:type w:val="continuous"/>
          <w:pgSz w:w="12240" w:h="16200"/>
          <w:pgMar w:top="1060" w:bottom="280" w:left="1080" w:right="1080"/>
        </w:sectPr>
      </w:pPr>
    </w:p>
    <w:p>
      <w:pPr>
        <w:pStyle w:val="Heading3"/>
        <w:tabs>
          <w:tab w:pos="3923" w:val="left" w:leader="none"/>
        </w:tabs>
        <w:ind w:left="256"/>
      </w:pPr>
      <w:r>
        <w:rPr>
          <w:color w:val="231F20"/>
          <w:spacing w:val="-4"/>
        </w:rPr>
        <w:t>2470</w:t>
      </w:r>
      <w:r>
        <w:rPr>
          <w:color w:val="231F20"/>
        </w:rPr>
        <w:tab/>
        <w:t>LETTERS</w:t>
      </w:r>
      <w:r>
        <w:rPr>
          <w:color w:val="231F20"/>
          <w:spacing w:val="12"/>
        </w:rPr>
        <w:t> </w:t>
      </w:r>
      <w:r>
        <w:rPr>
          <w:color w:val="231F20"/>
        </w:rPr>
        <w:t>TO</w:t>
      </w:r>
      <w:r>
        <w:rPr>
          <w:color w:val="231F20"/>
          <w:spacing w:val="10"/>
        </w:rPr>
        <w:t> </w:t>
      </w:r>
      <w:r>
        <w:rPr>
          <w:color w:val="231F20"/>
        </w:rPr>
        <w:t>THE</w:t>
      </w:r>
      <w:r>
        <w:rPr>
          <w:color w:val="231F20"/>
          <w:spacing w:val="12"/>
        </w:rPr>
        <w:t> </w:t>
      </w:r>
      <w:r>
        <w:rPr>
          <w:color w:val="231F20"/>
          <w:spacing w:val="-2"/>
        </w:rPr>
        <w:t>EDITOR</w:t>
      </w:r>
    </w:p>
    <w:p>
      <w:pPr>
        <w:pStyle w:val="BodyText"/>
        <w:spacing w:before="82"/>
        <w:rPr>
          <w:i/>
          <w:sz w:val="20"/>
        </w:rPr>
      </w:pPr>
    </w:p>
    <w:p>
      <w:pPr>
        <w:pStyle w:val="BodyText"/>
        <w:spacing w:after="0"/>
        <w:rPr>
          <w:i/>
          <w:sz w:val="20"/>
        </w:rPr>
        <w:sectPr>
          <w:pgSz w:w="12240" w:h="16200"/>
          <w:pgMar w:top="1040" w:bottom="280" w:left="1080" w:right="1080"/>
        </w:sectPr>
      </w:pPr>
    </w:p>
    <w:p>
      <w:pPr>
        <w:pStyle w:val="BodyText"/>
        <w:spacing w:line="230" w:lineRule="auto" w:before="78"/>
        <w:ind w:left="256" w:right="39" w:firstLine="199"/>
        <w:jc w:val="both"/>
      </w:pPr>
      <w:r>
        <w:rPr>
          <w:color w:val="231F20"/>
        </w:rPr>
        <w:t>Indeed, the most distinctive feature in our family was </w:t>
      </w:r>
      <w:r>
        <w:rPr>
          <w:color w:val="231F20"/>
        </w:rPr>
        <w:t>the ﬁnding of symmetrical intracranial calciﬁcations, primarily affecting the basal ganglia, which has been previously</w:t>
      </w:r>
      <w:r>
        <w:rPr>
          <w:color w:val="231F20"/>
          <w:spacing w:val="80"/>
        </w:rPr>
        <w:t> </w:t>
      </w:r>
      <w:r>
        <w:rPr>
          <w:color w:val="231F20"/>
        </w:rPr>
        <w:t>reported in few isolated cases.</w:t>
      </w:r>
      <w:r>
        <w:rPr>
          <w:color w:val="231F20"/>
          <w:vertAlign w:val="superscript"/>
        </w:rPr>
        <w:t>8–11</w:t>
      </w:r>
      <w:r>
        <w:rPr>
          <w:color w:val="231F20"/>
          <w:vertAlign w:val="baseline"/>
        </w:rPr>
        <w:t> Hereditary brain calcinosis may</w:t>
      </w:r>
      <w:r>
        <w:rPr>
          <w:color w:val="231F20"/>
          <w:vertAlign w:val="baseline"/>
        </w:rPr>
        <w:t> be found in several different conditions,</w:t>
      </w:r>
      <w:r>
        <w:rPr>
          <w:color w:val="231F20"/>
          <w:vertAlign w:val="superscript"/>
        </w:rPr>
        <w:t>12</w:t>
      </w:r>
      <w:r>
        <w:rPr>
          <w:color w:val="231F20"/>
          <w:vertAlign w:val="baseline"/>
        </w:rPr>
        <w:t> for example, disorders of parathyroid hormone or calcium regulation, mi- tochondrial diseases, and defects of organic or amino acid metabolism. However, all these aetiologies were ruled out in our family. Linkage to 14q, described in families with Fahr disease and neurological symptoms,</w:t>
      </w:r>
      <w:r>
        <w:rPr>
          <w:color w:val="231F20"/>
          <w:vertAlign w:val="superscript"/>
        </w:rPr>
        <w:t>5</w:t>
      </w:r>
      <w:r>
        <w:rPr>
          <w:color w:val="231F20"/>
          <w:vertAlign w:val="baseline"/>
        </w:rPr>
        <w:t> was excluded, conﬁrm- ing that this condition is genetically heterogeneous.</w:t>
      </w:r>
      <w:r>
        <w:rPr>
          <w:color w:val="231F20"/>
          <w:vertAlign w:val="superscript"/>
        </w:rPr>
        <w:t>13,14</w:t>
      </w:r>
      <w:r>
        <w:rPr>
          <w:color w:val="231F20"/>
          <w:vertAlign w:val="baseline"/>
        </w:rPr>
        <w:t> Moreover, the pathogenetic role of calciﬁcations remains unclear as the youngest patient showed unremarkable neuroi- maging despite full phenotypical presentation. Identiﬁcation</w:t>
      </w:r>
      <w:r>
        <w:rPr>
          <w:color w:val="231F20"/>
          <w:spacing w:val="80"/>
          <w:vertAlign w:val="baseline"/>
        </w:rPr>
        <w:t> </w:t>
      </w:r>
      <w:r>
        <w:rPr>
          <w:color w:val="231F20"/>
          <w:vertAlign w:val="baseline"/>
        </w:rPr>
        <w:t>of further families could shed light on the pathogenesis of </w:t>
      </w:r>
      <w:r>
        <w:rPr>
          <w:color w:val="231F20"/>
          <w:spacing w:val="-2"/>
          <w:vertAlign w:val="baseline"/>
        </w:rPr>
        <w:t>PNKD.</w:t>
      </w:r>
    </w:p>
    <w:p>
      <w:pPr>
        <w:pStyle w:val="BodyText"/>
        <w:spacing w:before="4"/>
      </w:pPr>
    </w:p>
    <w:p>
      <w:pPr>
        <w:pStyle w:val="BodyText"/>
        <w:spacing w:line="230" w:lineRule="auto"/>
        <w:ind w:left="256" w:right="38" w:firstLine="179"/>
        <w:jc w:val="both"/>
      </w:pPr>
      <w:r>
        <w:rPr>
          <w:color w:val="231F20"/>
        </w:rPr>
        <w:t>Author Roles: Conception and design: Nune S. Yeghia- zaryan</w:t>
      </w:r>
      <w:r>
        <w:rPr>
          <w:color w:val="231F20"/>
          <w:spacing w:val="-6"/>
        </w:rPr>
        <w:t> </w:t>
      </w:r>
      <w:r>
        <w:rPr>
          <w:color w:val="231F20"/>
        </w:rPr>
        <w:t>and</w:t>
      </w:r>
      <w:r>
        <w:rPr>
          <w:color w:val="231F20"/>
          <w:spacing w:val="-6"/>
        </w:rPr>
        <w:t> </w:t>
      </w:r>
      <w:r>
        <w:rPr>
          <w:color w:val="231F20"/>
        </w:rPr>
        <w:t>P.</w:t>
      </w:r>
      <w:r>
        <w:rPr>
          <w:color w:val="231F20"/>
          <w:spacing w:val="-8"/>
        </w:rPr>
        <w:t> </w:t>
      </w:r>
      <w:r>
        <w:rPr>
          <w:color w:val="231F20"/>
        </w:rPr>
        <w:t>Striano.</w:t>
      </w:r>
      <w:r>
        <w:rPr>
          <w:color w:val="231F20"/>
          <w:spacing w:val="-7"/>
        </w:rPr>
        <w:t> </w:t>
      </w:r>
      <w:r>
        <w:rPr>
          <w:color w:val="231F20"/>
        </w:rPr>
        <w:t>Data</w:t>
      </w:r>
      <w:r>
        <w:rPr>
          <w:color w:val="231F20"/>
          <w:spacing w:val="-8"/>
        </w:rPr>
        <w:t> </w:t>
      </w:r>
      <w:r>
        <w:rPr>
          <w:color w:val="231F20"/>
        </w:rPr>
        <w:t>acquisition</w:t>
      </w:r>
      <w:r>
        <w:rPr>
          <w:color w:val="231F20"/>
          <w:spacing w:val="-6"/>
        </w:rPr>
        <w:t> </w:t>
      </w:r>
      <w:r>
        <w:rPr>
          <w:color w:val="231F20"/>
        </w:rPr>
        <w:t>and</w:t>
      </w:r>
      <w:r>
        <w:rPr>
          <w:color w:val="231F20"/>
          <w:spacing w:val="-6"/>
        </w:rPr>
        <w:t> </w:t>
      </w:r>
      <w:r>
        <w:rPr>
          <w:color w:val="231F20"/>
        </w:rPr>
        <w:t>analysis:</w:t>
      </w:r>
      <w:r>
        <w:rPr>
          <w:color w:val="231F20"/>
          <w:spacing w:val="-6"/>
        </w:rPr>
        <w:t> </w:t>
      </w:r>
      <w:r>
        <w:rPr>
          <w:color w:val="231F20"/>
        </w:rPr>
        <w:t>P.</w:t>
      </w:r>
      <w:r>
        <w:rPr>
          <w:color w:val="231F20"/>
          <w:spacing w:val="-6"/>
        </w:rPr>
        <w:t> </w:t>
      </w:r>
      <w:r>
        <w:rPr>
          <w:color w:val="231F20"/>
        </w:rPr>
        <w:t>Striano, </w:t>
      </w:r>
      <w:r>
        <w:rPr>
          <w:color w:val="231F20"/>
          <w:spacing w:val="-2"/>
        </w:rPr>
        <w:t>Patrizia</w:t>
      </w:r>
      <w:r>
        <w:rPr>
          <w:color w:val="231F20"/>
          <w:spacing w:val="-4"/>
        </w:rPr>
        <w:t> </w:t>
      </w:r>
      <w:r>
        <w:rPr>
          <w:color w:val="231F20"/>
          <w:spacing w:val="-2"/>
        </w:rPr>
        <w:t>Accorsi,</w:t>
      </w:r>
      <w:r>
        <w:rPr>
          <w:color w:val="231F20"/>
          <w:spacing w:val="-5"/>
        </w:rPr>
        <w:t> </w:t>
      </w:r>
      <w:r>
        <w:rPr>
          <w:color w:val="231F20"/>
          <w:spacing w:val="-2"/>
        </w:rPr>
        <w:t>Lorenzo</w:t>
      </w:r>
      <w:r>
        <w:rPr>
          <w:color w:val="231F20"/>
          <w:spacing w:val="-3"/>
        </w:rPr>
        <w:t> </w:t>
      </w:r>
      <w:r>
        <w:rPr>
          <w:color w:val="231F20"/>
          <w:spacing w:val="-2"/>
        </w:rPr>
        <w:t>Pinelli,</w:t>
      </w:r>
      <w:r>
        <w:rPr>
          <w:color w:val="231F20"/>
          <w:spacing w:val="-3"/>
        </w:rPr>
        <w:t> </w:t>
      </w:r>
      <w:r>
        <w:rPr>
          <w:color w:val="231F20"/>
          <w:spacing w:val="-2"/>
        </w:rPr>
        <w:t>Francesca</w:t>
      </w:r>
      <w:r>
        <w:rPr>
          <w:color w:val="231F20"/>
          <w:spacing w:val="-4"/>
        </w:rPr>
        <w:t> </w:t>
      </w:r>
      <w:r>
        <w:rPr>
          <w:color w:val="231F20"/>
          <w:spacing w:val="-2"/>
        </w:rPr>
        <w:t>Faravelli,</w:t>
      </w:r>
      <w:r>
        <w:rPr>
          <w:color w:val="231F20"/>
          <w:spacing w:val="-3"/>
        </w:rPr>
        <w:t> </w:t>
      </w:r>
      <w:r>
        <w:rPr>
          <w:color w:val="231F20"/>
          <w:spacing w:val="-2"/>
        </w:rPr>
        <w:t>and</w:t>
      </w:r>
      <w:r>
        <w:rPr>
          <w:color w:val="231F20"/>
          <w:spacing w:val="-3"/>
        </w:rPr>
        <w:t> </w:t>
      </w:r>
      <w:r>
        <w:rPr>
          <w:color w:val="231F20"/>
          <w:spacing w:val="-2"/>
        </w:rPr>
        <w:t>Lucio </w:t>
      </w:r>
      <w:r>
        <w:rPr>
          <w:color w:val="231F20"/>
        </w:rPr>
        <w:t>Giordano. Drafting, editing, and revising of the text: Nune S. Yeghiazaryan, P. Striano, Federico Zara, and Carlo Minetti.</w:t>
      </w:r>
    </w:p>
    <w:p>
      <w:pPr>
        <w:pStyle w:val="BodyText"/>
      </w:pPr>
    </w:p>
    <w:p>
      <w:pPr>
        <w:pStyle w:val="BodyText"/>
        <w:spacing w:before="30"/>
      </w:pPr>
    </w:p>
    <w:p>
      <w:pPr>
        <w:pStyle w:val="BodyText"/>
        <w:spacing w:line="203" w:lineRule="exact" w:before="1"/>
        <w:ind w:right="39"/>
        <w:jc w:val="right"/>
      </w:pPr>
      <w:r>
        <w:rPr>
          <w:color w:val="231F20"/>
        </w:rPr>
        <w:t>Nune</w:t>
      </w:r>
      <w:r>
        <w:rPr>
          <w:color w:val="231F20"/>
          <w:spacing w:val="9"/>
        </w:rPr>
        <w:t> </w:t>
      </w:r>
      <w:r>
        <w:rPr>
          <w:color w:val="231F20"/>
        </w:rPr>
        <w:t>S.</w:t>
      </w:r>
      <w:r>
        <w:rPr>
          <w:color w:val="231F20"/>
          <w:spacing w:val="9"/>
        </w:rPr>
        <w:t> </w:t>
      </w:r>
      <w:r>
        <w:rPr>
          <w:color w:val="231F20"/>
        </w:rPr>
        <w:t>Yeghiazaryan,</w:t>
      </w:r>
      <w:r>
        <w:rPr>
          <w:color w:val="231F20"/>
          <w:spacing w:val="11"/>
        </w:rPr>
        <w:t> </w:t>
      </w:r>
      <w:r>
        <w:rPr>
          <w:color w:val="231F20"/>
          <w:spacing w:val="-5"/>
        </w:rPr>
        <w:t>MD*</w:t>
      </w:r>
    </w:p>
    <w:p>
      <w:pPr>
        <w:spacing w:line="200" w:lineRule="exact" w:before="0"/>
        <w:ind w:left="0" w:right="39" w:firstLine="0"/>
        <w:jc w:val="right"/>
        <w:rPr>
          <w:i/>
          <w:sz w:val="18"/>
        </w:rPr>
      </w:pPr>
      <w:r>
        <w:rPr>
          <w:i/>
          <w:color w:val="231F20"/>
          <w:sz w:val="18"/>
        </w:rPr>
        <w:t>Muscular</w:t>
      </w:r>
      <w:r>
        <w:rPr>
          <w:i/>
          <w:color w:val="231F20"/>
          <w:spacing w:val="7"/>
          <w:sz w:val="18"/>
        </w:rPr>
        <w:t> </w:t>
      </w:r>
      <w:r>
        <w:rPr>
          <w:i/>
          <w:color w:val="231F20"/>
          <w:sz w:val="18"/>
        </w:rPr>
        <w:t>and</w:t>
      </w:r>
      <w:r>
        <w:rPr>
          <w:i/>
          <w:color w:val="231F20"/>
          <w:spacing w:val="7"/>
          <w:sz w:val="18"/>
        </w:rPr>
        <w:t> </w:t>
      </w:r>
      <w:r>
        <w:rPr>
          <w:i/>
          <w:color w:val="231F20"/>
          <w:sz w:val="18"/>
        </w:rPr>
        <w:t>Neurodegenerative</w:t>
      </w:r>
      <w:r>
        <w:rPr>
          <w:i/>
          <w:color w:val="231F20"/>
          <w:spacing w:val="8"/>
          <w:sz w:val="18"/>
        </w:rPr>
        <w:t> </w:t>
      </w:r>
      <w:r>
        <w:rPr>
          <w:i/>
          <w:color w:val="231F20"/>
          <w:sz w:val="18"/>
        </w:rPr>
        <w:t>Disease</w:t>
      </w:r>
      <w:r>
        <w:rPr>
          <w:i/>
          <w:color w:val="231F20"/>
          <w:spacing w:val="7"/>
          <w:sz w:val="18"/>
        </w:rPr>
        <w:t> </w:t>
      </w:r>
      <w:r>
        <w:rPr>
          <w:i/>
          <w:color w:val="231F20"/>
          <w:spacing w:val="-4"/>
          <w:sz w:val="18"/>
        </w:rPr>
        <w:t>Unit</w:t>
      </w:r>
    </w:p>
    <w:p>
      <w:pPr>
        <w:spacing w:line="230" w:lineRule="auto" w:before="3"/>
        <w:ind w:left="3826" w:right="39" w:hanging="419"/>
        <w:jc w:val="right"/>
        <w:rPr>
          <w:i/>
          <w:sz w:val="18"/>
        </w:rPr>
      </w:pPr>
      <w:r>
        <w:rPr>
          <w:i/>
          <w:color w:val="231F20"/>
          <w:sz w:val="18"/>
        </w:rPr>
        <w:t>Institute</w:t>
      </w:r>
      <w:r>
        <w:rPr>
          <w:i/>
          <w:color w:val="231F20"/>
          <w:spacing w:val="-5"/>
          <w:sz w:val="18"/>
        </w:rPr>
        <w:t> </w:t>
      </w:r>
      <w:r>
        <w:rPr>
          <w:i/>
          <w:color w:val="231F20"/>
          <w:sz w:val="18"/>
        </w:rPr>
        <w:t>G.</w:t>
      </w:r>
      <w:r>
        <w:rPr>
          <w:i/>
          <w:color w:val="231F20"/>
          <w:spacing w:val="-5"/>
          <w:sz w:val="18"/>
        </w:rPr>
        <w:t> </w:t>
      </w:r>
      <w:r>
        <w:rPr>
          <w:i/>
          <w:color w:val="231F20"/>
          <w:sz w:val="18"/>
        </w:rPr>
        <w:t>Gaslini Genova,</w:t>
      </w:r>
      <w:r>
        <w:rPr>
          <w:i/>
          <w:color w:val="231F20"/>
          <w:spacing w:val="8"/>
          <w:sz w:val="18"/>
        </w:rPr>
        <w:t> </w:t>
      </w:r>
      <w:r>
        <w:rPr>
          <w:i/>
          <w:color w:val="231F20"/>
          <w:spacing w:val="-2"/>
          <w:sz w:val="18"/>
        </w:rPr>
        <w:t>Italy</w:t>
      </w:r>
    </w:p>
    <w:p>
      <w:pPr>
        <w:spacing w:line="197" w:lineRule="exact" w:before="0"/>
        <w:ind w:left="0" w:right="39" w:firstLine="0"/>
        <w:jc w:val="right"/>
        <w:rPr>
          <w:i/>
          <w:sz w:val="18"/>
        </w:rPr>
      </w:pPr>
      <w:r>
        <w:rPr>
          <w:i/>
          <w:color w:val="231F20"/>
          <w:sz w:val="18"/>
        </w:rPr>
        <w:t>Armenian</w:t>
      </w:r>
      <w:r>
        <w:rPr>
          <w:i/>
          <w:color w:val="231F20"/>
          <w:spacing w:val="8"/>
          <w:sz w:val="18"/>
        </w:rPr>
        <w:t> </w:t>
      </w:r>
      <w:r>
        <w:rPr>
          <w:i/>
          <w:color w:val="231F20"/>
          <w:sz w:val="18"/>
        </w:rPr>
        <w:t>Republican</w:t>
      </w:r>
      <w:r>
        <w:rPr>
          <w:i/>
          <w:color w:val="231F20"/>
          <w:spacing w:val="8"/>
          <w:sz w:val="18"/>
        </w:rPr>
        <w:t> </w:t>
      </w:r>
      <w:r>
        <w:rPr>
          <w:i/>
          <w:color w:val="231F20"/>
          <w:sz w:val="18"/>
        </w:rPr>
        <w:t>Epilepsy</w:t>
      </w:r>
      <w:r>
        <w:rPr>
          <w:i/>
          <w:color w:val="231F20"/>
          <w:spacing w:val="8"/>
          <w:sz w:val="18"/>
        </w:rPr>
        <w:t> </w:t>
      </w:r>
      <w:r>
        <w:rPr>
          <w:i/>
          <w:color w:val="231F20"/>
          <w:sz w:val="18"/>
        </w:rPr>
        <w:t>Center</w:t>
      </w:r>
      <w:r>
        <w:rPr>
          <w:i/>
          <w:color w:val="231F20"/>
          <w:spacing w:val="9"/>
          <w:sz w:val="18"/>
        </w:rPr>
        <w:t> </w:t>
      </w:r>
      <w:r>
        <w:rPr>
          <w:i/>
          <w:color w:val="231F20"/>
          <w:spacing w:val="-2"/>
          <w:sz w:val="18"/>
        </w:rPr>
        <w:t>Erebouni</w:t>
      </w:r>
    </w:p>
    <w:p>
      <w:pPr>
        <w:spacing w:line="200" w:lineRule="exact" w:before="0"/>
        <w:ind w:left="0" w:right="40" w:firstLine="0"/>
        <w:jc w:val="right"/>
        <w:rPr>
          <w:i/>
          <w:sz w:val="18"/>
        </w:rPr>
      </w:pPr>
      <w:r>
        <w:rPr>
          <w:i/>
          <w:color w:val="231F20"/>
          <w:sz w:val="18"/>
        </w:rPr>
        <w:t>Yerevan</w:t>
      </w:r>
      <w:r>
        <w:rPr>
          <w:i/>
          <w:color w:val="231F20"/>
          <w:spacing w:val="13"/>
          <w:sz w:val="18"/>
        </w:rPr>
        <w:t> </w:t>
      </w:r>
      <w:r>
        <w:rPr>
          <w:i/>
          <w:color w:val="231F20"/>
          <w:sz w:val="18"/>
        </w:rPr>
        <w:t>State</w:t>
      </w:r>
      <w:r>
        <w:rPr>
          <w:i/>
          <w:color w:val="231F20"/>
          <w:spacing w:val="13"/>
          <w:sz w:val="18"/>
        </w:rPr>
        <w:t> </w:t>
      </w:r>
      <w:r>
        <w:rPr>
          <w:i/>
          <w:color w:val="231F20"/>
          <w:sz w:val="18"/>
        </w:rPr>
        <w:t>Medical</w:t>
      </w:r>
      <w:r>
        <w:rPr>
          <w:i/>
          <w:color w:val="231F20"/>
          <w:spacing w:val="12"/>
          <w:sz w:val="18"/>
        </w:rPr>
        <w:t> </w:t>
      </w:r>
      <w:r>
        <w:rPr>
          <w:i/>
          <w:color w:val="231F20"/>
          <w:spacing w:val="-2"/>
          <w:sz w:val="18"/>
        </w:rPr>
        <w:t>University</w:t>
      </w:r>
    </w:p>
    <w:p>
      <w:pPr>
        <w:spacing w:line="199" w:lineRule="exact" w:before="0"/>
        <w:ind w:left="0" w:right="40" w:firstLine="0"/>
        <w:jc w:val="right"/>
        <w:rPr>
          <w:i/>
          <w:sz w:val="18"/>
        </w:rPr>
      </w:pPr>
      <w:r>
        <w:rPr>
          <w:i/>
          <w:color w:val="231F20"/>
          <w:sz w:val="18"/>
        </w:rPr>
        <w:t>Yerevan,</w:t>
      </w:r>
      <w:r>
        <w:rPr>
          <w:i/>
          <w:color w:val="231F20"/>
          <w:spacing w:val="8"/>
          <w:sz w:val="18"/>
        </w:rPr>
        <w:t> </w:t>
      </w:r>
      <w:r>
        <w:rPr>
          <w:i/>
          <w:color w:val="231F20"/>
          <w:spacing w:val="-2"/>
          <w:sz w:val="18"/>
        </w:rPr>
        <w:t>Armenia</w:t>
      </w:r>
    </w:p>
    <w:p>
      <w:pPr>
        <w:spacing w:line="203" w:lineRule="exact" w:before="0"/>
        <w:ind w:left="0" w:right="40" w:firstLine="0"/>
        <w:jc w:val="right"/>
        <w:rPr>
          <w:i/>
          <w:sz w:val="18"/>
        </w:rPr>
      </w:pPr>
      <w:r>
        <w:rPr>
          <w:i/>
          <w:color w:val="231F20"/>
          <w:sz w:val="18"/>
        </w:rPr>
        <w:t>*E-mail:</w:t>
      </w:r>
      <w:r>
        <w:rPr>
          <w:i/>
          <w:color w:val="231F20"/>
          <w:spacing w:val="4"/>
          <w:sz w:val="18"/>
        </w:rPr>
        <w:t> </w:t>
      </w:r>
      <w:hyperlink r:id="rId14">
        <w:r>
          <w:rPr>
            <w:i/>
            <w:color w:val="231F20"/>
            <w:sz w:val="18"/>
          </w:rPr>
          <w:t>ynune@yahoo.com;</w:t>
        </w:r>
      </w:hyperlink>
      <w:r>
        <w:rPr>
          <w:i/>
          <w:color w:val="231F20"/>
          <w:spacing w:val="5"/>
          <w:sz w:val="18"/>
        </w:rPr>
        <w:t> </w:t>
      </w:r>
      <w:hyperlink r:id="rId15">
        <w:r>
          <w:rPr>
            <w:i/>
            <w:color w:val="231F20"/>
            <w:spacing w:val="-2"/>
            <w:sz w:val="18"/>
          </w:rPr>
          <w:t>nunepilepsy@gmail.com</w:t>
        </w:r>
      </w:hyperlink>
    </w:p>
    <w:p>
      <w:pPr>
        <w:pStyle w:val="BodyText"/>
        <w:spacing w:line="203" w:lineRule="exact" w:before="192"/>
        <w:ind w:right="40"/>
        <w:jc w:val="right"/>
      </w:pPr>
      <w:r>
        <w:rPr>
          <w:color w:val="231F20"/>
        </w:rPr>
        <w:t>Pasquale</w:t>
      </w:r>
      <w:r>
        <w:rPr>
          <w:color w:val="231F20"/>
          <w:spacing w:val="9"/>
        </w:rPr>
        <w:t> </w:t>
      </w:r>
      <w:r>
        <w:rPr>
          <w:color w:val="231F20"/>
        </w:rPr>
        <w:t>Striano,</w:t>
      </w:r>
      <w:r>
        <w:rPr>
          <w:color w:val="231F20"/>
          <w:spacing w:val="9"/>
        </w:rPr>
        <w:t> </w:t>
      </w:r>
      <w:r>
        <w:rPr>
          <w:color w:val="231F20"/>
        </w:rPr>
        <w:t>MD,</w:t>
      </w:r>
      <w:r>
        <w:rPr>
          <w:color w:val="231F20"/>
          <w:spacing w:val="10"/>
        </w:rPr>
        <w:t> </w:t>
      </w:r>
      <w:r>
        <w:rPr>
          <w:color w:val="231F20"/>
          <w:spacing w:val="-5"/>
        </w:rPr>
        <w:t>PhD</w:t>
      </w:r>
    </w:p>
    <w:p>
      <w:pPr>
        <w:spacing w:line="199" w:lineRule="exact" w:before="0"/>
        <w:ind w:left="0" w:right="39" w:firstLine="0"/>
        <w:jc w:val="right"/>
        <w:rPr>
          <w:i/>
          <w:sz w:val="18"/>
        </w:rPr>
      </w:pPr>
      <w:r>
        <w:rPr>
          <w:i/>
          <w:color w:val="231F20"/>
          <w:sz w:val="18"/>
        </w:rPr>
        <w:t>Muscular</w:t>
      </w:r>
      <w:r>
        <w:rPr>
          <w:i/>
          <w:color w:val="231F20"/>
          <w:spacing w:val="7"/>
          <w:sz w:val="18"/>
        </w:rPr>
        <w:t> </w:t>
      </w:r>
      <w:r>
        <w:rPr>
          <w:i/>
          <w:color w:val="231F20"/>
          <w:sz w:val="18"/>
        </w:rPr>
        <w:t>and</w:t>
      </w:r>
      <w:r>
        <w:rPr>
          <w:i/>
          <w:color w:val="231F20"/>
          <w:spacing w:val="7"/>
          <w:sz w:val="18"/>
        </w:rPr>
        <w:t> </w:t>
      </w:r>
      <w:r>
        <w:rPr>
          <w:i/>
          <w:color w:val="231F20"/>
          <w:sz w:val="18"/>
        </w:rPr>
        <w:t>Neurodegenerative</w:t>
      </w:r>
      <w:r>
        <w:rPr>
          <w:i/>
          <w:color w:val="231F20"/>
          <w:spacing w:val="8"/>
          <w:sz w:val="18"/>
        </w:rPr>
        <w:t> </w:t>
      </w:r>
      <w:r>
        <w:rPr>
          <w:i/>
          <w:color w:val="231F20"/>
          <w:sz w:val="18"/>
        </w:rPr>
        <w:t>Disease</w:t>
      </w:r>
      <w:r>
        <w:rPr>
          <w:i/>
          <w:color w:val="231F20"/>
          <w:spacing w:val="7"/>
          <w:sz w:val="18"/>
        </w:rPr>
        <w:t> </w:t>
      </w:r>
      <w:r>
        <w:rPr>
          <w:i/>
          <w:color w:val="231F20"/>
          <w:spacing w:val="-4"/>
          <w:sz w:val="18"/>
        </w:rPr>
        <w:t>Unit</w:t>
      </w:r>
    </w:p>
    <w:p>
      <w:pPr>
        <w:spacing w:line="230" w:lineRule="auto" w:before="2"/>
        <w:ind w:left="3826" w:right="39" w:hanging="419"/>
        <w:jc w:val="right"/>
        <w:rPr>
          <w:i/>
          <w:sz w:val="18"/>
        </w:rPr>
      </w:pPr>
      <w:r>
        <w:rPr>
          <w:i/>
          <w:color w:val="231F20"/>
          <w:sz w:val="18"/>
        </w:rPr>
        <w:t>Institute</w:t>
      </w:r>
      <w:r>
        <w:rPr>
          <w:i/>
          <w:color w:val="231F20"/>
          <w:spacing w:val="-5"/>
          <w:sz w:val="18"/>
        </w:rPr>
        <w:t> </w:t>
      </w:r>
      <w:r>
        <w:rPr>
          <w:i/>
          <w:color w:val="231F20"/>
          <w:sz w:val="18"/>
        </w:rPr>
        <w:t>G.</w:t>
      </w:r>
      <w:r>
        <w:rPr>
          <w:i/>
          <w:color w:val="231F20"/>
          <w:spacing w:val="-5"/>
          <w:sz w:val="18"/>
        </w:rPr>
        <w:t> </w:t>
      </w:r>
      <w:r>
        <w:rPr>
          <w:i/>
          <w:color w:val="231F20"/>
          <w:sz w:val="18"/>
        </w:rPr>
        <w:t>Gaslini Genova,</w:t>
      </w:r>
      <w:r>
        <w:rPr>
          <w:i/>
          <w:color w:val="231F20"/>
          <w:spacing w:val="8"/>
          <w:sz w:val="18"/>
        </w:rPr>
        <w:t> </w:t>
      </w:r>
      <w:r>
        <w:rPr>
          <w:i/>
          <w:color w:val="231F20"/>
          <w:spacing w:val="-2"/>
          <w:sz w:val="18"/>
        </w:rPr>
        <w:t>Italy</w:t>
      </w:r>
    </w:p>
    <w:p>
      <w:pPr>
        <w:pStyle w:val="BodyText"/>
        <w:spacing w:line="203" w:lineRule="exact" w:before="195"/>
        <w:ind w:right="39"/>
        <w:jc w:val="right"/>
      </w:pPr>
      <w:r>
        <w:rPr>
          <w:color w:val="231F20"/>
        </w:rPr>
        <w:t>Patrizia</w:t>
      </w:r>
      <w:r>
        <w:rPr>
          <w:color w:val="231F20"/>
          <w:spacing w:val="11"/>
        </w:rPr>
        <w:t> </w:t>
      </w:r>
      <w:r>
        <w:rPr>
          <w:color w:val="231F20"/>
        </w:rPr>
        <w:t>Accorsi,</w:t>
      </w:r>
      <w:r>
        <w:rPr>
          <w:color w:val="231F20"/>
          <w:spacing w:val="12"/>
        </w:rPr>
        <w:t> </w:t>
      </w:r>
      <w:r>
        <w:rPr>
          <w:color w:val="231F20"/>
          <w:spacing w:val="-5"/>
        </w:rPr>
        <w:t>MD</w:t>
      </w:r>
    </w:p>
    <w:p>
      <w:pPr>
        <w:spacing w:line="199" w:lineRule="exact" w:before="0"/>
        <w:ind w:left="0" w:right="40" w:firstLine="0"/>
        <w:jc w:val="right"/>
        <w:rPr>
          <w:i/>
          <w:sz w:val="18"/>
        </w:rPr>
      </w:pPr>
      <w:r>
        <w:rPr>
          <w:i/>
          <w:color w:val="231F20"/>
          <w:sz w:val="18"/>
        </w:rPr>
        <w:t>Pediatric</w:t>
      </w:r>
      <w:r>
        <w:rPr>
          <w:i/>
          <w:color w:val="231F20"/>
          <w:spacing w:val="8"/>
          <w:sz w:val="18"/>
        </w:rPr>
        <w:t> </w:t>
      </w:r>
      <w:r>
        <w:rPr>
          <w:i/>
          <w:color w:val="231F20"/>
          <w:sz w:val="18"/>
        </w:rPr>
        <w:t>Neuropsychiatric</w:t>
      </w:r>
      <w:r>
        <w:rPr>
          <w:i/>
          <w:color w:val="231F20"/>
          <w:spacing w:val="9"/>
          <w:sz w:val="18"/>
        </w:rPr>
        <w:t> </w:t>
      </w:r>
      <w:r>
        <w:rPr>
          <w:i/>
          <w:color w:val="231F20"/>
          <w:spacing w:val="-2"/>
          <w:sz w:val="18"/>
        </w:rPr>
        <w:t>Division</w:t>
      </w:r>
    </w:p>
    <w:p>
      <w:pPr>
        <w:spacing w:line="230" w:lineRule="auto" w:before="3"/>
        <w:ind w:left="3835" w:right="39" w:hanging="107"/>
        <w:jc w:val="right"/>
        <w:rPr>
          <w:i/>
          <w:sz w:val="18"/>
        </w:rPr>
      </w:pPr>
      <w:r>
        <w:rPr>
          <w:i/>
          <w:color w:val="231F20"/>
          <w:sz w:val="18"/>
        </w:rPr>
        <w:t>Spedali</w:t>
      </w:r>
      <w:r>
        <w:rPr>
          <w:i/>
          <w:color w:val="231F20"/>
          <w:spacing w:val="-6"/>
          <w:sz w:val="18"/>
        </w:rPr>
        <w:t> </w:t>
      </w:r>
      <w:r>
        <w:rPr>
          <w:i/>
          <w:color w:val="231F20"/>
          <w:sz w:val="18"/>
        </w:rPr>
        <w:t>Riuniti Brescia,</w:t>
      </w:r>
      <w:r>
        <w:rPr>
          <w:i/>
          <w:color w:val="231F20"/>
          <w:spacing w:val="9"/>
          <w:sz w:val="18"/>
        </w:rPr>
        <w:t> </w:t>
      </w:r>
      <w:r>
        <w:rPr>
          <w:i/>
          <w:color w:val="231F20"/>
          <w:spacing w:val="-2"/>
          <w:sz w:val="18"/>
        </w:rPr>
        <w:t>Italy</w:t>
      </w:r>
    </w:p>
    <w:p>
      <w:pPr>
        <w:pStyle w:val="BodyText"/>
        <w:spacing w:line="203" w:lineRule="exact" w:before="193"/>
        <w:ind w:right="39"/>
        <w:jc w:val="right"/>
      </w:pPr>
      <w:r>
        <w:rPr>
          <w:color w:val="231F20"/>
        </w:rPr>
        <w:t>Lorenzo</w:t>
      </w:r>
      <w:r>
        <w:rPr>
          <w:color w:val="231F20"/>
          <w:spacing w:val="11"/>
        </w:rPr>
        <w:t> </w:t>
      </w:r>
      <w:r>
        <w:rPr>
          <w:color w:val="231F20"/>
        </w:rPr>
        <w:t>Pinelli,</w:t>
      </w:r>
      <w:r>
        <w:rPr>
          <w:color w:val="231F20"/>
          <w:spacing w:val="12"/>
        </w:rPr>
        <w:t> </w:t>
      </w:r>
      <w:r>
        <w:rPr>
          <w:color w:val="231F20"/>
          <w:spacing w:val="-5"/>
        </w:rPr>
        <w:t>MD</w:t>
      </w:r>
    </w:p>
    <w:p>
      <w:pPr>
        <w:spacing w:line="200" w:lineRule="exact" w:before="0"/>
        <w:ind w:left="0" w:right="40" w:firstLine="0"/>
        <w:jc w:val="right"/>
        <w:rPr>
          <w:i/>
          <w:sz w:val="18"/>
        </w:rPr>
      </w:pPr>
      <w:r>
        <w:rPr>
          <w:i/>
          <w:color w:val="231F20"/>
          <w:sz w:val="18"/>
        </w:rPr>
        <w:t>Neuroradiology</w:t>
      </w:r>
      <w:r>
        <w:rPr>
          <w:i/>
          <w:color w:val="231F20"/>
          <w:spacing w:val="3"/>
          <w:sz w:val="18"/>
        </w:rPr>
        <w:t> </w:t>
      </w:r>
      <w:r>
        <w:rPr>
          <w:i/>
          <w:color w:val="231F20"/>
          <w:spacing w:val="-2"/>
          <w:sz w:val="18"/>
        </w:rPr>
        <w:t>Department</w:t>
      </w:r>
    </w:p>
    <w:p>
      <w:pPr>
        <w:spacing w:line="230" w:lineRule="auto" w:before="3"/>
        <w:ind w:left="3835" w:right="39" w:hanging="107"/>
        <w:jc w:val="right"/>
        <w:rPr>
          <w:i/>
          <w:sz w:val="18"/>
        </w:rPr>
      </w:pPr>
      <w:r>
        <w:rPr>
          <w:i/>
          <w:color w:val="231F20"/>
          <w:sz w:val="18"/>
        </w:rPr>
        <w:t>Spedali</w:t>
      </w:r>
      <w:r>
        <w:rPr>
          <w:i/>
          <w:color w:val="231F20"/>
          <w:spacing w:val="-6"/>
          <w:sz w:val="18"/>
        </w:rPr>
        <w:t> </w:t>
      </w:r>
      <w:r>
        <w:rPr>
          <w:i/>
          <w:color w:val="231F20"/>
          <w:sz w:val="18"/>
        </w:rPr>
        <w:t>Riuniti Brescia,</w:t>
      </w:r>
      <w:r>
        <w:rPr>
          <w:i/>
          <w:color w:val="231F20"/>
          <w:spacing w:val="9"/>
          <w:sz w:val="18"/>
        </w:rPr>
        <w:t> </w:t>
      </w:r>
      <w:r>
        <w:rPr>
          <w:i/>
          <w:color w:val="231F20"/>
          <w:spacing w:val="-2"/>
          <w:sz w:val="18"/>
        </w:rPr>
        <w:t>Italy</w:t>
      </w:r>
    </w:p>
    <w:p>
      <w:pPr>
        <w:pStyle w:val="BodyText"/>
        <w:spacing w:line="203" w:lineRule="exact" w:before="194"/>
        <w:ind w:right="39"/>
        <w:jc w:val="right"/>
      </w:pPr>
      <w:r>
        <w:rPr>
          <w:color w:val="231F20"/>
        </w:rPr>
        <w:t>Francesca</w:t>
      </w:r>
      <w:r>
        <w:rPr>
          <w:color w:val="231F20"/>
          <w:spacing w:val="10"/>
        </w:rPr>
        <w:t> </w:t>
      </w:r>
      <w:r>
        <w:rPr>
          <w:color w:val="231F20"/>
        </w:rPr>
        <w:t>Faravelli,</w:t>
      </w:r>
      <w:r>
        <w:rPr>
          <w:color w:val="231F20"/>
          <w:spacing w:val="12"/>
        </w:rPr>
        <w:t> </w:t>
      </w:r>
      <w:r>
        <w:rPr>
          <w:color w:val="231F20"/>
          <w:spacing w:val="-5"/>
        </w:rPr>
        <w:t>MD</w:t>
      </w:r>
    </w:p>
    <w:p>
      <w:pPr>
        <w:spacing w:line="199" w:lineRule="exact" w:before="0"/>
        <w:ind w:left="0" w:right="40" w:firstLine="0"/>
        <w:jc w:val="right"/>
        <w:rPr>
          <w:i/>
          <w:sz w:val="18"/>
        </w:rPr>
      </w:pPr>
      <w:r>
        <w:rPr>
          <w:i/>
          <w:color w:val="231F20"/>
          <w:sz w:val="18"/>
        </w:rPr>
        <w:t>Laboratory</w:t>
      </w:r>
      <w:r>
        <w:rPr>
          <w:i/>
          <w:color w:val="231F20"/>
          <w:spacing w:val="10"/>
          <w:sz w:val="18"/>
        </w:rPr>
        <w:t> </w:t>
      </w:r>
      <w:r>
        <w:rPr>
          <w:i/>
          <w:color w:val="231F20"/>
          <w:sz w:val="18"/>
        </w:rPr>
        <w:t>of</w:t>
      </w:r>
      <w:r>
        <w:rPr>
          <w:i/>
          <w:color w:val="231F20"/>
          <w:spacing w:val="9"/>
          <w:sz w:val="18"/>
        </w:rPr>
        <w:t> </w:t>
      </w:r>
      <w:r>
        <w:rPr>
          <w:i/>
          <w:color w:val="231F20"/>
          <w:sz w:val="18"/>
        </w:rPr>
        <w:t>Human</w:t>
      </w:r>
      <w:r>
        <w:rPr>
          <w:i/>
          <w:color w:val="231F20"/>
          <w:spacing w:val="10"/>
          <w:sz w:val="18"/>
        </w:rPr>
        <w:t> </w:t>
      </w:r>
      <w:r>
        <w:rPr>
          <w:i/>
          <w:color w:val="231F20"/>
          <w:spacing w:val="-2"/>
          <w:sz w:val="18"/>
        </w:rPr>
        <w:t>Genetics</w:t>
      </w:r>
    </w:p>
    <w:p>
      <w:pPr>
        <w:spacing w:line="230" w:lineRule="auto" w:before="2"/>
        <w:ind w:left="3826" w:right="39" w:hanging="294"/>
        <w:jc w:val="right"/>
        <w:rPr>
          <w:i/>
          <w:sz w:val="18"/>
        </w:rPr>
      </w:pPr>
      <w:r>
        <w:rPr>
          <w:i/>
          <w:color w:val="231F20"/>
          <w:sz w:val="18"/>
        </w:rPr>
        <w:t>Galliera</w:t>
      </w:r>
      <w:r>
        <w:rPr>
          <w:i/>
          <w:color w:val="231F20"/>
          <w:spacing w:val="-6"/>
          <w:sz w:val="18"/>
        </w:rPr>
        <w:t> </w:t>
      </w:r>
      <w:r>
        <w:rPr>
          <w:i/>
          <w:color w:val="231F20"/>
          <w:sz w:val="18"/>
        </w:rPr>
        <w:t>Hospital Genova,</w:t>
      </w:r>
      <w:r>
        <w:rPr>
          <w:i/>
          <w:color w:val="231F20"/>
          <w:spacing w:val="8"/>
          <w:sz w:val="18"/>
        </w:rPr>
        <w:t> </w:t>
      </w:r>
      <w:r>
        <w:rPr>
          <w:i/>
          <w:color w:val="231F20"/>
          <w:spacing w:val="-2"/>
          <w:sz w:val="18"/>
        </w:rPr>
        <w:t>Italy</w:t>
      </w:r>
    </w:p>
    <w:p>
      <w:pPr>
        <w:pStyle w:val="BodyText"/>
        <w:spacing w:line="203" w:lineRule="exact" w:before="193"/>
        <w:ind w:right="40"/>
        <w:jc w:val="right"/>
      </w:pPr>
      <w:r>
        <w:rPr>
          <w:color w:val="231F20"/>
        </w:rPr>
        <w:t>Federico</w:t>
      </w:r>
      <w:r>
        <w:rPr>
          <w:color w:val="231F20"/>
          <w:spacing w:val="11"/>
        </w:rPr>
        <w:t> </w:t>
      </w:r>
      <w:r>
        <w:rPr>
          <w:color w:val="231F20"/>
        </w:rPr>
        <w:t>Zara,</w:t>
      </w:r>
      <w:r>
        <w:rPr>
          <w:color w:val="231F20"/>
          <w:spacing w:val="11"/>
        </w:rPr>
        <w:t> </w:t>
      </w:r>
      <w:r>
        <w:rPr>
          <w:color w:val="231F20"/>
          <w:spacing w:val="-5"/>
        </w:rPr>
        <w:t>PhD</w:t>
      </w:r>
    </w:p>
    <w:p>
      <w:pPr>
        <w:spacing w:line="200" w:lineRule="exact" w:before="0"/>
        <w:ind w:left="0" w:right="39" w:firstLine="0"/>
        <w:jc w:val="right"/>
        <w:rPr>
          <w:i/>
          <w:sz w:val="18"/>
        </w:rPr>
      </w:pPr>
      <w:r>
        <w:rPr>
          <w:i/>
          <w:color w:val="231F20"/>
          <w:sz w:val="18"/>
        </w:rPr>
        <w:t>Muscular</w:t>
      </w:r>
      <w:r>
        <w:rPr>
          <w:i/>
          <w:color w:val="231F20"/>
          <w:spacing w:val="7"/>
          <w:sz w:val="18"/>
        </w:rPr>
        <w:t> </w:t>
      </w:r>
      <w:r>
        <w:rPr>
          <w:i/>
          <w:color w:val="231F20"/>
          <w:sz w:val="18"/>
        </w:rPr>
        <w:t>and</w:t>
      </w:r>
      <w:r>
        <w:rPr>
          <w:i/>
          <w:color w:val="231F20"/>
          <w:spacing w:val="7"/>
          <w:sz w:val="18"/>
        </w:rPr>
        <w:t> </w:t>
      </w:r>
      <w:r>
        <w:rPr>
          <w:i/>
          <w:color w:val="231F20"/>
          <w:sz w:val="18"/>
        </w:rPr>
        <w:t>Neurodegenerative</w:t>
      </w:r>
      <w:r>
        <w:rPr>
          <w:i/>
          <w:color w:val="231F20"/>
          <w:spacing w:val="8"/>
          <w:sz w:val="18"/>
        </w:rPr>
        <w:t> </w:t>
      </w:r>
      <w:r>
        <w:rPr>
          <w:i/>
          <w:color w:val="231F20"/>
          <w:sz w:val="18"/>
        </w:rPr>
        <w:t>Disease</w:t>
      </w:r>
      <w:r>
        <w:rPr>
          <w:i/>
          <w:color w:val="231F20"/>
          <w:spacing w:val="7"/>
          <w:sz w:val="18"/>
        </w:rPr>
        <w:t> </w:t>
      </w:r>
      <w:r>
        <w:rPr>
          <w:i/>
          <w:color w:val="231F20"/>
          <w:spacing w:val="-4"/>
          <w:sz w:val="18"/>
        </w:rPr>
        <w:t>Unit</w:t>
      </w:r>
    </w:p>
    <w:p>
      <w:pPr>
        <w:spacing w:line="230" w:lineRule="auto" w:before="3"/>
        <w:ind w:left="3826" w:right="39" w:hanging="419"/>
        <w:jc w:val="right"/>
        <w:rPr>
          <w:i/>
          <w:sz w:val="18"/>
        </w:rPr>
      </w:pPr>
      <w:r>
        <w:rPr>
          <w:i/>
          <w:color w:val="231F20"/>
          <w:sz w:val="18"/>
        </w:rPr>
        <w:t>Institute</w:t>
      </w:r>
      <w:r>
        <w:rPr>
          <w:i/>
          <w:color w:val="231F20"/>
          <w:spacing w:val="-5"/>
          <w:sz w:val="18"/>
        </w:rPr>
        <w:t> </w:t>
      </w:r>
      <w:r>
        <w:rPr>
          <w:i/>
          <w:color w:val="231F20"/>
          <w:sz w:val="18"/>
        </w:rPr>
        <w:t>G.</w:t>
      </w:r>
      <w:r>
        <w:rPr>
          <w:i/>
          <w:color w:val="231F20"/>
          <w:spacing w:val="-5"/>
          <w:sz w:val="18"/>
        </w:rPr>
        <w:t> </w:t>
      </w:r>
      <w:r>
        <w:rPr>
          <w:i/>
          <w:color w:val="231F20"/>
          <w:sz w:val="18"/>
        </w:rPr>
        <w:t>Gaslini Genova,</w:t>
      </w:r>
      <w:r>
        <w:rPr>
          <w:i/>
          <w:color w:val="231F20"/>
          <w:spacing w:val="8"/>
          <w:sz w:val="18"/>
        </w:rPr>
        <w:t> </w:t>
      </w:r>
      <w:r>
        <w:rPr>
          <w:i/>
          <w:color w:val="231F20"/>
          <w:spacing w:val="-2"/>
          <w:sz w:val="18"/>
        </w:rPr>
        <w:t>Italy</w:t>
      </w:r>
    </w:p>
    <w:p>
      <w:pPr>
        <w:pStyle w:val="BodyText"/>
        <w:spacing w:line="203" w:lineRule="exact" w:before="194"/>
        <w:ind w:right="39"/>
        <w:jc w:val="right"/>
      </w:pPr>
      <w:r>
        <w:rPr>
          <w:color w:val="231F20"/>
        </w:rPr>
        <w:t>Carlo</w:t>
      </w:r>
      <w:r>
        <w:rPr>
          <w:color w:val="231F20"/>
          <w:spacing w:val="10"/>
        </w:rPr>
        <w:t> </w:t>
      </w:r>
      <w:r>
        <w:rPr>
          <w:color w:val="231F20"/>
        </w:rPr>
        <w:t>Minetti,</w:t>
      </w:r>
      <w:r>
        <w:rPr>
          <w:color w:val="231F20"/>
          <w:spacing w:val="10"/>
        </w:rPr>
        <w:t> </w:t>
      </w:r>
      <w:r>
        <w:rPr>
          <w:color w:val="231F20"/>
          <w:spacing w:val="-5"/>
        </w:rPr>
        <w:t>MD</w:t>
      </w:r>
    </w:p>
    <w:p>
      <w:pPr>
        <w:spacing w:line="200" w:lineRule="exact" w:before="0"/>
        <w:ind w:left="0" w:right="39" w:firstLine="0"/>
        <w:jc w:val="right"/>
        <w:rPr>
          <w:i/>
          <w:sz w:val="18"/>
        </w:rPr>
      </w:pPr>
      <w:r>
        <w:rPr>
          <w:i/>
          <w:color w:val="231F20"/>
          <w:sz w:val="18"/>
        </w:rPr>
        <w:t>Muscular</w:t>
      </w:r>
      <w:r>
        <w:rPr>
          <w:i/>
          <w:color w:val="231F20"/>
          <w:spacing w:val="7"/>
          <w:sz w:val="18"/>
        </w:rPr>
        <w:t> </w:t>
      </w:r>
      <w:r>
        <w:rPr>
          <w:i/>
          <w:color w:val="231F20"/>
          <w:sz w:val="18"/>
        </w:rPr>
        <w:t>and</w:t>
      </w:r>
      <w:r>
        <w:rPr>
          <w:i/>
          <w:color w:val="231F20"/>
          <w:spacing w:val="7"/>
          <w:sz w:val="18"/>
        </w:rPr>
        <w:t> </w:t>
      </w:r>
      <w:r>
        <w:rPr>
          <w:i/>
          <w:color w:val="231F20"/>
          <w:sz w:val="18"/>
        </w:rPr>
        <w:t>Neurodegenerative</w:t>
      </w:r>
      <w:r>
        <w:rPr>
          <w:i/>
          <w:color w:val="231F20"/>
          <w:spacing w:val="8"/>
          <w:sz w:val="18"/>
        </w:rPr>
        <w:t> </w:t>
      </w:r>
      <w:r>
        <w:rPr>
          <w:i/>
          <w:color w:val="231F20"/>
          <w:sz w:val="18"/>
        </w:rPr>
        <w:t>Disease</w:t>
      </w:r>
      <w:r>
        <w:rPr>
          <w:i/>
          <w:color w:val="231F20"/>
          <w:spacing w:val="7"/>
          <w:sz w:val="18"/>
        </w:rPr>
        <w:t> </w:t>
      </w:r>
      <w:r>
        <w:rPr>
          <w:i/>
          <w:color w:val="231F20"/>
          <w:spacing w:val="-4"/>
          <w:sz w:val="18"/>
        </w:rPr>
        <w:t>Unit</w:t>
      </w:r>
    </w:p>
    <w:p>
      <w:pPr>
        <w:spacing w:line="230" w:lineRule="auto" w:before="3"/>
        <w:ind w:left="3826" w:right="39" w:hanging="419"/>
        <w:jc w:val="right"/>
        <w:rPr>
          <w:i/>
          <w:sz w:val="18"/>
        </w:rPr>
      </w:pPr>
      <w:r>
        <w:rPr>
          <w:i/>
          <w:color w:val="231F20"/>
          <w:sz w:val="18"/>
        </w:rPr>
        <w:t>Institute</w:t>
      </w:r>
      <w:r>
        <w:rPr>
          <w:i/>
          <w:color w:val="231F20"/>
          <w:spacing w:val="-5"/>
          <w:sz w:val="18"/>
        </w:rPr>
        <w:t> </w:t>
      </w:r>
      <w:r>
        <w:rPr>
          <w:i/>
          <w:color w:val="231F20"/>
          <w:sz w:val="18"/>
        </w:rPr>
        <w:t>G.</w:t>
      </w:r>
      <w:r>
        <w:rPr>
          <w:i/>
          <w:color w:val="231F20"/>
          <w:spacing w:val="-5"/>
          <w:sz w:val="18"/>
        </w:rPr>
        <w:t> </w:t>
      </w:r>
      <w:r>
        <w:rPr>
          <w:i/>
          <w:color w:val="231F20"/>
          <w:sz w:val="18"/>
        </w:rPr>
        <w:t>Gaslini Genova,</w:t>
      </w:r>
      <w:r>
        <w:rPr>
          <w:i/>
          <w:color w:val="231F20"/>
          <w:spacing w:val="8"/>
          <w:sz w:val="18"/>
        </w:rPr>
        <w:t> </w:t>
      </w:r>
      <w:r>
        <w:rPr>
          <w:i/>
          <w:color w:val="231F20"/>
          <w:spacing w:val="-2"/>
          <w:sz w:val="18"/>
        </w:rPr>
        <w:t>Italy</w:t>
      </w:r>
    </w:p>
    <w:p>
      <w:pPr>
        <w:pStyle w:val="BodyText"/>
        <w:spacing w:line="203" w:lineRule="exact" w:before="71"/>
        <w:ind w:right="216"/>
        <w:jc w:val="right"/>
      </w:pPr>
      <w:r>
        <w:rPr/>
        <w:br w:type="column"/>
      </w:r>
      <w:r>
        <w:rPr>
          <w:color w:val="231F20"/>
        </w:rPr>
        <w:t>Lucio</w:t>
      </w:r>
      <w:r>
        <w:rPr>
          <w:color w:val="231F20"/>
          <w:spacing w:val="11"/>
        </w:rPr>
        <w:t> </w:t>
      </w:r>
      <w:r>
        <w:rPr>
          <w:color w:val="231F20"/>
        </w:rPr>
        <w:t>Giordano,</w:t>
      </w:r>
      <w:r>
        <w:rPr>
          <w:color w:val="231F20"/>
          <w:spacing w:val="10"/>
        </w:rPr>
        <w:t> </w:t>
      </w:r>
      <w:r>
        <w:rPr>
          <w:color w:val="231F20"/>
          <w:spacing w:val="-5"/>
        </w:rPr>
        <w:t>MD</w:t>
      </w:r>
    </w:p>
    <w:p>
      <w:pPr>
        <w:spacing w:line="199" w:lineRule="exact" w:before="0"/>
        <w:ind w:left="0" w:right="217" w:firstLine="0"/>
        <w:jc w:val="right"/>
        <w:rPr>
          <w:i/>
          <w:sz w:val="18"/>
        </w:rPr>
      </w:pPr>
      <w:r>
        <w:rPr>
          <w:i/>
          <w:color w:val="231F20"/>
          <w:sz w:val="18"/>
        </w:rPr>
        <w:t>Pediatric</w:t>
      </w:r>
      <w:r>
        <w:rPr>
          <w:i/>
          <w:color w:val="231F20"/>
          <w:spacing w:val="8"/>
          <w:sz w:val="18"/>
        </w:rPr>
        <w:t> </w:t>
      </w:r>
      <w:r>
        <w:rPr>
          <w:i/>
          <w:color w:val="231F20"/>
          <w:sz w:val="18"/>
        </w:rPr>
        <w:t>Neuropsychiatric</w:t>
      </w:r>
      <w:r>
        <w:rPr>
          <w:i/>
          <w:color w:val="231F20"/>
          <w:spacing w:val="9"/>
          <w:sz w:val="18"/>
        </w:rPr>
        <w:t> </w:t>
      </w:r>
      <w:r>
        <w:rPr>
          <w:i/>
          <w:color w:val="231F20"/>
          <w:spacing w:val="-2"/>
          <w:sz w:val="18"/>
        </w:rPr>
        <w:t>Division</w:t>
      </w:r>
    </w:p>
    <w:p>
      <w:pPr>
        <w:spacing w:line="230" w:lineRule="auto" w:before="3"/>
        <w:ind w:left="3835" w:right="216" w:hanging="107"/>
        <w:jc w:val="right"/>
        <w:rPr>
          <w:i/>
          <w:sz w:val="18"/>
        </w:rPr>
      </w:pPr>
      <w:r>
        <w:rPr>
          <w:i/>
          <w:color w:val="231F20"/>
          <w:sz w:val="18"/>
        </w:rPr>
        <w:t>Spedali</w:t>
      </w:r>
      <w:r>
        <w:rPr>
          <w:i/>
          <w:color w:val="231F20"/>
          <w:spacing w:val="-6"/>
          <w:sz w:val="18"/>
        </w:rPr>
        <w:t> </w:t>
      </w:r>
      <w:r>
        <w:rPr>
          <w:i/>
          <w:color w:val="231F20"/>
          <w:sz w:val="18"/>
        </w:rPr>
        <w:t>Riuniti Brescia,</w:t>
      </w:r>
      <w:r>
        <w:rPr>
          <w:i/>
          <w:color w:val="231F20"/>
          <w:spacing w:val="9"/>
          <w:sz w:val="18"/>
        </w:rPr>
        <w:t> </w:t>
      </w:r>
      <w:r>
        <w:rPr>
          <w:i/>
          <w:color w:val="231F20"/>
          <w:spacing w:val="-2"/>
          <w:sz w:val="18"/>
        </w:rPr>
        <w:t>Italy</w:t>
      </w:r>
    </w:p>
    <w:p>
      <w:pPr>
        <w:pStyle w:val="BodyText"/>
        <w:spacing w:before="4"/>
        <w:rPr>
          <w:i/>
        </w:rPr>
      </w:pPr>
    </w:p>
    <w:p>
      <w:pPr>
        <w:pStyle w:val="Heading2"/>
        <w:spacing w:before="1"/>
        <w:ind w:left="259" w:right="224"/>
      </w:pPr>
      <w:r>
        <w:rPr>
          <w:color w:val="231F20"/>
          <w:spacing w:val="-2"/>
          <w:w w:val="105"/>
        </w:rPr>
        <w:t>References</w:t>
      </w:r>
    </w:p>
    <w:p>
      <w:pPr>
        <w:pStyle w:val="ListParagraph"/>
        <w:numPr>
          <w:ilvl w:val="0"/>
          <w:numId w:val="8"/>
        </w:numPr>
        <w:tabs>
          <w:tab w:pos="501" w:val="left" w:leader="none"/>
          <w:tab w:pos="503" w:val="left" w:leader="none"/>
        </w:tabs>
        <w:spacing w:line="232" w:lineRule="auto" w:before="134" w:after="0"/>
        <w:ind w:left="503" w:right="217" w:hanging="248"/>
        <w:jc w:val="both"/>
        <w:rPr>
          <w:sz w:val="16"/>
        </w:rPr>
      </w:pPr>
      <w:r>
        <w:rPr>
          <w:color w:val="231F20"/>
          <w:sz w:val="16"/>
        </w:rPr>
        <w:t>Demirkiran M, Jankovic J. Paroxysmal dyskinesias: clinical </w:t>
      </w:r>
      <w:r>
        <w:rPr>
          <w:color w:val="231F20"/>
          <w:sz w:val="16"/>
        </w:rPr>
        <w:t>fea-</w:t>
      </w:r>
      <w:r>
        <w:rPr>
          <w:color w:val="231F20"/>
          <w:spacing w:val="40"/>
          <w:sz w:val="16"/>
        </w:rPr>
        <w:t> </w:t>
      </w:r>
      <w:r>
        <w:rPr>
          <w:color w:val="231F20"/>
          <w:sz w:val="16"/>
        </w:rPr>
        <w:t>tures and classiﬁcation. Ann Neurol 1995;38:571–579.</w:t>
      </w:r>
    </w:p>
    <w:p>
      <w:pPr>
        <w:pStyle w:val="ListParagraph"/>
        <w:numPr>
          <w:ilvl w:val="0"/>
          <w:numId w:val="8"/>
        </w:numPr>
        <w:tabs>
          <w:tab w:pos="502" w:val="left" w:leader="none"/>
        </w:tabs>
        <w:spacing w:line="178" w:lineRule="exact" w:before="0" w:after="0"/>
        <w:ind w:left="502" w:right="0" w:hanging="246"/>
        <w:jc w:val="both"/>
        <w:rPr>
          <w:sz w:val="16"/>
        </w:rPr>
      </w:pPr>
      <w:r>
        <w:rPr>
          <w:color w:val="231F20"/>
          <w:spacing w:val="-4"/>
          <w:sz w:val="16"/>
        </w:rPr>
        <w:t>Bhatia</w:t>
      </w:r>
      <w:r>
        <w:rPr>
          <w:color w:val="231F20"/>
          <w:spacing w:val="3"/>
          <w:sz w:val="16"/>
        </w:rPr>
        <w:t> </w:t>
      </w:r>
      <w:r>
        <w:rPr>
          <w:color w:val="231F20"/>
          <w:spacing w:val="-4"/>
          <w:sz w:val="16"/>
        </w:rPr>
        <w:t>KP.</w:t>
      </w:r>
      <w:r>
        <w:rPr>
          <w:color w:val="231F20"/>
          <w:spacing w:val="4"/>
          <w:sz w:val="16"/>
        </w:rPr>
        <w:t> </w:t>
      </w:r>
      <w:r>
        <w:rPr>
          <w:color w:val="231F20"/>
          <w:spacing w:val="-4"/>
          <w:sz w:val="16"/>
        </w:rPr>
        <w:t>The</w:t>
      </w:r>
      <w:r>
        <w:rPr>
          <w:color w:val="231F20"/>
          <w:spacing w:val="3"/>
          <w:sz w:val="16"/>
        </w:rPr>
        <w:t> </w:t>
      </w:r>
      <w:r>
        <w:rPr>
          <w:color w:val="231F20"/>
          <w:spacing w:val="-4"/>
          <w:sz w:val="16"/>
        </w:rPr>
        <w:t>paroxysmal</w:t>
      </w:r>
      <w:r>
        <w:rPr>
          <w:color w:val="231F20"/>
          <w:spacing w:val="4"/>
          <w:sz w:val="16"/>
        </w:rPr>
        <w:t> </w:t>
      </w:r>
      <w:r>
        <w:rPr>
          <w:color w:val="231F20"/>
          <w:spacing w:val="-4"/>
          <w:sz w:val="16"/>
        </w:rPr>
        <w:t>dyskinesias.</w:t>
      </w:r>
      <w:r>
        <w:rPr>
          <w:color w:val="231F20"/>
          <w:spacing w:val="4"/>
          <w:sz w:val="16"/>
        </w:rPr>
        <w:t> </w:t>
      </w:r>
      <w:r>
        <w:rPr>
          <w:color w:val="231F20"/>
          <w:spacing w:val="-4"/>
          <w:sz w:val="16"/>
        </w:rPr>
        <w:t>J</w:t>
      </w:r>
      <w:r>
        <w:rPr>
          <w:color w:val="231F20"/>
          <w:spacing w:val="3"/>
          <w:sz w:val="16"/>
        </w:rPr>
        <w:t> </w:t>
      </w:r>
      <w:r>
        <w:rPr>
          <w:color w:val="231F20"/>
          <w:spacing w:val="-4"/>
          <w:sz w:val="16"/>
        </w:rPr>
        <w:t>Neurol</w:t>
      </w:r>
      <w:r>
        <w:rPr>
          <w:color w:val="231F20"/>
          <w:spacing w:val="4"/>
          <w:sz w:val="16"/>
        </w:rPr>
        <w:t> </w:t>
      </w:r>
      <w:r>
        <w:rPr>
          <w:color w:val="231F20"/>
          <w:spacing w:val="-4"/>
          <w:sz w:val="16"/>
        </w:rPr>
        <w:t>1999;246:149–155.</w:t>
      </w:r>
    </w:p>
    <w:p>
      <w:pPr>
        <w:pStyle w:val="ListParagraph"/>
        <w:numPr>
          <w:ilvl w:val="0"/>
          <w:numId w:val="8"/>
        </w:numPr>
        <w:tabs>
          <w:tab w:pos="501" w:val="left" w:leader="none"/>
          <w:tab w:pos="503" w:val="left" w:leader="none"/>
        </w:tabs>
        <w:spacing w:line="235" w:lineRule="auto" w:before="0" w:after="0"/>
        <w:ind w:left="503" w:right="215" w:hanging="248"/>
        <w:jc w:val="both"/>
        <w:rPr>
          <w:sz w:val="16"/>
        </w:rPr>
      </w:pPr>
      <w:r>
        <w:rPr>
          <w:color w:val="231F20"/>
          <w:sz w:val="16"/>
        </w:rPr>
        <w:t>Lee HY, Xu Y, Huang Y, et al. The gene for paroxysmal nonki-</w:t>
      </w:r>
      <w:r>
        <w:rPr>
          <w:color w:val="231F20"/>
          <w:spacing w:val="40"/>
          <w:sz w:val="16"/>
        </w:rPr>
        <w:t> </w:t>
      </w:r>
      <w:r>
        <w:rPr>
          <w:color w:val="231F20"/>
          <w:sz w:val="16"/>
        </w:rPr>
        <w:t>nesigenic dyskinesia encodes an enzyme in a stress </w:t>
      </w:r>
      <w:r>
        <w:rPr>
          <w:color w:val="231F20"/>
          <w:sz w:val="16"/>
        </w:rPr>
        <w:t>response</w:t>
      </w:r>
      <w:r>
        <w:rPr>
          <w:color w:val="231F20"/>
          <w:spacing w:val="40"/>
          <w:sz w:val="16"/>
        </w:rPr>
        <w:t> </w:t>
      </w:r>
      <w:r>
        <w:rPr>
          <w:color w:val="231F20"/>
          <w:sz w:val="16"/>
        </w:rPr>
        <w:t>pathway. Hum Mol Genet 2004;13:3161–3170.</w:t>
      </w:r>
    </w:p>
    <w:p>
      <w:pPr>
        <w:pStyle w:val="ListParagraph"/>
        <w:numPr>
          <w:ilvl w:val="0"/>
          <w:numId w:val="8"/>
        </w:numPr>
        <w:tabs>
          <w:tab w:pos="501" w:val="left" w:leader="none"/>
          <w:tab w:pos="503" w:val="left" w:leader="none"/>
        </w:tabs>
        <w:spacing w:line="232" w:lineRule="auto" w:before="0" w:after="0"/>
        <w:ind w:left="503" w:right="217" w:hanging="248"/>
        <w:jc w:val="both"/>
        <w:rPr>
          <w:sz w:val="16"/>
        </w:rPr>
      </w:pPr>
      <w:r>
        <w:rPr>
          <w:color w:val="231F20"/>
          <w:sz w:val="16"/>
        </w:rPr>
        <w:t>Suls</w:t>
      </w:r>
      <w:r>
        <w:rPr>
          <w:color w:val="231F20"/>
          <w:spacing w:val="40"/>
          <w:sz w:val="16"/>
        </w:rPr>
        <w:t> </w:t>
      </w:r>
      <w:r>
        <w:rPr>
          <w:color w:val="231F20"/>
          <w:sz w:val="16"/>
        </w:rPr>
        <w:t>A,</w:t>
      </w:r>
      <w:r>
        <w:rPr>
          <w:color w:val="231F20"/>
          <w:spacing w:val="40"/>
          <w:sz w:val="16"/>
        </w:rPr>
        <w:t> </w:t>
      </w:r>
      <w:r>
        <w:rPr>
          <w:color w:val="231F20"/>
          <w:sz w:val="16"/>
        </w:rPr>
        <w:t>Dedeken</w:t>
      </w:r>
      <w:r>
        <w:rPr>
          <w:color w:val="231F20"/>
          <w:spacing w:val="40"/>
          <w:sz w:val="16"/>
        </w:rPr>
        <w:t> </w:t>
      </w:r>
      <w:r>
        <w:rPr>
          <w:color w:val="231F20"/>
          <w:sz w:val="16"/>
        </w:rPr>
        <w:t>P,</w:t>
      </w:r>
      <w:r>
        <w:rPr>
          <w:color w:val="231F20"/>
          <w:spacing w:val="40"/>
          <w:sz w:val="16"/>
        </w:rPr>
        <w:t> </w:t>
      </w:r>
      <w:r>
        <w:rPr>
          <w:color w:val="231F20"/>
          <w:sz w:val="16"/>
        </w:rPr>
        <w:t>Gofﬁn</w:t>
      </w:r>
      <w:r>
        <w:rPr>
          <w:color w:val="231F20"/>
          <w:spacing w:val="40"/>
          <w:sz w:val="16"/>
        </w:rPr>
        <w:t> </w:t>
      </w:r>
      <w:r>
        <w:rPr>
          <w:color w:val="231F20"/>
          <w:sz w:val="16"/>
        </w:rPr>
        <w:t>K,</w:t>
      </w:r>
      <w:r>
        <w:rPr>
          <w:color w:val="231F20"/>
          <w:spacing w:val="40"/>
          <w:sz w:val="16"/>
        </w:rPr>
        <w:t> </w:t>
      </w:r>
      <w:r>
        <w:rPr>
          <w:color w:val="231F20"/>
          <w:sz w:val="16"/>
        </w:rPr>
        <w:t>et</w:t>
      </w:r>
      <w:r>
        <w:rPr>
          <w:color w:val="231F20"/>
          <w:spacing w:val="40"/>
          <w:sz w:val="16"/>
        </w:rPr>
        <w:t> </w:t>
      </w:r>
      <w:r>
        <w:rPr>
          <w:color w:val="231F20"/>
          <w:sz w:val="16"/>
        </w:rPr>
        <w:t>al.</w:t>
      </w:r>
      <w:r>
        <w:rPr>
          <w:color w:val="231F20"/>
          <w:spacing w:val="40"/>
          <w:sz w:val="16"/>
        </w:rPr>
        <w:t> </w:t>
      </w:r>
      <w:r>
        <w:rPr>
          <w:color w:val="231F20"/>
          <w:sz w:val="16"/>
        </w:rPr>
        <w:t>Paroxysmal</w:t>
      </w:r>
      <w:r>
        <w:rPr>
          <w:color w:val="231F20"/>
          <w:spacing w:val="40"/>
          <w:sz w:val="16"/>
        </w:rPr>
        <w:t> </w:t>
      </w:r>
      <w:r>
        <w:rPr>
          <w:color w:val="231F20"/>
          <w:sz w:val="16"/>
        </w:rPr>
        <w:t>exercise-</w:t>
      </w:r>
      <w:r>
        <w:rPr>
          <w:color w:val="231F20"/>
          <w:spacing w:val="40"/>
          <w:sz w:val="16"/>
        </w:rPr>
        <w:t> </w:t>
      </w:r>
      <w:r>
        <w:rPr>
          <w:color w:val="231F20"/>
          <w:sz w:val="16"/>
        </w:rPr>
        <w:t>induced</w:t>
      </w:r>
      <w:r>
        <w:rPr>
          <w:color w:val="231F20"/>
          <w:spacing w:val="40"/>
          <w:sz w:val="16"/>
        </w:rPr>
        <w:t> </w:t>
      </w:r>
      <w:r>
        <w:rPr>
          <w:color w:val="231F20"/>
          <w:sz w:val="16"/>
        </w:rPr>
        <w:t>dyskinesia</w:t>
      </w:r>
      <w:r>
        <w:rPr>
          <w:color w:val="231F20"/>
          <w:spacing w:val="40"/>
          <w:sz w:val="16"/>
        </w:rPr>
        <w:t> </w:t>
      </w:r>
      <w:r>
        <w:rPr>
          <w:color w:val="231F20"/>
          <w:sz w:val="16"/>
        </w:rPr>
        <w:t>and</w:t>
      </w:r>
      <w:r>
        <w:rPr>
          <w:color w:val="231F20"/>
          <w:spacing w:val="40"/>
          <w:sz w:val="16"/>
        </w:rPr>
        <w:t> </w:t>
      </w:r>
      <w:r>
        <w:rPr>
          <w:color w:val="231F20"/>
          <w:sz w:val="16"/>
        </w:rPr>
        <w:t>epilepsy</w:t>
      </w:r>
      <w:r>
        <w:rPr>
          <w:color w:val="231F20"/>
          <w:spacing w:val="40"/>
          <w:sz w:val="16"/>
        </w:rPr>
        <w:t> </w:t>
      </w:r>
      <w:r>
        <w:rPr>
          <w:color w:val="231F20"/>
          <w:sz w:val="16"/>
        </w:rPr>
        <w:t>is</w:t>
      </w:r>
      <w:r>
        <w:rPr>
          <w:color w:val="231F20"/>
          <w:spacing w:val="40"/>
          <w:sz w:val="16"/>
        </w:rPr>
        <w:t> </w:t>
      </w:r>
      <w:r>
        <w:rPr>
          <w:color w:val="231F20"/>
          <w:sz w:val="16"/>
        </w:rPr>
        <w:t>due</w:t>
      </w:r>
      <w:r>
        <w:rPr>
          <w:color w:val="231F20"/>
          <w:spacing w:val="40"/>
          <w:sz w:val="16"/>
        </w:rPr>
        <w:t> </w:t>
      </w:r>
      <w:r>
        <w:rPr>
          <w:color w:val="231F20"/>
          <w:sz w:val="16"/>
        </w:rPr>
        <w:t>to</w:t>
      </w:r>
      <w:r>
        <w:rPr>
          <w:color w:val="231F20"/>
          <w:spacing w:val="40"/>
          <w:sz w:val="16"/>
        </w:rPr>
        <w:t> </w:t>
      </w:r>
      <w:r>
        <w:rPr>
          <w:color w:val="231F20"/>
          <w:sz w:val="16"/>
        </w:rPr>
        <w:t>mutations</w:t>
      </w:r>
      <w:r>
        <w:rPr>
          <w:color w:val="231F20"/>
          <w:spacing w:val="40"/>
          <w:sz w:val="16"/>
        </w:rPr>
        <w:t> </w:t>
      </w:r>
      <w:r>
        <w:rPr>
          <w:color w:val="231F20"/>
          <w:sz w:val="16"/>
        </w:rPr>
        <w:t>in</w:t>
      </w:r>
      <w:r>
        <w:rPr>
          <w:color w:val="231F20"/>
          <w:spacing w:val="40"/>
          <w:sz w:val="16"/>
        </w:rPr>
        <w:t> </w:t>
      </w:r>
      <w:r>
        <w:rPr>
          <w:color w:val="231F20"/>
          <w:sz w:val="16"/>
        </w:rPr>
        <w:t>SLC2A1,</w:t>
      </w:r>
      <w:r>
        <w:rPr>
          <w:color w:val="231F20"/>
          <w:spacing w:val="40"/>
          <w:sz w:val="16"/>
        </w:rPr>
        <w:t> </w:t>
      </w:r>
      <w:r>
        <w:rPr>
          <w:color w:val="231F20"/>
          <w:sz w:val="16"/>
        </w:rPr>
        <w:t>encoding</w:t>
      </w:r>
      <w:r>
        <w:rPr>
          <w:color w:val="231F20"/>
          <w:spacing w:val="40"/>
          <w:sz w:val="16"/>
        </w:rPr>
        <w:t> </w:t>
      </w:r>
      <w:r>
        <w:rPr>
          <w:color w:val="231F20"/>
          <w:sz w:val="16"/>
        </w:rPr>
        <w:t>the</w:t>
      </w:r>
      <w:r>
        <w:rPr>
          <w:color w:val="231F20"/>
          <w:spacing w:val="40"/>
          <w:sz w:val="16"/>
        </w:rPr>
        <w:t> </w:t>
      </w:r>
      <w:r>
        <w:rPr>
          <w:color w:val="231F20"/>
          <w:sz w:val="16"/>
        </w:rPr>
        <w:t>glucose</w:t>
      </w:r>
      <w:r>
        <w:rPr>
          <w:color w:val="231F20"/>
          <w:spacing w:val="40"/>
          <w:sz w:val="16"/>
        </w:rPr>
        <w:t> </w:t>
      </w:r>
      <w:r>
        <w:rPr>
          <w:color w:val="231F20"/>
          <w:sz w:val="16"/>
        </w:rPr>
        <w:t>transporter</w:t>
      </w:r>
      <w:r>
        <w:rPr>
          <w:color w:val="231F20"/>
          <w:spacing w:val="40"/>
          <w:sz w:val="16"/>
        </w:rPr>
        <w:t> </w:t>
      </w:r>
      <w:r>
        <w:rPr>
          <w:color w:val="231F20"/>
          <w:sz w:val="16"/>
        </w:rPr>
        <w:t>GLUT1.</w:t>
      </w:r>
      <w:r>
        <w:rPr>
          <w:color w:val="231F20"/>
          <w:spacing w:val="40"/>
          <w:sz w:val="16"/>
        </w:rPr>
        <w:t> </w:t>
      </w:r>
      <w:r>
        <w:rPr>
          <w:color w:val="231F20"/>
          <w:sz w:val="16"/>
        </w:rPr>
        <w:t>Brain</w:t>
      </w:r>
      <w:r>
        <w:rPr>
          <w:color w:val="231F20"/>
          <w:spacing w:val="40"/>
          <w:sz w:val="16"/>
        </w:rPr>
        <w:t> </w:t>
      </w:r>
      <w:r>
        <w:rPr>
          <w:color w:val="231F20"/>
          <w:sz w:val="16"/>
        </w:rPr>
        <w:t>2008; 131:1831–1844.</w:t>
      </w:r>
    </w:p>
    <w:p>
      <w:pPr>
        <w:pStyle w:val="ListParagraph"/>
        <w:numPr>
          <w:ilvl w:val="0"/>
          <w:numId w:val="8"/>
        </w:numPr>
        <w:tabs>
          <w:tab w:pos="501" w:val="left" w:leader="none"/>
          <w:tab w:pos="503" w:val="left" w:leader="none"/>
        </w:tabs>
        <w:spacing w:line="235" w:lineRule="auto" w:before="1" w:after="0"/>
        <w:ind w:left="503" w:right="215" w:hanging="248"/>
        <w:jc w:val="both"/>
        <w:rPr>
          <w:sz w:val="16"/>
        </w:rPr>
      </w:pPr>
      <w:r>
        <w:rPr>
          <w:color w:val="231F20"/>
          <w:sz w:val="16"/>
        </w:rPr>
        <w:t>Geschwind</w:t>
      </w:r>
      <w:r>
        <w:rPr>
          <w:color w:val="231F20"/>
          <w:spacing w:val="26"/>
          <w:sz w:val="16"/>
        </w:rPr>
        <w:t> </w:t>
      </w:r>
      <w:r>
        <w:rPr>
          <w:color w:val="231F20"/>
          <w:sz w:val="16"/>
        </w:rPr>
        <w:t>DH,</w:t>
      </w:r>
      <w:r>
        <w:rPr>
          <w:color w:val="231F20"/>
          <w:spacing w:val="25"/>
          <w:sz w:val="16"/>
        </w:rPr>
        <w:t> </w:t>
      </w:r>
      <w:r>
        <w:rPr>
          <w:color w:val="231F20"/>
          <w:sz w:val="16"/>
        </w:rPr>
        <w:t>Loginov</w:t>
      </w:r>
      <w:r>
        <w:rPr>
          <w:color w:val="231F20"/>
          <w:spacing w:val="24"/>
          <w:sz w:val="16"/>
        </w:rPr>
        <w:t> </w:t>
      </w:r>
      <w:r>
        <w:rPr>
          <w:color w:val="231F20"/>
          <w:sz w:val="16"/>
        </w:rPr>
        <w:t>M,</w:t>
      </w:r>
      <w:r>
        <w:rPr>
          <w:color w:val="231F20"/>
          <w:spacing w:val="26"/>
          <w:sz w:val="16"/>
        </w:rPr>
        <w:t> </w:t>
      </w:r>
      <w:r>
        <w:rPr>
          <w:color w:val="231F20"/>
          <w:sz w:val="16"/>
        </w:rPr>
        <w:t>Stern</w:t>
      </w:r>
      <w:r>
        <w:rPr>
          <w:color w:val="231F20"/>
          <w:spacing w:val="25"/>
          <w:sz w:val="16"/>
        </w:rPr>
        <w:t> </w:t>
      </w:r>
      <w:r>
        <w:rPr>
          <w:color w:val="231F20"/>
          <w:sz w:val="16"/>
        </w:rPr>
        <w:t>JM.</w:t>
      </w:r>
      <w:r>
        <w:rPr>
          <w:color w:val="231F20"/>
          <w:spacing w:val="25"/>
          <w:sz w:val="16"/>
        </w:rPr>
        <w:t> </w:t>
      </w:r>
      <w:r>
        <w:rPr>
          <w:color w:val="231F20"/>
          <w:sz w:val="16"/>
        </w:rPr>
        <w:t>Identiﬁcation</w:t>
      </w:r>
      <w:r>
        <w:rPr>
          <w:color w:val="231F20"/>
          <w:spacing w:val="25"/>
          <w:sz w:val="16"/>
        </w:rPr>
        <w:t> </w:t>
      </w:r>
      <w:r>
        <w:rPr>
          <w:color w:val="231F20"/>
          <w:sz w:val="16"/>
        </w:rPr>
        <w:t>of</w:t>
      </w:r>
      <w:r>
        <w:rPr>
          <w:color w:val="231F20"/>
          <w:spacing w:val="26"/>
          <w:sz w:val="16"/>
        </w:rPr>
        <w:t> </w:t>
      </w:r>
      <w:r>
        <w:rPr>
          <w:color w:val="231F20"/>
          <w:sz w:val="16"/>
        </w:rPr>
        <w:t>a</w:t>
      </w:r>
      <w:r>
        <w:rPr>
          <w:color w:val="231F20"/>
          <w:spacing w:val="26"/>
          <w:sz w:val="16"/>
        </w:rPr>
        <w:t> </w:t>
      </w:r>
      <w:r>
        <w:rPr>
          <w:color w:val="231F20"/>
          <w:sz w:val="16"/>
        </w:rPr>
        <w:t>locus</w:t>
      </w:r>
      <w:r>
        <w:rPr>
          <w:color w:val="231F20"/>
          <w:spacing w:val="40"/>
          <w:sz w:val="16"/>
        </w:rPr>
        <w:t> </w:t>
      </w:r>
      <w:r>
        <w:rPr>
          <w:color w:val="231F20"/>
          <w:sz w:val="16"/>
        </w:rPr>
        <w:t>on chromosome 14q for idiopathic basal ganglia </w:t>
      </w:r>
      <w:r>
        <w:rPr>
          <w:color w:val="231F20"/>
          <w:sz w:val="16"/>
        </w:rPr>
        <w:t>calciﬁcation</w:t>
      </w:r>
      <w:r>
        <w:rPr>
          <w:color w:val="231F20"/>
          <w:spacing w:val="80"/>
          <w:sz w:val="16"/>
        </w:rPr>
        <w:t> </w:t>
      </w:r>
      <w:r>
        <w:rPr>
          <w:color w:val="231F20"/>
          <w:sz w:val="16"/>
        </w:rPr>
        <w:t>(Fahr disease). Am J Hum Genet 1999;65:764–777.</w:t>
      </w:r>
    </w:p>
    <w:p>
      <w:pPr>
        <w:pStyle w:val="ListParagraph"/>
        <w:numPr>
          <w:ilvl w:val="0"/>
          <w:numId w:val="8"/>
        </w:numPr>
        <w:tabs>
          <w:tab w:pos="501" w:val="left" w:leader="none"/>
          <w:tab w:pos="503" w:val="left" w:leader="none"/>
        </w:tabs>
        <w:spacing w:line="232" w:lineRule="auto" w:before="0" w:after="0"/>
        <w:ind w:left="503" w:right="216" w:hanging="248"/>
        <w:jc w:val="both"/>
        <w:rPr>
          <w:sz w:val="16"/>
        </w:rPr>
      </w:pPr>
      <w:r>
        <w:rPr>
          <w:color w:val="231F20"/>
          <w:sz w:val="16"/>
        </w:rPr>
        <w:t>Harbord</w:t>
      </w:r>
      <w:r>
        <w:rPr>
          <w:color w:val="231F20"/>
          <w:spacing w:val="40"/>
          <w:sz w:val="16"/>
        </w:rPr>
        <w:t> </w:t>
      </w:r>
      <w:r>
        <w:rPr>
          <w:color w:val="231F20"/>
          <w:sz w:val="16"/>
        </w:rPr>
        <w:t>MG,</w:t>
      </w:r>
      <w:r>
        <w:rPr>
          <w:color w:val="231F20"/>
          <w:spacing w:val="40"/>
          <w:sz w:val="16"/>
        </w:rPr>
        <w:t> </w:t>
      </w:r>
      <w:r>
        <w:rPr>
          <w:color w:val="231F20"/>
          <w:sz w:val="16"/>
        </w:rPr>
        <w:t>Kobayashi</w:t>
      </w:r>
      <w:r>
        <w:rPr>
          <w:color w:val="231F20"/>
          <w:spacing w:val="40"/>
          <w:sz w:val="16"/>
        </w:rPr>
        <w:t> </w:t>
      </w:r>
      <w:r>
        <w:rPr>
          <w:color w:val="231F20"/>
          <w:sz w:val="16"/>
        </w:rPr>
        <w:t>JS.</w:t>
      </w:r>
      <w:r>
        <w:rPr>
          <w:color w:val="231F20"/>
          <w:spacing w:val="40"/>
          <w:sz w:val="16"/>
        </w:rPr>
        <w:t> </w:t>
      </w:r>
      <w:r>
        <w:rPr>
          <w:color w:val="231F20"/>
          <w:sz w:val="16"/>
        </w:rPr>
        <w:t>Fever</w:t>
      </w:r>
      <w:r>
        <w:rPr>
          <w:color w:val="231F20"/>
          <w:spacing w:val="40"/>
          <w:sz w:val="16"/>
        </w:rPr>
        <w:t> </w:t>
      </w:r>
      <w:r>
        <w:rPr>
          <w:color w:val="231F20"/>
          <w:sz w:val="16"/>
        </w:rPr>
        <w:t>producing</w:t>
      </w:r>
      <w:r>
        <w:rPr>
          <w:color w:val="231F20"/>
          <w:spacing w:val="40"/>
          <w:sz w:val="16"/>
        </w:rPr>
        <w:t> </w:t>
      </w:r>
      <w:r>
        <w:rPr>
          <w:color w:val="231F20"/>
          <w:sz w:val="16"/>
        </w:rPr>
        <w:t>ballismus</w:t>
      </w:r>
      <w:r>
        <w:rPr>
          <w:color w:val="231F20"/>
          <w:spacing w:val="40"/>
          <w:sz w:val="16"/>
        </w:rPr>
        <w:t> </w:t>
      </w:r>
      <w:r>
        <w:rPr>
          <w:color w:val="231F20"/>
          <w:sz w:val="16"/>
        </w:rPr>
        <w:t>in</w:t>
      </w:r>
      <w:r>
        <w:rPr>
          <w:color w:val="231F20"/>
          <w:spacing w:val="40"/>
          <w:sz w:val="16"/>
        </w:rPr>
        <w:t> </w:t>
      </w:r>
      <w:r>
        <w:rPr>
          <w:color w:val="231F20"/>
          <w:sz w:val="16"/>
        </w:rPr>
        <w:t>patients with choreoathetosis. J Child Neurol 1991;6:49–52.</w:t>
      </w:r>
    </w:p>
    <w:p>
      <w:pPr>
        <w:pStyle w:val="ListParagraph"/>
        <w:numPr>
          <w:ilvl w:val="0"/>
          <w:numId w:val="8"/>
        </w:numPr>
        <w:tabs>
          <w:tab w:pos="501" w:val="left" w:leader="none"/>
          <w:tab w:pos="503" w:val="left" w:leader="none"/>
        </w:tabs>
        <w:spacing w:line="235" w:lineRule="auto" w:before="0" w:after="0"/>
        <w:ind w:left="503" w:right="215" w:hanging="248"/>
        <w:jc w:val="both"/>
        <w:rPr>
          <w:sz w:val="16"/>
        </w:rPr>
      </w:pPr>
      <w:r>
        <w:rPr>
          <w:color w:val="231F20"/>
          <w:sz w:val="16"/>
        </w:rPr>
        <w:t>Stefanova E, Djarmati A, Momcilovic D, et al. Clinical charac-</w:t>
      </w:r>
      <w:r>
        <w:rPr>
          <w:color w:val="231F20"/>
          <w:spacing w:val="40"/>
          <w:sz w:val="16"/>
        </w:rPr>
        <w:t> </w:t>
      </w:r>
      <w:r>
        <w:rPr>
          <w:color w:val="231F20"/>
          <w:sz w:val="16"/>
        </w:rPr>
        <w:t>teristics of paroxysmal nonkinesigenic dyskinesia in </w:t>
      </w:r>
      <w:r>
        <w:rPr>
          <w:color w:val="231F20"/>
          <w:sz w:val="16"/>
        </w:rPr>
        <w:t>Serbian</w:t>
      </w:r>
      <w:r>
        <w:rPr>
          <w:color w:val="231F20"/>
          <w:spacing w:val="40"/>
          <w:sz w:val="16"/>
        </w:rPr>
        <w:t> </w:t>
      </w:r>
      <w:r>
        <w:rPr>
          <w:color w:val="231F20"/>
          <w:sz w:val="16"/>
        </w:rPr>
        <w:t>family with Myoﬁbrillogenesis regulator 1 gene mutation. Mov</w:t>
      </w:r>
      <w:r>
        <w:rPr>
          <w:color w:val="231F20"/>
          <w:spacing w:val="40"/>
          <w:sz w:val="16"/>
        </w:rPr>
        <w:t> </w:t>
      </w:r>
      <w:r>
        <w:rPr>
          <w:color w:val="231F20"/>
          <w:sz w:val="16"/>
        </w:rPr>
        <w:t>Disord 2006;21:2010–2015.</w:t>
      </w:r>
    </w:p>
    <w:p>
      <w:pPr>
        <w:pStyle w:val="ListParagraph"/>
        <w:numPr>
          <w:ilvl w:val="0"/>
          <w:numId w:val="8"/>
        </w:numPr>
        <w:tabs>
          <w:tab w:pos="501" w:val="left" w:leader="none"/>
          <w:tab w:pos="503" w:val="left" w:leader="none"/>
        </w:tabs>
        <w:spacing w:line="232" w:lineRule="auto" w:before="0" w:after="0"/>
        <w:ind w:left="503" w:right="216" w:hanging="248"/>
        <w:jc w:val="both"/>
        <w:rPr>
          <w:sz w:val="16"/>
        </w:rPr>
      </w:pPr>
      <w:r>
        <w:rPr>
          <w:color w:val="231F20"/>
          <w:sz w:val="16"/>
        </w:rPr>
        <w:t>Micheli F, Fernandez Pardal MM, Casas Parera I, Giannaula </w:t>
      </w:r>
      <w:r>
        <w:rPr>
          <w:color w:val="231F20"/>
          <w:sz w:val="16"/>
        </w:rPr>
        <w:t>R.</w:t>
      </w:r>
      <w:r>
        <w:rPr>
          <w:color w:val="231F20"/>
          <w:spacing w:val="40"/>
          <w:sz w:val="16"/>
        </w:rPr>
        <w:t> </w:t>
      </w:r>
      <w:r>
        <w:rPr>
          <w:color w:val="231F20"/>
          <w:sz w:val="16"/>
        </w:rPr>
        <w:t>Sporadic paroxysmal dystonic choreoathetosis associated with</w:t>
      </w:r>
      <w:r>
        <w:rPr>
          <w:color w:val="231F20"/>
          <w:spacing w:val="40"/>
          <w:sz w:val="16"/>
        </w:rPr>
        <w:t> </w:t>
      </w:r>
      <w:r>
        <w:rPr>
          <w:color w:val="231F20"/>
          <w:sz w:val="16"/>
        </w:rPr>
        <w:t>basal ganglia calciﬁcations. Ann Neurol 1986;20:750.</w:t>
      </w:r>
    </w:p>
    <w:p>
      <w:pPr>
        <w:pStyle w:val="ListParagraph"/>
        <w:numPr>
          <w:ilvl w:val="0"/>
          <w:numId w:val="8"/>
        </w:numPr>
        <w:tabs>
          <w:tab w:pos="501" w:val="left" w:leader="none"/>
          <w:tab w:pos="503" w:val="left" w:leader="none"/>
        </w:tabs>
        <w:spacing w:line="232" w:lineRule="auto" w:before="0" w:after="0"/>
        <w:ind w:left="503" w:right="216" w:hanging="248"/>
        <w:jc w:val="both"/>
        <w:rPr>
          <w:sz w:val="16"/>
        </w:rPr>
      </w:pPr>
      <w:r>
        <w:rPr>
          <w:color w:val="231F20"/>
          <w:sz w:val="16"/>
        </w:rPr>
        <w:t>Yamamoto K, Kawazawa S. Basal ganglion calciﬁcation in </w:t>
      </w:r>
      <w:r>
        <w:rPr>
          <w:color w:val="231F20"/>
          <w:sz w:val="16"/>
        </w:rPr>
        <w:t>par-</w:t>
      </w:r>
      <w:r>
        <w:rPr>
          <w:color w:val="231F20"/>
          <w:spacing w:val="40"/>
          <w:sz w:val="16"/>
        </w:rPr>
        <w:t> </w:t>
      </w:r>
      <w:r>
        <w:rPr>
          <w:color w:val="231F20"/>
          <w:sz w:val="16"/>
        </w:rPr>
        <w:t>oxysmal</w:t>
      </w:r>
      <w:r>
        <w:rPr>
          <w:color w:val="231F20"/>
          <w:spacing w:val="40"/>
          <w:sz w:val="16"/>
        </w:rPr>
        <w:t> </w:t>
      </w:r>
      <w:r>
        <w:rPr>
          <w:color w:val="231F20"/>
          <w:sz w:val="16"/>
        </w:rPr>
        <w:t>dystonic</w:t>
      </w:r>
      <w:r>
        <w:rPr>
          <w:color w:val="231F20"/>
          <w:spacing w:val="40"/>
          <w:sz w:val="16"/>
        </w:rPr>
        <w:t> </w:t>
      </w:r>
      <w:r>
        <w:rPr>
          <w:color w:val="231F20"/>
          <w:sz w:val="16"/>
        </w:rPr>
        <w:t>choreoathetosis.</w:t>
      </w:r>
      <w:r>
        <w:rPr>
          <w:color w:val="231F20"/>
          <w:spacing w:val="40"/>
          <w:sz w:val="16"/>
        </w:rPr>
        <w:t> </w:t>
      </w:r>
      <w:r>
        <w:rPr>
          <w:color w:val="231F20"/>
          <w:sz w:val="16"/>
        </w:rPr>
        <w:t>Ann</w:t>
      </w:r>
      <w:r>
        <w:rPr>
          <w:color w:val="231F20"/>
          <w:spacing w:val="40"/>
          <w:sz w:val="16"/>
        </w:rPr>
        <w:t> </w:t>
      </w:r>
      <w:r>
        <w:rPr>
          <w:color w:val="231F20"/>
          <w:sz w:val="16"/>
        </w:rPr>
        <w:t>Neurol</w:t>
      </w:r>
      <w:r>
        <w:rPr>
          <w:color w:val="231F20"/>
          <w:spacing w:val="40"/>
          <w:sz w:val="16"/>
        </w:rPr>
        <w:t> </w:t>
      </w:r>
      <w:r>
        <w:rPr>
          <w:color w:val="231F20"/>
          <w:sz w:val="16"/>
        </w:rPr>
        <w:t>1987;22:556.</w:t>
      </w:r>
    </w:p>
    <w:p>
      <w:pPr>
        <w:pStyle w:val="ListParagraph"/>
        <w:numPr>
          <w:ilvl w:val="0"/>
          <w:numId w:val="8"/>
        </w:numPr>
        <w:tabs>
          <w:tab w:pos="501" w:val="left" w:leader="none"/>
          <w:tab w:pos="503" w:val="left" w:leader="none"/>
        </w:tabs>
        <w:spacing w:line="232" w:lineRule="auto" w:before="1" w:after="0"/>
        <w:ind w:left="503" w:right="216" w:hanging="248"/>
        <w:jc w:val="both"/>
        <w:rPr>
          <w:sz w:val="16"/>
        </w:rPr>
      </w:pPr>
      <w:r>
        <w:rPr>
          <w:color w:val="231F20"/>
          <w:sz w:val="16"/>
        </w:rPr>
        <w:t>Klein</w:t>
      </w:r>
      <w:r>
        <w:rPr>
          <w:color w:val="231F20"/>
          <w:spacing w:val="25"/>
          <w:sz w:val="16"/>
        </w:rPr>
        <w:t> </w:t>
      </w:r>
      <w:r>
        <w:rPr>
          <w:color w:val="231F20"/>
          <w:sz w:val="16"/>
        </w:rPr>
        <w:t>C,</w:t>
      </w:r>
      <w:r>
        <w:rPr>
          <w:color w:val="231F20"/>
          <w:spacing w:val="25"/>
          <w:sz w:val="16"/>
        </w:rPr>
        <w:t> </w:t>
      </w:r>
      <w:r>
        <w:rPr>
          <w:color w:val="231F20"/>
          <w:sz w:val="16"/>
        </w:rPr>
        <w:t>Vieregge</w:t>
      </w:r>
      <w:r>
        <w:rPr>
          <w:color w:val="231F20"/>
          <w:spacing w:val="24"/>
          <w:sz w:val="16"/>
        </w:rPr>
        <w:t> </w:t>
      </w:r>
      <w:r>
        <w:rPr>
          <w:color w:val="231F20"/>
          <w:sz w:val="16"/>
        </w:rPr>
        <w:t>P,</w:t>
      </w:r>
      <w:r>
        <w:rPr>
          <w:color w:val="231F20"/>
          <w:spacing w:val="25"/>
          <w:sz w:val="16"/>
        </w:rPr>
        <w:t> </w:t>
      </w:r>
      <w:r>
        <w:rPr>
          <w:color w:val="231F20"/>
          <w:sz w:val="16"/>
        </w:rPr>
        <w:t>Ko¨mpf</w:t>
      </w:r>
      <w:r>
        <w:rPr>
          <w:color w:val="231F20"/>
          <w:spacing w:val="25"/>
          <w:sz w:val="16"/>
        </w:rPr>
        <w:t> </w:t>
      </w:r>
      <w:r>
        <w:rPr>
          <w:color w:val="231F20"/>
          <w:sz w:val="16"/>
        </w:rPr>
        <w:t>D.</w:t>
      </w:r>
      <w:r>
        <w:rPr>
          <w:color w:val="231F20"/>
          <w:spacing w:val="26"/>
          <w:sz w:val="16"/>
        </w:rPr>
        <w:t> </w:t>
      </w:r>
      <w:r>
        <w:rPr>
          <w:color w:val="231F20"/>
          <w:sz w:val="16"/>
        </w:rPr>
        <w:t>Paroxysmal</w:t>
      </w:r>
      <w:r>
        <w:rPr>
          <w:color w:val="231F20"/>
          <w:spacing w:val="25"/>
          <w:sz w:val="16"/>
        </w:rPr>
        <w:t> </w:t>
      </w:r>
      <w:r>
        <w:rPr>
          <w:color w:val="231F20"/>
          <w:sz w:val="16"/>
        </w:rPr>
        <w:t>choreoathetosis</w:t>
      </w:r>
      <w:r>
        <w:rPr>
          <w:color w:val="231F20"/>
          <w:spacing w:val="26"/>
          <w:sz w:val="16"/>
        </w:rPr>
        <w:t> </w:t>
      </w:r>
      <w:r>
        <w:rPr>
          <w:color w:val="231F20"/>
          <w:sz w:val="16"/>
        </w:rPr>
        <w:t>in</w:t>
      </w:r>
      <w:r>
        <w:rPr>
          <w:color w:val="231F20"/>
          <w:spacing w:val="40"/>
          <w:sz w:val="16"/>
        </w:rPr>
        <w:t> </w:t>
      </w:r>
      <w:r>
        <w:rPr>
          <w:color w:val="231F20"/>
          <w:sz w:val="16"/>
        </w:rPr>
        <w:t>a patient with idiopathic basal ganglia calciﬁcation, chorea, </w:t>
      </w:r>
      <w:r>
        <w:rPr>
          <w:color w:val="231F20"/>
          <w:sz w:val="16"/>
        </w:rPr>
        <w:t>and</w:t>
      </w:r>
      <w:r>
        <w:rPr>
          <w:color w:val="231F20"/>
          <w:spacing w:val="40"/>
          <w:sz w:val="16"/>
        </w:rPr>
        <w:t> </w:t>
      </w:r>
      <w:r>
        <w:rPr>
          <w:color w:val="231F20"/>
          <w:sz w:val="16"/>
        </w:rPr>
        <w:t>dystonia.</w:t>
      </w:r>
      <w:r>
        <w:rPr>
          <w:color w:val="231F20"/>
          <w:spacing w:val="40"/>
          <w:sz w:val="16"/>
        </w:rPr>
        <w:t> </w:t>
      </w:r>
      <w:r>
        <w:rPr>
          <w:color w:val="231F20"/>
          <w:sz w:val="16"/>
        </w:rPr>
        <w:t>Mov</w:t>
      </w:r>
      <w:r>
        <w:rPr>
          <w:color w:val="231F20"/>
          <w:spacing w:val="40"/>
          <w:sz w:val="16"/>
        </w:rPr>
        <w:t> </w:t>
      </w:r>
      <w:r>
        <w:rPr>
          <w:color w:val="231F20"/>
          <w:sz w:val="16"/>
        </w:rPr>
        <w:t>Disord</w:t>
      </w:r>
      <w:r>
        <w:rPr>
          <w:color w:val="231F20"/>
          <w:spacing w:val="40"/>
          <w:sz w:val="16"/>
        </w:rPr>
        <w:t> </w:t>
      </w:r>
      <w:r>
        <w:rPr>
          <w:color w:val="231F20"/>
          <w:sz w:val="16"/>
        </w:rPr>
        <w:t>1997;12:254–255.</w:t>
      </w:r>
    </w:p>
    <w:p>
      <w:pPr>
        <w:pStyle w:val="ListParagraph"/>
        <w:numPr>
          <w:ilvl w:val="0"/>
          <w:numId w:val="8"/>
        </w:numPr>
        <w:tabs>
          <w:tab w:pos="501" w:val="left" w:leader="none"/>
          <w:tab w:pos="503" w:val="left" w:leader="none"/>
        </w:tabs>
        <w:spacing w:line="232" w:lineRule="auto" w:before="2" w:after="0"/>
        <w:ind w:left="503" w:right="216" w:hanging="248"/>
        <w:jc w:val="both"/>
        <w:rPr>
          <w:sz w:val="16"/>
        </w:rPr>
      </w:pPr>
      <w:r>
        <w:rPr>
          <w:color w:val="231F20"/>
          <w:sz w:val="16"/>
        </w:rPr>
        <w:t>Alemdar M, Selek A, Is</w:t>
      </w:r>
      <w:r>
        <w:rPr>
          <w:rFonts w:ascii="Arial" w:hAnsi="Arial"/>
          <w:color w:val="231F20"/>
          <w:sz w:val="16"/>
        </w:rPr>
        <w:t>¸</w:t>
      </w:r>
      <w:r>
        <w:rPr>
          <w:color w:val="231F20"/>
          <w:sz w:val="16"/>
        </w:rPr>
        <w:t>eri P, Efendi H, Komsuoglu SS. Fahr’s</w:t>
      </w:r>
      <w:r>
        <w:rPr>
          <w:color w:val="231F20"/>
          <w:spacing w:val="40"/>
          <w:sz w:val="16"/>
        </w:rPr>
        <w:t> </w:t>
      </w:r>
      <w:r>
        <w:rPr>
          <w:color w:val="231F20"/>
          <w:sz w:val="16"/>
        </w:rPr>
        <w:t>disease presenting with paroxysmal nonkinesigenic dyskinesia: </w:t>
      </w:r>
      <w:r>
        <w:rPr>
          <w:color w:val="231F20"/>
          <w:sz w:val="16"/>
        </w:rPr>
        <w:t>a</w:t>
      </w:r>
      <w:r>
        <w:rPr>
          <w:color w:val="231F20"/>
          <w:spacing w:val="40"/>
          <w:sz w:val="16"/>
        </w:rPr>
        <w:t> </w:t>
      </w:r>
      <w:r>
        <w:rPr>
          <w:color w:val="231F20"/>
          <w:sz w:val="16"/>
        </w:rPr>
        <w:t>case</w:t>
      </w:r>
      <w:r>
        <w:rPr>
          <w:color w:val="231F20"/>
          <w:spacing w:val="40"/>
          <w:sz w:val="16"/>
        </w:rPr>
        <w:t> </w:t>
      </w:r>
      <w:r>
        <w:rPr>
          <w:color w:val="231F20"/>
          <w:sz w:val="16"/>
        </w:rPr>
        <w:t>report.</w:t>
      </w:r>
      <w:r>
        <w:rPr>
          <w:color w:val="231F20"/>
          <w:spacing w:val="40"/>
          <w:sz w:val="16"/>
        </w:rPr>
        <w:t> </w:t>
      </w:r>
      <w:r>
        <w:rPr>
          <w:color w:val="231F20"/>
          <w:sz w:val="16"/>
        </w:rPr>
        <w:t>Parkinsonism</w:t>
      </w:r>
      <w:r>
        <w:rPr>
          <w:color w:val="231F20"/>
          <w:spacing w:val="40"/>
          <w:sz w:val="16"/>
        </w:rPr>
        <w:t> </w:t>
      </w:r>
      <w:r>
        <w:rPr>
          <w:color w:val="231F20"/>
          <w:sz w:val="16"/>
        </w:rPr>
        <w:t>Relat</w:t>
      </w:r>
      <w:r>
        <w:rPr>
          <w:color w:val="231F20"/>
          <w:spacing w:val="40"/>
          <w:sz w:val="16"/>
        </w:rPr>
        <w:t> </w:t>
      </w:r>
      <w:r>
        <w:rPr>
          <w:color w:val="231F20"/>
          <w:sz w:val="16"/>
        </w:rPr>
        <w:t>Disord</w:t>
      </w:r>
      <w:r>
        <w:rPr>
          <w:color w:val="231F20"/>
          <w:spacing w:val="40"/>
          <w:sz w:val="16"/>
        </w:rPr>
        <w:t> </w:t>
      </w:r>
      <w:r>
        <w:rPr>
          <w:color w:val="231F20"/>
          <w:sz w:val="16"/>
        </w:rPr>
        <w:t>2008;14:69–71.</w:t>
      </w:r>
    </w:p>
    <w:p>
      <w:pPr>
        <w:pStyle w:val="ListParagraph"/>
        <w:numPr>
          <w:ilvl w:val="0"/>
          <w:numId w:val="8"/>
        </w:numPr>
        <w:tabs>
          <w:tab w:pos="501" w:val="left" w:leader="none"/>
          <w:tab w:pos="503" w:val="left" w:leader="none"/>
        </w:tabs>
        <w:spacing w:line="235" w:lineRule="auto" w:before="0" w:after="0"/>
        <w:ind w:left="503" w:right="219" w:hanging="248"/>
        <w:jc w:val="both"/>
        <w:rPr>
          <w:sz w:val="16"/>
        </w:rPr>
      </w:pPr>
      <w:r>
        <w:rPr>
          <w:color w:val="231F20"/>
          <w:spacing w:val="-2"/>
          <w:sz w:val="16"/>
        </w:rPr>
        <w:t>Baba</w:t>
      </w:r>
      <w:r>
        <w:rPr>
          <w:color w:val="231F20"/>
          <w:spacing w:val="-7"/>
          <w:sz w:val="16"/>
        </w:rPr>
        <w:t> </w:t>
      </w:r>
      <w:r>
        <w:rPr>
          <w:color w:val="231F20"/>
          <w:spacing w:val="-2"/>
          <w:sz w:val="16"/>
        </w:rPr>
        <w:t>Y,</w:t>
      </w:r>
      <w:r>
        <w:rPr>
          <w:color w:val="231F20"/>
          <w:spacing w:val="-8"/>
          <w:sz w:val="16"/>
        </w:rPr>
        <w:t> </w:t>
      </w:r>
      <w:r>
        <w:rPr>
          <w:color w:val="231F20"/>
          <w:spacing w:val="-2"/>
          <w:sz w:val="16"/>
        </w:rPr>
        <w:t>Broderick</w:t>
      </w:r>
      <w:r>
        <w:rPr>
          <w:color w:val="231F20"/>
          <w:spacing w:val="-8"/>
          <w:sz w:val="16"/>
        </w:rPr>
        <w:t> </w:t>
      </w:r>
      <w:r>
        <w:rPr>
          <w:color w:val="231F20"/>
          <w:spacing w:val="-2"/>
          <w:sz w:val="16"/>
        </w:rPr>
        <w:t>DF,</w:t>
      </w:r>
      <w:r>
        <w:rPr>
          <w:color w:val="231F20"/>
          <w:spacing w:val="-7"/>
          <w:sz w:val="16"/>
        </w:rPr>
        <w:t> </w:t>
      </w:r>
      <w:r>
        <w:rPr>
          <w:color w:val="231F20"/>
          <w:spacing w:val="-2"/>
          <w:sz w:val="16"/>
        </w:rPr>
        <w:t>Uitti</w:t>
      </w:r>
      <w:r>
        <w:rPr>
          <w:color w:val="231F20"/>
          <w:spacing w:val="-7"/>
          <w:sz w:val="16"/>
        </w:rPr>
        <w:t> </w:t>
      </w:r>
      <w:r>
        <w:rPr>
          <w:color w:val="231F20"/>
          <w:spacing w:val="-2"/>
          <w:sz w:val="16"/>
        </w:rPr>
        <w:t>RJ,</w:t>
      </w:r>
      <w:r>
        <w:rPr>
          <w:color w:val="231F20"/>
          <w:spacing w:val="-7"/>
          <w:sz w:val="16"/>
        </w:rPr>
        <w:t> </w:t>
      </w:r>
      <w:r>
        <w:rPr>
          <w:color w:val="231F20"/>
          <w:spacing w:val="-2"/>
          <w:sz w:val="16"/>
        </w:rPr>
        <w:t>Hutton</w:t>
      </w:r>
      <w:r>
        <w:rPr>
          <w:color w:val="231F20"/>
          <w:spacing w:val="-8"/>
          <w:sz w:val="16"/>
        </w:rPr>
        <w:t> </w:t>
      </w:r>
      <w:r>
        <w:rPr>
          <w:color w:val="231F20"/>
          <w:spacing w:val="-2"/>
          <w:sz w:val="16"/>
        </w:rPr>
        <w:t>ML,</w:t>
      </w:r>
      <w:r>
        <w:rPr>
          <w:color w:val="231F20"/>
          <w:spacing w:val="-7"/>
          <w:sz w:val="16"/>
        </w:rPr>
        <w:t> </w:t>
      </w:r>
      <w:r>
        <w:rPr>
          <w:color w:val="231F20"/>
          <w:spacing w:val="-2"/>
          <w:sz w:val="16"/>
        </w:rPr>
        <w:t>Wszolek</w:t>
      </w:r>
      <w:r>
        <w:rPr>
          <w:color w:val="231F20"/>
          <w:spacing w:val="-8"/>
          <w:sz w:val="16"/>
        </w:rPr>
        <w:t> </w:t>
      </w:r>
      <w:r>
        <w:rPr>
          <w:color w:val="231F20"/>
          <w:spacing w:val="-2"/>
          <w:sz w:val="16"/>
        </w:rPr>
        <w:t>ZK.</w:t>
      </w:r>
      <w:r>
        <w:rPr>
          <w:color w:val="231F20"/>
          <w:spacing w:val="-7"/>
          <w:sz w:val="16"/>
        </w:rPr>
        <w:t> </w:t>
      </w:r>
      <w:r>
        <w:rPr>
          <w:color w:val="231F20"/>
          <w:spacing w:val="-2"/>
          <w:sz w:val="16"/>
        </w:rPr>
        <w:t>Heredofa-</w:t>
      </w:r>
      <w:r>
        <w:rPr>
          <w:color w:val="231F20"/>
          <w:spacing w:val="40"/>
          <w:sz w:val="16"/>
        </w:rPr>
        <w:t> </w:t>
      </w:r>
      <w:r>
        <w:rPr>
          <w:color w:val="231F20"/>
          <w:spacing w:val="-2"/>
          <w:sz w:val="16"/>
        </w:rPr>
        <w:t>milial</w:t>
      </w:r>
      <w:r>
        <w:rPr>
          <w:color w:val="231F20"/>
          <w:spacing w:val="-6"/>
          <w:sz w:val="16"/>
        </w:rPr>
        <w:t> </w:t>
      </w:r>
      <w:r>
        <w:rPr>
          <w:color w:val="231F20"/>
          <w:spacing w:val="-2"/>
          <w:sz w:val="16"/>
        </w:rPr>
        <w:t>brain</w:t>
      </w:r>
      <w:r>
        <w:rPr>
          <w:color w:val="231F20"/>
          <w:spacing w:val="-7"/>
          <w:sz w:val="16"/>
        </w:rPr>
        <w:t> </w:t>
      </w:r>
      <w:r>
        <w:rPr>
          <w:color w:val="231F20"/>
          <w:spacing w:val="-2"/>
          <w:sz w:val="16"/>
        </w:rPr>
        <w:t>calcinosis</w:t>
      </w:r>
      <w:r>
        <w:rPr>
          <w:color w:val="231F20"/>
          <w:spacing w:val="-6"/>
          <w:sz w:val="16"/>
        </w:rPr>
        <w:t> </w:t>
      </w:r>
      <w:r>
        <w:rPr>
          <w:color w:val="231F20"/>
          <w:spacing w:val="-2"/>
          <w:sz w:val="16"/>
        </w:rPr>
        <w:t>syndrome.</w:t>
      </w:r>
      <w:r>
        <w:rPr>
          <w:color w:val="231F20"/>
          <w:spacing w:val="-5"/>
          <w:sz w:val="16"/>
        </w:rPr>
        <w:t> </w:t>
      </w:r>
      <w:r>
        <w:rPr>
          <w:color w:val="231F20"/>
          <w:spacing w:val="-2"/>
          <w:sz w:val="16"/>
        </w:rPr>
        <w:t>Mayo</w:t>
      </w:r>
      <w:r>
        <w:rPr>
          <w:color w:val="231F20"/>
          <w:spacing w:val="-5"/>
          <w:sz w:val="16"/>
        </w:rPr>
        <w:t> </w:t>
      </w:r>
      <w:r>
        <w:rPr>
          <w:color w:val="231F20"/>
          <w:spacing w:val="-2"/>
          <w:sz w:val="16"/>
        </w:rPr>
        <w:t>Clin</w:t>
      </w:r>
      <w:r>
        <w:rPr>
          <w:color w:val="231F20"/>
          <w:spacing w:val="-5"/>
          <w:sz w:val="16"/>
        </w:rPr>
        <w:t> </w:t>
      </w:r>
      <w:r>
        <w:rPr>
          <w:color w:val="231F20"/>
          <w:spacing w:val="-2"/>
          <w:sz w:val="16"/>
        </w:rPr>
        <w:t>Proc</w:t>
      </w:r>
      <w:r>
        <w:rPr>
          <w:color w:val="231F20"/>
          <w:spacing w:val="-6"/>
          <w:sz w:val="16"/>
        </w:rPr>
        <w:t> </w:t>
      </w:r>
      <w:r>
        <w:rPr>
          <w:color w:val="231F20"/>
          <w:spacing w:val="-2"/>
          <w:sz w:val="16"/>
        </w:rPr>
        <w:t>2005;80:</w:t>
      </w:r>
      <w:r>
        <w:rPr>
          <w:color w:val="231F20"/>
          <w:spacing w:val="-6"/>
          <w:sz w:val="16"/>
        </w:rPr>
        <w:t> </w:t>
      </w:r>
      <w:r>
        <w:rPr>
          <w:color w:val="231F20"/>
          <w:spacing w:val="-2"/>
          <w:sz w:val="16"/>
        </w:rPr>
        <w:t>641–651.</w:t>
      </w:r>
    </w:p>
    <w:p>
      <w:pPr>
        <w:pStyle w:val="ListParagraph"/>
        <w:numPr>
          <w:ilvl w:val="0"/>
          <w:numId w:val="8"/>
        </w:numPr>
        <w:tabs>
          <w:tab w:pos="501" w:val="left" w:leader="none"/>
          <w:tab w:pos="503" w:val="left" w:leader="none"/>
        </w:tabs>
        <w:spacing w:line="232" w:lineRule="auto" w:before="0" w:after="0"/>
        <w:ind w:left="503" w:right="215" w:hanging="248"/>
        <w:jc w:val="both"/>
        <w:rPr>
          <w:sz w:val="16"/>
        </w:rPr>
      </w:pPr>
      <w:r>
        <w:rPr>
          <w:color w:val="231F20"/>
          <w:sz w:val="16"/>
        </w:rPr>
        <w:t>Spacey SD, Adams PJ, Lam PC, Materek LA, Stoessl AJ, Snutch</w:t>
      </w:r>
      <w:r>
        <w:rPr>
          <w:color w:val="231F20"/>
          <w:spacing w:val="40"/>
          <w:sz w:val="16"/>
        </w:rPr>
        <w:t> </w:t>
      </w:r>
      <w:r>
        <w:rPr>
          <w:color w:val="231F20"/>
          <w:sz w:val="16"/>
        </w:rPr>
        <w:t>TP, Hsiung GY. Genetic heterogeneity in paroxysmal </w:t>
      </w:r>
      <w:r>
        <w:rPr>
          <w:color w:val="231F20"/>
          <w:sz w:val="16"/>
        </w:rPr>
        <w:t>nonkinesi-</w:t>
      </w:r>
      <w:r>
        <w:rPr>
          <w:color w:val="231F20"/>
          <w:spacing w:val="40"/>
          <w:sz w:val="16"/>
        </w:rPr>
        <w:t> </w:t>
      </w:r>
      <w:r>
        <w:rPr>
          <w:color w:val="231F20"/>
          <w:sz w:val="16"/>
        </w:rPr>
        <w:t>genic dyskinesia. Neurology 2006;66:1588–1590.</w:t>
      </w:r>
    </w:p>
    <w:p>
      <w:pPr>
        <w:pStyle w:val="ListParagraph"/>
        <w:numPr>
          <w:ilvl w:val="0"/>
          <w:numId w:val="8"/>
        </w:numPr>
        <w:tabs>
          <w:tab w:pos="501" w:val="left" w:leader="none"/>
          <w:tab w:pos="503" w:val="left" w:leader="none"/>
        </w:tabs>
        <w:spacing w:line="235" w:lineRule="auto" w:before="1" w:after="0"/>
        <w:ind w:left="503" w:right="215" w:hanging="248"/>
        <w:jc w:val="both"/>
        <w:rPr>
          <w:sz w:val="16"/>
        </w:rPr>
      </w:pPr>
      <w:r>
        <w:rPr>
          <w:color w:val="231F20"/>
          <w:sz w:val="16"/>
        </w:rPr>
        <w:t>Bruno MK, Lee HY, Auburger GW, et al. Genotype-</w:t>
      </w:r>
      <w:r>
        <w:rPr>
          <w:color w:val="231F20"/>
          <w:sz w:val="16"/>
        </w:rPr>
        <w:t>phenotype</w:t>
      </w:r>
      <w:r>
        <w:rPr>
          <w:color w:val="231F20"/>
          <w:spacing w:val="40"/>
          <w:sz w:val="16"/>
        </w:rPr>
        <w:t> </w:t>
      </w:r>
      <w:r>
        <w:rPr>
          <w:color w:val="231F20"/>
          <w:sz w:val="16"/>
        </w:rPr>
        <w:t>correlation of paroxysmal nonkinesigenic dyskinesia. Neurology</w:t>
      </w:r>
      <w:r>
        <w:rPr>
          <w:color w:val="231F20"/>
          <w:spacing w:val="40"/>
          <w:sz w:val="16"/>
        </w:rPr>
        <w:t> </w:t>
      </w:r>
      <w:r>
        <w:rPr>
          <w:color w:val="231F20"/>
          <w:spacing w:val="-2"/>
          <w:sz w:val="16"/>
        </w:rPr>
        <w:t>2007;68:1782–1789.</w:t>
      </w:r>
    </w:p>
    <w:p>
      <w:pPr>
        <w:pStyle w:val="BodyText"/>
        <w:spacing w:before="72"/>
        <w:rPr>
          <w:sz w:val="16"/>
        </w:rPr>
      </w:pPr>
    </w:p>
    <w:p>
      <w:pPr>
        <w:pStyle w:val="Heading1"/>
        <w:spacing w:line="244" w:lineRule="auto"/>
        <w:ind w:right="219"/>
      </w:pPr>
      <w:r>
        <w:rPr>
          <w:color w:val="231F20"/>
          <w:w w:val="105"/>
        </w:rPr>
        <w:t>Dramatic Response of Facial Stereotype/Tic </w:t>
      </w:r>
      <w:r>
        <w:rPr>
          <w:color w:val="231F20"/>
          <w:w w:val="105"/>
        </w:rPr>
        <w:t>to Tetrabenazine in the First Reported Cases of Neuroferritinopathy in the United States</w:t>
      </w:r>
    </w:p>
    <w:p>
      <w:pPr>
        <w:spacing w:before="235"/>
        <w:ind w:left="456" w:right="0" w:firstLine="2910"/>
        <w:jc w:val="left"/>
        <w:rPr>
          <w:position w:val="-11"/>
          <w:sz w:val="22"/>
        </w:rPr>
      </w:pPr>
      <w:r>
        <w:rPr>
          <w:color w:val="231F20"/>
          <w:sz w:val="22"/>
        </w:rPr>
        <w:t>Video </w:t>
      </w:r>
      <w:r>
        <w:rPr>
          <w:color w:val="231F20"/>
          <w:spacing w:val="5"/>
          <w:position w:val="-11"/>
          <w:sz w:val="22"/>
        </w:rPr>
        <w:drawing>
          <wp:inline distT="0" distB="0" distL="0" distR="0">
            <wp:extent cx="539280" cy="22608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8" cstate="print"/>
                    <a:stretch>
                      <a:fillRect/>
                    </a:stretch>
                  </pic:blipFill>
                  <pic:spPr>
                    <a:xfrm>
                      <a:off x="0" y="0"/>
                      <a:ext cx="539280" cy="226080"/>
                    </a:xfrm>
                    <a:prstGeom prst="rect">
                      <a:avLst/>
                    </a:prstGeom>
                  </pic:spPr>
                </pic:pic>
              </a:graphicData>
            </a:graphic>
          </wp:inline>
        </w:drawing>
      </w:r>
      <w:r>
        <w:rPr>
          <w:color w:val="231F20"/>
          <w:spacing w:val="5"/>
          <w:position w:val="-11"/>
          <w:sz w:val="22"/>
        </w:rPr>
      </w:r>
    </w:p>
    <w:p>
      <w:pPr>
        <w:pStyle w:val="BodyText"/>
        <w:spacing w:before="159"/>
        <w:ind w:left="256" w:right="216" w:firstLine="199"/>
        <w:jc w:val="both"/>
      </w:pPr>
      <w:r>
        <w:rPr>
          <w:color w:val="231F20"/>
        </w:rPr>
        <w:t>Neuroferritinopathy is a rare neurodegenerative </w:t>
      </w:r>
      <w:r>
        <w:rPr>
          <w:color w:val="231F20"/>
        </w:rPr>
        <w:t>disease associated with brain iron deposition caused by mutations in gene encoding the ferritin light polypeptide (FTL). A</w:t>
      </w:r>
      <w:r>
        <w:rPr>
          <w:color w:val="231F20"/>
          <w:spacing w:val="80"/>
        </w:rPr>
        <w:t> </w:t>
      </w:r>
      <w:r>
        <w:rPr>
          <w:color w:val="231F20"/>
        </w:rPr>
        <w:t>460dupA FTL was ﬁrst identiﬁed in patients in northern Eng- land.</w:t>
      </w:r>
      <w:r>
        <w:rPr>
          <w:color w:val="231F20"/>
          <w:vertAlign w:val="superscript"/>
        </w:rPr>
        <w:t>1</w:t>
      </w:r>
      <w:r>
        <w:rPr>
          <w:color w:val="231F20"/>
          <w:vertAlign w:val="baseline"/>
        </w:rPr>
        <w:t> Since then several different mutations of FLT were identiﬁed</w:t>
      </w:r>
      <w:r>
        <w:rPr>
          <w:color w:val="231F20"/>
          <w:spacing w:val="72"/>
          <w:vertAlign w:val="baseline"/>
        </w:rPr>
        <w:t> </w:t>
      </w:r>
      <w:r>
        <w:rPr>
          <w:color w:val="231F20"/>
          <w:vertAlign w:val="baseline"/>
        </w:rPr>
        <w:t>in</w:t>
      </w:r>
      <w:r>
        <w:rPr>
          <w:color w:val="231F20"/>
          <w:spacing w:val="71"/>
          <w:vertAlign w:val="baseline"/>
        </w:rPr>
        <w:t> </w:t>
      </w:r>
      <w:r>
        <w:rPr>
          <w:color w:val="231F20"/>
          <w:vertAlign w:val="baseline"/>
        </w:rPr>
        <w:t>Japanese</w:t>
      </w:r>
      <w:r>
        <w:rPr>
          <w:color w:val="231F20"/>
          <w:spacing w:val="71"/>
          <w:vertAlign w:val="baseline"/>
        </w:rPr>
        <w:t> </w:t>
      </w:r>
      <w:r>
        <w:rPr>
          <w:color w:val="231F20"/>
          <w:vertAlign w:val="baseline"/>
        </w:rPr>
        <w:t>and</w:t>
      </w:r>
      <w:r>
        <w:rPr>
          <w:color w:val="231F20"/>
          <w:spacing w:val="71"/>
          <w:vertAlign w:val="baseline"/>
        </w:rPr>
        <w:t> </w:t>
      </w:r>
      <w:r>
        <w:rPr>
          <w:color w:val="231F20"/>
          <w:vertAlign w:val="baseline"/>
        </w:rPr>
        <w:t>French,</w:t>
      </w:r>
      <w:r>
        <w:rPr>
          <w:color w:val="231F20"/>
          <w:spacing w:val="72"/>
          <w:vertAlign w:val="baseline"/>
        </w:rPr>
        <w:t> </w:t>
      </w:r>
      <w:r>
        <w:rPr>
          <w:color w:val="231F20"/>
          <w:vertAlign w:val="baseline"/>
        </w:rPr>
        <w:t>and</w:t>
      </w:r>
      <w:r>
        <w:rPr>
          <w:color w:val="231F20"/>
          <w:spacing w:val="71"/>
          <w:vertAlign w:val="baseline"/>
        </w:rPr>
        <w:t> </w:t>
      </w:r>
      <w:r>
        <w:rPr>
          <w:color w:val="231F20"/>
          <w:spacing w:val="-2"/>
          <w:vertAlign w:val="baseline"/>
        </w:rPr>
        <w:t>French–Canadian/</w:t>
      </w:r>
    </w:p>
    <w:p>
      <w:pPr>
        <w:pStyle w:val="BodyText"/>
        <w:spacing w:before="4"/>
      </w:pPr>
      <w:r>
        <w:rPr/>
        <mc:AlternateContent>
          <mc:Choice Requires="wps">
            <w:drawing>
              <wp:anchor distT="0" distB="0" distL="0" distR="0" allowOverlap="1" layoutInCell="1" locked="0" behindDoc="1" simplePos="0" relativeHeight="487596544">
                <wp:simplePos x="0" y="0"/>
                <wp:positionH relativeFrom="page">
                  <wp:posOffset>4050004</wp:posOffset>
                </wp:positionH>
                <wp:positionV relativeFrom="paragraph">
                  <wp:posOffset>149710</wp:posOffset>
                </wp:positionV>
                <wp:extent cx="2897505" cy="3175"/>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2897505" cy="3175"/>
                        </a:xfrm>
                        <a:custGeom>
                          <a:avLst/>
                          <a:gdLst/>
                          <a:ahLst/>
                          <a:cxnLst/>
                          <a:rect l="l" t="t" r="r" b="b"/>
                          <a:pathLst>
                            <a:path w="2897505" h="3175">
                              <a:moveTo>
                                <a:pt x="0" y="0"/>
                              </a:moveTo>
                              <a:lnTo>
                                <a:pt x="0" y="2882"/>
                              </a:lnTo>
                              <a:lnTo>
                                <a:pt x="2897276" y="2882"/>
                              </a:lnTo>
                              <a:lnTo>
                                <a:pt x="2897276" y="0"/>
                              </a:lnTo>
                              <a:lnTo>
                                <a:pt x="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18.89801pt;margin-top:11.788233pt;width:228.132pt;height:.227pt;mso-position-horizontal-relative:page;mso-position-vertical-relative:paragraph;z-index:-15719936;mso-wrap-distance-left:0;mso-wrap-distance-right:0" id="docshape16" filled="true" fillcolor="#231f20" stroked="false">
                <v:fill type="solid"/>
                <w10:wrap type="topAndBottom"/>
              </v:rect>
            </w:pict>
          </mc:Fallback>
        </mc:AlternateContent>
      </w:r>
    </w:p>
    <w:p>
      <w:pPr>
        <w:spacing w:line="232" w:lineRule="auto" w:before="59"/>
        <w:ind w:left="256" w:right="204" w:firstLine="159"/>
        <w:jc w:val="left"/>
        <w:rPr>
          <w:sz w:val="16"/>
        </w:rPr>
      </w:pPr>
      <w:r>
        <w:rPr>
          <w:color w:val="231F20"/>
          <w:sz w:val="16"/>
        </w:rPr>
        <w:t>Additional</w:t>
      </w:r>
      <w:r>
        <w:rPr>
          <w:color w:val="231F20"/>
          <w:spacing w:val="40"/>
          <w:sz w:val="16"/>
        </w:rPr>
        <w:t> </w:t>
      </w:r>
      <w:r>
        <w:rPr>
          <w:color w:val="231F20"/>
          <w:sz w:val="16"/>
        </w:rPr>
        <w:t>Supporting</w:t>
      </w:r>
      <w:r>
        <w:rPr>
          <w:color w:val="231F20"/>
          <w:spacing w:val="40"/>
          <w:sz w:val="16"/>
        </w:rPr>
        <w:t> </w:t>
      </w:r>
      <w:r>
        <w:rPr>
          <w:color w:val="231F20"/>
          <w:sz w:val="16"/>
        </w:rPr>
        <w:t>Information</w:t>
      </w:r>
      <w:r>
        <w:rPr>
          <w:color w:val="231F20"/>
          <w:spacing w:val="40"/>
          <w:sz w:val="16"/>
        </w:rPr>
        <w:t> </w:t>
      </w:r>
      <w:r>
        <w:rPr>
          <w:color w:val="231F20"/>
          <w:sz w:val="16"/>
        </w:rPr>
        <w:t>may</w:t>
      </w:r>
      <w:r>
        <w:rPr>
          <w:color w:val="231F20"/>
          <w:spacing w:val="40"/>
          <w:sz w:val="16"/>
        </w:rPr>
        <w:t> </w:t>
      </w:r>
      <w:r>
        <w:rPr>
          <w:color w:val="231F20"/>
          <w:sz w:val="16"/>
        </w:rPr>
        <w:t>be</w:t>
      </w:r>
      <w:r>
        <w:rPr>
          <w:color w:val="231F20"/>
          <w:spacing w:val="40"/>
          <w:sz w:val="16"/>
        </w:rPr>
        <w:t> </w:t>
      </w:r>
      <w:r>
        <w:rPr>
          <w:color w:val="231F20"/>
          <w:sz w:val="16"/>
        </w:rPr>
        <w:t>found</w:t>
      </w:r>
      <w:r>
        <w:rPr>
          <w:color w:val="231F20"/>
          <w:spacing w:val="40"/>
          <w:sz w:val="16"/>
        </w:rPr>
        <w:t> </w:t>
      </w:r>
      <w:r>
        <w:rPr>
          <w:color w:val="231F20"/>
          <w:sz w:val="16"/>
        </w:rPr>
        <w:t>in</w:t>
      </w:r>
      <w:r>
        <w:rPr>
          <w:color w:val="231F20"/>
          <w:spacing w:val="40"/>
          <w:sz w:val="16"/>
        </w:rPr>
        <w:t> </w:t>
      </w:r>
      <w:r>
        <w:rPr>
          <w:color w:val="231F20"/>
          <w:sz w:val="16"/>
        </w:rPr>
        <w:t>the</w:t>
      </w:r>
      <w:r>
        <w:rPr>
          <w:color w:val="231F20"/>
          <w:spacing w:val="40"/>
          <w:sz w:val="16"/>
        </w:rPr>
        <w:t> </w:t>
      </w:r>
      <w:r>
        <w:rPr>
          <w:color w:val="231F20"/>
          <w:sz w:val="16"/>
        </w:rPr>
        <w:t>online</w:t>
      </w:r>
      <w:r>
        <w:rPr>
          <w:color w:val="231F20"/>
          <w:spacing w:val="40"/>
          <w:sz w:val="16"/>
        </w:rPr>
        <w:t> </w:t>
      </w:r>
      <w:r>
        <w:rPr>
          <w:color w:val="231F20"/>
          <w:sz w:val="16"/>
        </w:rPr>
        <w:t>version of this article.</w:t>
      </w:r>
    </w:p>
    <w:p>
      <w:pPr>
        <w:spacing w:line="178" w:lineRule="exact" w:before="0"/>
        <w:ind w:left="416" w:right="0" w:firstLine="0"/>
        <w:jc w:val="left"/>
        <w:rPr>
          <w:sz w:val="16"/>
        </w:rPr>
      </w:pPr>
      <w:r>
        <w:rPr>
          <w:color w:val="231F20"/>
          <w:sz w:val="16"/>
        </w:rPr>
        <w:t>Potential</w:t>
      </w:r>
      <w:r>
        <w:rPr>
          <w:color w:val="231F20"/>
          <w:spacing w:val="9"/>
          <w:sz w:val="16"/>
        </w:rPr>
        <w:t> </w:t>
      </w:r>
      <w:r>
        <w:rPr>
          <w:color w:val="231F20"/>
          <w:sz w:val="16"/>
        </w:rPr>
        <w:t>conﬂict</w:t>
      </w:r>
      <w:r>
        <w:rPr>
          <w:color w:val="231F20"/>
          <w:spacing w:val="10"/>
          <w:sz w:val="16"/>
        </w:rPr>
        <w:t> </w:t>
      </w:r>
      <w:r>
        <w:rPr>
          <w:color w:val="231F20"/>
          <w:sz w:val="16"/>
        </w:rPr>
        <w:t>of</w:t>
      </w:r>
      <w:r>
        <w:rPr>
          <w:color w:val="231F20"/>
          <w:spacing w:val="11"/>
          <w:sz w:val="16"/>
        </w:rPr>
        <w:t> </w:t>
      </w:r>
      <w:r>
        <w:rPr>
          <w:color w:val="231F20"/>
          <w:sz w:val="16"/>
        </w:rPr>
        <w:t>interest:</w:t>
      </w:r>
      <w:r>
        <w:rPr>
          <w:color w:val="231F20"/>
          <w:spacing w:val="10"/>
          <w:sz w:val="16"/>
        </w:rPr>
        <w:t> </w:t>
      </w:r>
      <w:r>
        <w:rPr>
          <w:color w:val="231F20"/>
          <w:sz w:val="16"/>
        </w:rPr>
        <w:t>Nothing</w:t>
      </w:r>
      <w:r>
        <w:rPr>
          <w:color w:val="231F20"/>
          <w:spacing w:val="10"/>
          <w:sz w:val="16"/>
        </w:rPr>
        <w:t> </w:t>
      </w:r>
      <w:r>
        <w:rPr>
          <w:color w:val="231F20"/>
          <w:sz w:val="16"/>
        </w:rPr>
        <w:t>to</w:t>
      </w:r>
      <w:r>
        <w:rPr>
          <w:color w:val="231F20"/>
          <w:spacing w:val="10"/>
          <w:sz w:val="16"/>
        </w:rPr>
        <w:t> </w:t>
      </w:r>
      <w:r>
        <w:rPr>
          <w:color w:val="231F20"/>
          <w:spacing w:val="-2"/>
          <w:sz w:val="16"/>
        </w:rPr>
        <w:t>report.</w:t>
      </w:r>
    </w:p>
    <w:p>
      <w:pPr>
        <w:spacing w:line="232" w:lineRule="auto" w:before="2"/>
        <w:ind w:left="256" w:right="204" w:firstLine="159"/>
        <w:jc w:val="left"/>
        <w:rPr>
          <w:sz w:val="16"/>
        </w:rPr>
      </w:pPr>
      <w:r>
        <w:rPr>
          <w:color w:val="231F20"/>
          <w:w w:val="105"/>
          <w:sz w:val="16"/>
        </w:rPr>
        <w:t>Published</w:t>
      </w:r>
      <w:r>
        <w:rPr>
          <w:color w:val="231F20"/>
          <w:spacing w:val="37"/>
          <w:w w:val="105"/>
          <w:sz w:val="16"/>
        </w:rPr>
        <w:t> </w:t>
      </w:r>
      <w:r>
        <w:rPr>
          <w:color w:val="231F20"/>
          <w:w w:val="105"/>
          <w:sz w:val="16"/>
        </w:rPr>
        <w:t>online</w:t>
      </w:r>
      <w:r>
        <w:rPr>
          <w:color w:val="231F20"/>
          <w:spacing w:val="39"/>
          <w:w w:val="105"/>
          <w:sz w:val="16"/>
        </w:rPr>
        <w:t> </w:t>
      </w:r>
      <w:r>
        <w:rPr>
          <w:color w:val="231F20"/>
          <w:w w:val="105"/>
          <w:sz w:val="16"/>
        </w:rPr>
        <w:t>3</w:t>
      </w:r>
      <w:r>
        <w:rPr>
          <w:color w:val="231F20"/>
          <w:spacing w:val="39"/>
          <w:w w:val="105"/>
          <w:sz w:val="16"/>
        </w:rPr>
        <w:t> </w:t>
      </w:r>
      <w:r>
        <w:rPr>
          <w:color w:val="231F20"/>
          <w:w w:val="105"/>
          <w:sz w:val="16"/>
        </w:rPr>
        <w:t>September</w:t>
      </w:r>
      <w:r>
        <w:rPr>
          <w:color w:val="231F20"/>
          <w:spacing w:val="38"/>
          <w:w w:val="105"/>
          <w:sz w:val="16"/>
        </w:rPr>
        <w:t> </w:t>
      </w:r>
      <w:r>
        <w:rPr>
          <w:color w:val="231F20"/>
          <w:w w:val="105"/>
          <w:sz w:val="16"/>
        </w:rPr>
        <w:t>2010</w:t>
      </w:r>
      <w:r>
        <w:rPr>
          <w:color w:val="231F20"/>
          <w:spacing w:val="39"/>
          <w:w w:val="105"/>
          <w:sz w:val="16"/>
        </w:rPr>
        <w:t> </w:t>
      </w:r>
      <w:r>
        <w:rPr>
          <w:color w:val="231F20"/>
          <w:w w:val="105"/>
          <w:sz w:val="16"/>
        </w:rPr>
        <w:t>in</w:t>
      </w:r>
      <w:r>
        <w:rPr>
          <w:color w:val="231F20"/>
          <w:spacing w:val="39"/>
          <w:w w:val="105"/>
          <w:sz w:val="16"/>
        </w:rPr>
        <w:t> </w:t>
      </w:r>
      <w:r>
        <w:rPr>
          <w:color w:val="231F20"/>
          <w:w w:val="105"/>
          <w:sz w:val="16"/>
        </w:rPr>
        <w:t>Wiley</w:t>
      </w:r>
      <w:r>
        <w:rPr>
          <w:color w:val="231F20"/>
          <w:spacing w:val="38"/>
          <w:w w:val="105"/>
          <w:sz w:val="16"/>
        </w:rPr>
        <w:t> </w:t>
      </w:r>
      <w:r>
        <w:rPr>
          <w:color w:val="231F20"/>
          <w:w w:val="105"/>
          <w:sz w:val="16"/>
        </w:rPr>
        <w:t>Online</w:t>
      </w:r>
      <w:r>
        <w:rPr>
          <w:color w:val="231F20"/>
          <w:spacing w:val="38"/>
          <w:w w:val="105"/>
          <w:sz w:val="16"/>
        </w:rPr>
        <w:t> </w:t>
      </w:r>
      <w:r>
        <w:rPr>
          <w:color w:val="231F20"/>
          <w:w w:val="105"/>
          <w:sz w:val="16"/>
        </w:rPr>
        <w:t>Library (wileyonlinelibrary.com).</w:t>
      </w:r>
      <w:r>
        <w:rPr>
          <w:color w:val="231F20"/>
          <w:spacing w:val="40"/>
          <w:w w:val="105"/>
          <w:sz w:val="16"/>
        </w:rPr>
        <w:t> </w:t>
      </w:r>
      <w:r>
        <w:rPr>
          <w:color w:val="231F20"/>
          <w:w w:val="105"/>
          <w:sz w:val="16"/>
        </w:rPr>
        <w:t>DOI: 10.1002/mds.23299</w:t>
      </w:r>
    </w:p>
    <w:p>
      <w:pPr>
        <w:spacing w:after="0" w:line="232" w:lineRule="auto"/>
        <w:jc w:val="left"/>
        <w:rPr>
          <w:sz w:val="16"/>
        </w:rPr>
        <w:sectPr>
          <w:type w:val="continuous"/>
          <w:pgSz w:w="12240" w:h="16200"/>
          <w:pgMar w:top="1060" w:bottom="280" w:left="1080" w:right="1080"/>
          <w:cols w:num="2" w:equalWidth="0">
            <w:col w:w="4862" w:space="179"/>
            <w:col w:w="5039"/>
          </w:cols>
        </w:sectPr>
      </w:pPr>
    </w:p>
    <w:p>
      <w:pPr>
        <w:pStyle w:val="BodyText"/>
        <w:rPr>
          <w:sz w:val="14"/>
        </w:rPr>
      </w:pPr>
      <w:r>
        <w:rPr>
          <w:sz w:val="14"/>
        </w:rPr>
        <mc:AlternateContent>
          <mc:Choice Requires="wps">
            <w:drawing>
              <wp:anchor distT="0" distB="0" distL="0" distR="0" allowOverlap="1" layoutInCell="1" locked="0" behindDoc="0" simplePos="0" relativeHeight="15737856">
                <wp:simplePos x="0" y="0"/>
                <wp:positionH relativeFrom="page">
                  <wp:posOffset>7555927</wp:posOffset>
                </wp:positionH>
                <wp:positionV relativeFrom="page">
                  <wp:posOffset>208819</wp:posOffset>
                </wp:positionV>
                <wp:extent cx="95885" cy="987552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95885" cy="9875520"/>
                        </a:xfrm>
                        <a:prstGeom prst="rect">
                          <a:avLst/>
                        </a:prstGeom>
                      </wps:spPr>
                      <wps:txbx>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wps:txbx>
                      <wps:bodyPr wrap="square" lIns="0" tIns="0" rIns="0" bIns="0" rtlCol="0" vert="vert">
                        <a:noAutofit/>
                      </wps:bodyPr>
                    </wps:wsp>
                  </a:graphicData>
                </a:graphic>
              </wp:anchor>
            </w:drawing>
          </mc:Choice>
          <mc:Fallback>
            <w:pict>
              <v:shape style="position:absolute;margin-left:594.954956pt;margin-top:16.442499pt;width:7.55pt;height:777.6pt;mso-position-horizontal-relative:page;mso-position-vertical-relative:page;z-index:15737856" type="#_x0000_t202" id="docshape17" filled="false" stroked="false">
                <v:textbox inset="0,0,0,0" style="layout-flow:vertical">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v:textbox>
                <w10:wrap type="none"/>
              </v:shape>
            </w:pict>
          </mc:Fallback>
        </mc:AlternateContent>
      </w:r>
    </w:p>
    <w:p>
      <w:pPr>
        <w:pStyle w:val="BodyText"/>
        <w:rPr>
          <w:sz w:val="14"/>
        </w:rPr>
      </w:pPr>
    </w:p>
    <w:p>
      <w:pPr>
        <w:pStyle w:val="BodyText"/>
        <w:rPr>
          <w:sz w:val="14"/>
        </w:rPr>
      </w:pPr>
    </w:p>
    <w:p>
      <w:pPr>
        <w:pStyle w:val="BodyText"/>
        <w:spacing w:before="34"/>
        <w:rPr>
          <w:sz w:val="14"/>
        </w:rPr>
      </w:pPr>
    </w:p>
    <w:p>
      <w:pPr>
        <w:spacing w:before="1"/>
        <w:ind w:left="256" w:right="0" w:firstLine="0"/>
        <w:jc w:val="left"/>
        <w:rPr>
          <w:i/>
          <w:sz w:val="14"/>
        </w:rPr>
      </w:pPr>
      <w:r>
        <w:rPr>
          <w:i/>
          <w:color w:val="231F20"/>
          <w:sz w:val="14"/>
        </w:rPr>
        <w:t>Movement</w:t>
      </w:r>
      <w:r>
        <w:rPr>
          <w:i/>
          <w:color w:val="231F20"/>
          <w:spacing w:val="8"/>
          <w:sz w:val="14"/>
        </w:rPr>
        <w:t> </w:t>
      </w:r>
      <w:r>
        <w:rPr>
          <w:i/>
          <w:color w:val="231F20"/>
          <w:sz w:val="14"/>
        </w:rPr>
        <w:t>Disorders,</w:t>
      </w:r>
      <w:r>
        <w:rPr>
          <w:i/>
          <w:color w:val="231F20"/>
          <w:spacing w:val="10"/>
          <w:sz w:val="14"/>
        </w:rPr>
        <w:t> </w:t>
      </w:r>
      <w:r>
        <w:rPr>
          <w:i/>
          <w:color w:val="231F20"/>
          <w:sz w:val="14"/>
        </w:rPr>
        <w:t>Vol.</w:t>
      </w:r>
      <w:r>
        <w:rPr>
          <w:i/>
          <w:color w:val="231F20"/>
          <w:spacing w:val="9"/>
          <w:sz w:val="14"/>
        </w:rPr>
        <w:t> </w:t>
      </w:r>
      <w:r>
        <w:rPr>
          <w:i/>
          <w:color w:val="231F20"/>
          <w:sz w:val="14"/>
        </w:rPr>
        <w:t>25,</w:t>
      </w:r>
      <w:r>
        <w:rPr>
          <w:i/>
          <w:color w:val="231F20"/>
          <w:spacing w:val="9"/>
          <w:sz w:val="14"/>
        </w:rPr>
        <w:t> </w:t>
      </w:r>
      <w:r>
        <w:rPr>
          <w:i/>
          <w:color w:val="231F20"/>
          <w:sz w:val="14"/>
        </w:rPr>
        <w:t>No.</w:t>
      </w:r>
      <w:r>
        <w:rPr>
          <w:i/>
          <w:color w:val="231F20"/>
          <w:spacing w:val="8"/>
          <w:sz w:val="14"/>
        </w:rPr>
        <w:t> </w:t>
      </w:r>
      <w:r>
        <w:rPr>
          <w:i/>
          <w:color w:val="231F20"/>
          <w:sz w:val="14"/>
        </w:rPr>
        <w:t>14,</w:t>
      </w:r>
      <w:r>
        <w:rPr>
          <w:i/>
          <w:color w:val="231F20"/>
          <w:spacing w:val="9"/>
          <w:sz w:val="14"/>
        </w:rPr>
        <w:t> </w:t>
      </w:r>
      <w:r>
        <w:rPr>
          <w:i/>
          <w:color w:val="231F20"/>
          <w:spacing w:val="-4"/>
          <w:sz w:val="14"/>
        </w:rPr>
        <w:t>2010</w:t>
      </w:r>
    </w:p>
    <w:p>
      <w:pPr>
        <w:spacing w:after="0"/>
        <w:jc w:val="left"/>
        <w:rPr>
          <w:i/>
          <w:sz w:val="14"/>
        </w:rPr>
        <w:sectPr>
          <w:type w:val="continuous"/>
          <w:pgSz w:w="12240" w:h="16200"/>
          <w:pgMar w:top="1060" w:bottom="280" w:left="1080" w:right="1080"/>
        </w:sectPr>
      </w:pPr>
    </w:p>
    <w:p>
      <w:pPr>
        <w:pStyle w:val="Heading3"/>
        <w:tabs>
          <w:tab w:pos="9859" w:val="right" w:leader="none"/>
        </w:tabs>
      </w:pPr>
      <w:r>
        <w:rPr>
          <w:color w:val="231F20"/>
        </w:rPr>
        <w:t>LETTERS</w:t>
      </w:r>
      <w:r>
        <w:rPr>
          <w:color w:val="231F20"/>
          <w:spacing w:val="12"/>
        </w:rPr>
        <w:t> </w:t>
      </w:r>
      <w:r>
        <w:rPr>
          <w:color w:val="231F20"/>
        </w:rPr>
        <w:t>TO</w:t>
      </w:r>
      <w:r>
        <w:rPr>
          <w:color w:val="231F20"/>
          <w:spacing w:val="10"/>
        </w:rPr>
        <w:t> </w:t>
      </w:r>
      <w:r>
        <w:rPr>
          <w:color w:val="231F20"/>
        </w:rPr>
        <w:t>THE</w:t>
      </w:r>
      <w:r>
        <w:rPr>
          <w:color w:val="231F20"/>
          <w:spacing w:val="11"/>
        </w:rPr>
        <w:t> </w:t>
      </w:r>
      <w:r>
        <w:rPr>
          <w:color w:val="231F20"/>
          <w:spacing w:val="-2"/>
        </w:rPr>
        <w:t>EDITOR</w:t>
      </w:r>
      <w:r>
        <w:rPr>
          <w:i w:val="0"/>
          <w:color w:val="231F20"/>
        </w:rPr>
        <w:tab/>
      </w:r>
      <w:r>
        <w:rPr>
          <w:color w:val="231F20"/>
          <w:spacing w:val="-4"/>
        </w:rPr>
        <w:t>2471</w:t>
      </w:r>
    </w:p>
    <w:p>
      <w:pPr>
        <w:pStyle w:val="BodyText"/>
        <w:spacing w:before="175"/>
        <w:rPr>
          <w:i/>
          <w:sz w:val="20"/>
        </w:rPr>
      </w:pPr>
      <w:r>
        <w:rPr>
          <w:i/>
          <w:sz w:val="20"/>
        </w:rPr>
        <w:drawing>
          <wp:anchor distT="0" distB="0" distL="0" distR="0" allowOverlap="1" layoutInCell="1" locked="0" behindDoc="1" simplePos="0" relativeHeight="487597568">
            <wp:simplePos x="0" y="0"/>
            <wp:positionH relativeFrom="page">
              <wp:posOffset>1226879</wp:posOffset>
            </wp:positionH>
            <wp:positionV relativeFrom="paragraph">
              <wp:posOffset>272709</wp:posOffset>
            </wp:positionV>
            <wp:extent cx="5344602" cy="3493008"/>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6" cstate="print"/>
                    <a:stretch>
                      <a:fillRect/>
                    </a:stretch>
                  </pic:blipFill>
                  <pic:spPr>
                    <a:xfrm>
                      <a:off x="0" y="0"/>
                      <a:ext cx="5344602" cy="3493008"/>
                    </a:xfrm>
                    <a:prstGeom prst="rect">
                      <a:avLst/>
                    </a:prstGeom>
                  </pic:spPr>
                </pic:pic>
              </a:graphicData>
            </a:graphic>
          </wp:anchor>
        </w:drawing>
      </w:r>
    </w:p>
    <w:p>
      <w:pPr>
        <w:spacing w:before="88"/>
        <w:ind w:left="38" w:right="0" w:firstLine="0"/>
        <w:jc w:val="center"/>
        <w:rPr>
          <w:sz w:val="16"/>
        </w:rPr>
      </w:pPr>
      <w:r>
        <w:rPr>
          <w:color w:val="231F20"/>
          <w:sz w:val="16"/>
        </w:rPr>
        <w:t>FIG.</w:t>
      </w:r>
      <w:r>
        <w:rPr>
          <w:color w:val="231F20"/>
          <w:spacing w:val="11"/>
          <w:sz w:val="16"/>
        </w:rPr>
        <w:t> </w:t>
      </w:r>
      <w:r>
        <w:rPr>
          <w:color w:val="231F20"/>
          <w:sz w:val="16"/>
        </w:rPr>
        <w:t>1.</w:t>
      </w:r>
      <w:r>
        <w:rPr>
          <w:color w:val="231F20"/>
          <w:spacing w:val="47"/>
          <w:sz w:val="16"/>
        </w:rPr>
        <w:t> </w:t>
      </w:r>
      <w:r>
        <w:rPr>
          <w:color w:val="231F20"/>
          <w:sz w:val="16"/>
        </w:rPr>
        <w:t>Top</w:t>
      </w:r>
      <w:r>
        <w:rPr>
          <w:color w:val="231F20"/>
          <w:spacing w:val="11"/>
          <w:sz w:val="16"/>
        </w:rPr>
        <w:t> </w:t>
      </w:r>
      <w:r>
        <w:rPr>
          <w:color w:val="231F20"/>
          <w:sz w:val="16"/>
        </w:rPr>
        <w:t>row</w:t>
      </w:r>
      <w:r>
        <w:rPr>
          <w:color w:val="231F20"/>
          <w:spacing w:val="12"/>
          <w:sz w:val="16"/>
        </w:rPr>
        <w:t> </w:t>
      </w:r>
      <w:r>
        <w:rPr>
          <w:color w:val="231F20"/>
          <w:sz w:val="16"/>
        </w:rPr>
        <w:t>of</w:t>
      </w:r>
      <w:r>
        <w:rPr>
          <w:color w:val="231F20"/>
          <w:spacing w:val="11"/>
          <w:sz w:val="16"/>
        </w:rPr>
        <w:t> </w:t>
      </w:r>
      <w:r>
        <w:rPr>
          <w:color w:val="231F20"/>
          <w:sz w:val="16"/>
        </w:rPr>
        <w:t>MRIs</w:t>
      </w:r>
      <w:r>
        <w:rPr>
          <w:color w:val="231F20"/>
          <w:spacing w:val="12"/>
          <w:sz w:val="16"/>
        </w:rPr>
        <w:t> </w:t>
      </w:r>
      <w:r>
        <w:rPr>
          <w:color w:val="231F20"/>
          <w:sz w:val="16"/>
        </w:rPr>
        <w:t>(various</w:t>
      </w:r>
      <w:r>
        <w:rPr>
          <w:color w:val="231F20"/>
          <w:spacing w:val="10"/>
          <w:sz w:val="16"/>
        </w:rPr>
        <w:t> </w:t>
      </w:r>
      <w:r>
        <w:rPr>
          <w:color w:val="231F20"/>
          <w:sz w:val="16"/>
        </w:rPr>
        <w:t>sequences)</w:t>
      </w:r>
      <w:r>
        <w:rPr>
          <w:color w:val="231F20"/>
          <w:spacing w:val="10"/>
          <w:sz w:val="16"/>
        </w:rPr>
        <w:t> </w:t>
      </w:r>
      <w:r>
        <w:rPr>
          <w:color w:val="231F20"/>
          <w:sz w:val="16"/>
        </w:rPr>
        <w:t>of</w:t>
      </w:r>
      <w:r>
        <w:rPr>
          <w:color w:val="231F20"/>
          <w:spacing w:val="12"/>
          <w:sz w:val="16"/>
        </w:rPr>
        <w:t> </w:t>
      </w:r>
      <w:r>
        <w:rPr>
          <w:color w:val="231F20"/>
          <w:sz w:val="16"/>
        </w:rPr>
        <w:t>the</w:t>
      </w:r>
      <w:r>
        <w:rPr>
          <w:color w:val="231F20"/>
          <w:spacing w:val="11"/>
          <w:sz w:val="16"/>
        </w:rPr>
        <w:t> </w:t>
      </w:r>
      <w:r>
        <w:rPr>
          <w:color w:val="231F20"/>
          <w:sz w:val="16"/>
        </w:rPr>
        <w:t>father,</w:t>
      </w:r>
      <w:r>
        <w:rPr>
          <w:color w:val="231F20"/>
          <w:spacing w:val="12"/>
          <w:sz w:val="16"/>
        </w:rPr>
        <w:t> </w:t>
      </w:r>
      <w:r>
        <w:rPr>
          <w:color w:val="231F20"/>
          <w:sz w:val="16"/>
        </w:rPr>
        <w:t>age</w:t>
      </w:r>
      <w:r>
        <w:rPr>
          <w:color w:val="231F20"/>
          <w:spacing w:val="11"/>
          <w:sz w:val="16"/>
        </w:rPr>
        <w:t> </w:t>
      </w:r>
      <w:r>
        <w:rPr>
          <w:color w:val="231F20"/>
          <w:sz w:val="16"/>
        </w:rPr>
        <w:t>74,</w:t>
      </w:r>
      <w:r>
        <w:rPr>
          <w:color w:val="231F20"/>
          <w:spacing w:val="11"/>
          <w:sz w:val="16"/>
        </w:rPr>
        <w:t> </w:t>
      </w:r>
      <w:r>
        <w:rPr>
          <w:color w:val="231F20"/>
          <w:sz w:val="16"/>
        </w:rPr>
        <w:t>and</w:t>
      </w:r>
      <w:r>
        <w:rPr>
          <w:color w:val="231F20"/>
          <w:spacing w:val="11"/>
          <w:sz w:val="16"/>
        </w:rPr>
        <w:t> </w:t>
      </w:r>
      <w:r>
        <w:rPr>
          <w:color w:val="231F20"/>
          <w:sz w:val="16"/>
        </w:rPr>
        <w:t>bottom</w:t>
      </w:r>
      <w:r>
        <w:rPr>
          <w:color w:val="231F20"/>
          <w:spacing w:val="11"/>
          <w:sz w:val="16"/>
        </w:rPr>
        <w:t> </w:t>
      </w:r>
      <w:r>
        <w:rPr>
          <w:color w:val="231F20"/>
          <w:sz w:val="16"/>
        </w:rPr>
        <w:t>role</w:t>
      </w:r>
      <w:r>
        <w:rPr>
          <w:color w:val="231F20"/>
          <w:spacing w:val="11"/>
          <w:sz w:val="16"/>
        </w:rPr>
        <w:t> </w:t>
      </w:r>
      <w:r>
        <w:rPr>
          <w:color w:val="231F20"/>
          <w:sz w:val="16"/>
        </w:rPr>
        <w:t>shows</w:t>
      </w:r>
      <w:r>
        <w:rPr>
          <w:color w:val="231F20"/>
          <w:spacing w:val="10"/>
          <w:sz w:val="16"/>
        </w:rPr>
        <w:t> </w:t>
      </w:r>
      <w:r>
        <w:rPr>
          <w:color w:val="231F20"/>
          <w:sz w:val="16"/>
        </w:rPr>
        <w:t>MRIs</w:t>
      </w:r>
      <w:r>
        <w:rPr>
          <w:color w:val="231F20"/>
          <w:spacing w:val="12"/>
          <w:sz w:val="16"/>
        </w:rPr>
        <w:t> </w:t>
      </w:r>
      <w:r>
        <w:rPr>
          <w:color w:val="231F20"/>
          <w:sz w:val="16"/>
        </w:rPr>
        <w:t>of</w:t>
      </w:r>
      <w:r>
        <w:rPr>
          <w:color w:val="231F20"/>
          <w:spacing w:val="11"/>
          <w:sz w:val="16"/>
        </w:rPr>
        <w:t> </w:t>
      </w:r>
      <w:r>
        <w:rPr>
          <w:color w:val="231F20"/>
          <w:sz w:val="16"/>
        </w:rPr>
        <w:t>son,</w:t>
      </w:r>
      <w:r>
        <w:rPr>
          <w:color w:val="231F20"/>
          <w:spacing w:val="11"/>
          <w:sz w:val="16"/>
        </w:rPr>
        <w:t> </w:t>
      </w:r>
      <w:r>
        <w:rPr>
          <w:color w:val="231F20"/>
          <w:sz w:val="16"/>
        </w:rPr>
        <w:t>age</w:t>
      </w:r>
      <w:r>
        <w:rPr>
          <w:color w:val="231F20"/>
          <w:spacing w:val="12"/>
          <w:sz w:val="16"/>
        </w:rPr>
        <w:t> </w:t>
      </w:r>
      <w:r>
        <w:rPr>
          <w:color w:val="231F20"/>
          <w:spacing w:val="-5"/>
          <w:sz w:val="16"/>
        </w:rPr>
        <w:t>49.</w:t>
      </w:r>
    </w:p>
    <w:p>
      <w:pPr>
        <w:pStyle w:val="BodyText"/>
        <w:spacing w:before="11"/>
        <w:rPr>
          <w:sz w:val="17"/>
        </w:rPr>
      </w:pPr>
    </w:p>
    <w:p>
      <w:pPr>
        <w:pStyle w:val="BodyText"/>
        <w:spacing w:after="0"/>
        <w:rPr>
          <w:sz w:val="17"/>
        </w:rPr>
        <w:sectPr>
          <w:pgSz w:w="12240" w:h="16200"/>
          <w:pgMar w:top="1040" w:bottom="280" w:left="1080" w:right="1080"/>
        </w:sectPr>
      </w:pPr>
    </w:p>
    <w:p>
      <w:pPr>
        <w:pStyle w:val="BodyText"/>
        <w:spacing w:before="104"/>
        <w:ind w:left="256" w:right="38"/>
        <w:jc w:val="both"/>
      </w:pPr>
      <w:r>
        <w:rPr>
          <w:color w:val="231F20"/>
        </w:rPr>
        <w:t>Dutch,</w:t>
      </w:r>
      <w:r>
        <w:rPr>
          <w:color w:val="231F20"/>
          <w:vertAlign w:val="superscript"/>
        </w:rPr>
        <w:t>2–6</w:t>
      </w:r>
      <w:r>
        <w:rPr>
          <w:color w:val="231F20"/>
          <w:vertAlign w:val="baseline"/>
        </w:rPr>
        <w:t> but the original mutation, which accounts for </w:t>
      </w:r>
      <w:r>
        <w:rPr>
          <w:color w:val="231F20"/>
          <w:vertAlign w:val="baseline"/>
        </w:rPr>
        <w:t>the majority of documented cases, has not been reported outside the United Kingdom. We report the ﬁrst cases of neuroferri- tinopathy in North America, and the ﬁrst cases showing the 460dupA FTL mutation originating from outside the United Kingdom, in an American family of German ancestry. One patient presented with oral tics/stereotypies most phenotypi- cally similar to those seen in frontotemporal dementia or Tourette’s. These completely resolved with low-dose tetrabe- nazine (TBZ). His father who demonstrated facial and appen- dicular chorea, marked bulbar dysfunction, ataxia, and de- mentia, also improved with TBZ.</w:t>
      </w:r>
    </w:p>
    <w:p>
      <w:pPr>
        <w:pStyle w:val="BodyText"/>
        <w:spacing w:line="179" w:lineRule="exact"/>
        <w:ind w:left="456"/>
        <w:jc w:val="both"/>
      </w:pPr>
      <w:r>
        <w:rPr>
          <w:color w:val="231F20"/>
        </w:rPr>
        <w:t>A</w:t>
      </w:r>
      <w:r>
        <w:rPr>
          <w:color w:val="231F20"/>
          <w:spacing w:val="38"/>
        </w:rPr>
        <w:t> </w:t>
      </w:r>
      <w:r>
        <w:rPr>
          <w:color w:val="231F20"/>
        </w:rPr>
        <w:t>49-year-old</w:t>
      </w:r>
      <w:r>
        <w:rPr>
          <w:color w:val="231F20"/>
          <w:spacing w:val="39"/>
        </w:rPr>
        <w:t> </w:t>
      </w:r>
      <w:r>
        <w:rPr>
          <w:color w:val="231F20"/>
        </w:rPr>
        <w:t>right-handed</w:t>
      </w:r>
      <w:r>
        <w:rPr>
          <w:color w:val="231F20"/>
          <w:spacing w:val="38"/>
        </w:rPr>
        <w:t> </w:t>
      </w:r>
      <w:r>
        <w:rPr>
          <w:color w:val="231F20"/>
        </w:rPr>
        <w:t>man</w:t>
      </w:r>
      <w:r>
        <w:rPr>
          <w:color w:val="231F20"/>
          <w:spacing w:val="40"/>
        </w:rPr>
        <w:t> </w:t>
      </w:r>
      <w:r>
        <w:rPr>
          <w:color w:val="231F20"/>
        </w:rPr>
        <w:t>presented</w:t>
      </w:r>
      <w:r>
        <w:rPr>
          <w:color w:val="231F20"/>
          <w:spacing w:val="40"/>
        </w:rPr>
        <w:t> </w:t>
      </w:r>
      <w:r>
        <w:rPr>
          <w:color w:val="231F20"/>
        </w:rPr>
        <w:t>with</w:t>
      </w:r>
      <w:r>
        <w:rPr>
          <w:color w:val="231F20"/>
          <w:spacing w:val="37"/>
        </w:rPr>
        <w:t> </w:t>
      </w:r>
      <w:r>
        <w:rPr>
          <w:color w:val="231F20"/>
        </w:rPr>
        <w:t>a</w:t>
      </w:r>
      <w:r>
        <w:rPr>
          <w:color w:val="231F20"/>
          <w:spacing w:val="39"/>
        </w:rPr>
        <w:t> </w:t>
      </w:r>
      <w:r>
        <w:rPr>
          <w:color w:val="231F20"/>
        </w:rPr>
        <w:t>2-</w:t>
      </w:r>
      <w:r>
        <w:rPr>
          <w:color w:val="231F20"/>
          <w:spacing w:val="-4"/>
        </w:rPr>
        <w:t>year</w:t>
      </w:r>
    </w:p>
    <w:p>
      <w:pPr>
        <w:pStyle w:val="BodyText"/>
        <w:spacing w:line="232" w:lineRule="auto" w:before="3"/>
        <w:ind w:left="256" w:right="38"/>
        <w:jc w:val="both"/>
      </w:pPr>
      <w:r>
        <w:rPr>
          <w:color w:val="231F20"/>
        </w:rPr>
        <w:t>history of varied involuntary facial movements </w:t>
      </w:r>
      <w:r>
        <w:rPr>
          <w:color w:val="231F20"/>
        </w:rPr>
        <w:t>including asymmetric facial grimacing, symmetric lip pursing, tongue biting and teeth clicking, paranasal contractions, touching his mouth with his hand, and vocalizations including throat clear- ing, coughing, and a ‘‘TZ’’ sound. These were partially sup- pressible but there was no clear urge to move. These move- ments worsened while on escitalopram, despite improvement</w:t>
      </w:r>
      <w:r>
        <w:rPr>
          <w:color w:val="231F20"/>
          <w:spacing w:val="40"/>
        </w:rPr>
        <w:t> </w:t>
      </w:r>
      <w:r>
        <w:rPr>
          <w:color w:val="231F20"/>
        </w:rPr>
        <w:t>of mood. No other exacerbating or alleviating factors were noted. His other subjective complaints were of mild worsening of balance, mild decreased dexterity manifest only while typ- ing, and general</w:t>
      </w:r>
      <w:r>
        <w:rPr>
          <w:color w:val="231F20"/>
          <w:spacing w:val="40"/>
        </w:rPr>
        <w:t> </w:t>
      </w:r>
      <w:r>
        <w:rPr>
          <w:color w:val="231F20"/>
        </w:rPr>
        <w:t>fatigue. Past medical</w:t>
      </w:r>
      <w:r>
        <w:rPr>
          <w:color w:val="231F20"/>
          <w:spacing w:val="40"/>
        </w:rPr>
        <w:t> </w:t>
      </w:r>
      <w:r>
        <w:rPr>
          <w:color w:val="231F20"/>
        </w:rPr>
        <w:t>and social histories</w:t>
      </w:r>
      <w:r>
        <w:rPr>
          <w:color w:val="231F20"/>
          <w:spacing w:val="40"/>
        </w:rPr>
        <w:t> </w:t>
      </w:r>
      <w:r>
        <w:rPr>
          <w:color w:val="231F20"/>
        </w:rPr>
        <w:t>were unrevealing. The patient’s father is affected and is pre- sented below. His paternal grandfather was diagnosed with Huntington’s</w:t>
      </w:r>
      <w:r>
        <w:rPr>
          <w:color w:val="231F20"/>
          <w:spacing w:val="-2"/>
        </w:rPr>
        <w:t> </w:t>
      </w:r>
      <w:r>
        <w:rPr>
          <w:color w:val="231F20"/>
        </w:rPr>
        <w:t>disease</w:t>
      </w:r>
      <w:r>
        <w:rPr>
          <w:color w:val="231F20"/>
          <w:spacing w:val="-2"/>
        </w:rPr>
        <w:t> </w:t>
      </w:r>
      <w:r>
        <w:rPr>
          <w:color w:val="231F20"/>
        </w:rPr>
        <w:t>and</w:t>
      </w:r>
      <w:r>
        <w:rPr>
          <w:color w:val="231F20"/>
          <w:spacing w:val="-2"/>
        </w:rPr>
        <w:t> </w:t>
      </w:r>
      <w:r>
        <w:rPr>
          <w:color w:val="231F20"/>
        </w:rPr>
        <w:t>‘‘bulbar</w:t>
      </w:r>
      <w:r>
        <w:rPr>
          <w:color w:val="231F20"/>
          <w:spacing w:val="-3"/>
        </w:rPr>
        <w:t> </w:t>
      </w:r>
      <w:r>
        <w:rPr>
          <w:color w:val="231F20"/>
        </w:rPr>
        <w:t>palsy’’</w:t>
      </w:r>
      <w:r>
        <w:rPr>
          <w:color w:val="231F20"/>
          <w:spacing w:val="-3"/>
        </w:rPr>
        <w:t> </w:t>
      </w:r>
      <w:r>
        <w:rPr>
          <w:color w:val="231F20"/>
        </w:rPr>
        <w:t>and</w:t>
      </w:r>
      <w:r>
        <w:rPr>
          <w:color w:val="231F20"/>
          <w:spacing w:val="-3"/>
        </w:rPr>
        <w:t> </w:t>
      </w:r>
      <w:r>
        <w:rPr>
          <w:color w:val="231F20"/>
        </w:rPr>
        <w:t>had</w:t>
      </w:r>
      <w:r>
        <w:rPr>
          <w:color w:val="231F20"/>
          <w:spacing w:val="-2"/>
        </w:rPr>
        <w:t> </w:t>
      </w:r>
      <w:r>
        <w:rPr>
          <w:color w:val="231F20"/>
        </w:rPr>
        <w:t>chorea.</w:t>
      </w:r>
      <w:r>
        <w:rPr>
          <w:color w:val="231F20"/>
          <w:spacing w:val="-3"/>
        </w:rPr>
        <w:t> </w:t>
      </w:r>
      <w:r>
        <w:rPr>
          <w:color w:val="231F20"/>
        </w:rPr>
        <w:t>Two of the grandfather’s brothers were diagnosed with Parkinson’s disease but we have no actual clinical descriptions.</w:t>
      </w:r>
    </w:p>
    <w:p>
      <w:pPr>
        <w:pStyle w:val="BodyText"/>
        <w:spacing w:line="228" w:lineRule="auto" w:before="9"/>
        <w:ind w:left="256" w:right="38" w:firstLine="199"/>
        <w:jc w:val="both"/>
      </w:pPr>
      <w:r>
        <w:rPr>
          <w:color w:val="231F20"/>
        </w:rPr>
        <w:t>Formal neurological examination was largely </w:t>
      </w:r>
      <w:r>
        <w:rPr>
          <w:color w:val="231F20"/>
        </w:rPr>
        <w:t>normal. MMSE</w:t>
      </w:r>
      <w:r>
        <w:rPr>
          <w:color w:val="231F20"/>
          <w:spacing w:val="24"/>
        </w:rPr>
        <w:t> </w:t>
      </w:r>
      <w:r>
        <w:rPr>
          <w:color w:val="231F20"/>
        </w:rPr>
        <w:t>was</w:t>
      </w:r>
      <w:r>
        <w:rPr>
          <w:color w:val="231F20"/>
          <w:spacing w:val="24"/>
        </w:rPr>
        <w:t> </w:t>
      </w:r>
      <w:r>
        <w:rPr>
          <w:color w:val="231F20"/>
        </w:rPr>
        <w:t>29/30.</w:t>
      </w:r>
      <w:r>
        <w:rPr>
          <w:color w:val="231F20"/>
          <w:spacing w:val="24"/>
        </w:rPr>
        <w:t> </w:t>
      </w:r>
      <w:r>
        <w:rPr>
          <w:color w:val="231F20"/>
        </w:rPr>
        <w:t>Cranial</w:t>
      </w:r>
      <w:r>
        <w:rPr>
          <w:color w:val="231F20"/>
          <w:spacing w:val="25"/>
        </w:rPr>
        <w:t> </w:t>
      </w:r>
      <w:r>
        <w:rPr>
          <w:color w:val="231F20"/>
        </w:rPr>
        <w:t>nerves</w:t>
      </w:r>
      <w:r>
        <w:rPr>
          <w:color w:val="231F20"/>
          <w:spacing w:val="25"/>
        </w:rPr>
        <w:t> </w:t>
      </w:r>
      <w:r>
        <w:rPr>
          <w:color w:val="231F20"/>
        </w:rPr>
        <w:t>were</w:t>
      </w:r>
      <w:r>
        <w:rPr>
          <w:color w:val="231F20"/>
          <w:spacing w:val="24"/>
        </w:rPr>
        <w:t> </w:t>
      </w:r>
      <w:r>
        <w:rPr>
          <w:color w:val="231F20"/>
        </w:rPr>
        <w:t>intact.</w:t>
      </w:r>
      <w:r>
        <w:rPr>
          <w:color w:val="231F20"/>
          <w:spacing w:val="25"/>
        </w:rPr>
        <w:t> </w:t>
      </w:r>
      <w:r>
        <w:rPr>
          <w:color w:val="231F20"/>
        </w:rPr>
        <w:t>Motor</w:t>
      </w:r>
      <w:r>
        <w:rPr>
          <w:color w:val="231F20"/>
          <w:spacing w:val="24"/>
        </w:rPr>
        <w:t> </w:t>
      </w:r>
      <w:r>
        <w:rPr>
          <w:color w:val="231F20"/>
          <w:spacing w:val="-2"/>
        </w:rPr>
        <w:t>testing</w:t>
      </w:r>
    </w:p>
    <w:p>
      <w:pPr>
        <w:pStyle w:val="BodyText"/>
        <w:spacing w:line="228" w:lineRule="auto" w:before="113"/>
        <w:ind w:left="256" w:right="216"/>
        <w:jc w:val="both"/>
      </w:pPr>
      <w:r>
        <w:rPr/>
        <w:br w:type="column"/>
      </w:r>
      <w:r>
        <w:rPr>
          <w:color w:val="231F20"/>
        </w:rPr>
        <w:t>showed normal strength, bulk and tone, and a trace action tremor. Sensory, cerebellar, and gait examinations were </w:t>
      </w:r>
      <w:r>
        <w:rPr>
          <w:color w:val="231F20"/>
        </w:rPr>
        <w:t>nor- mal. Reﬂexes were modestly depressed throughout. The</w:t>
      </w:r>
      <w:r>
        <w:rPr>
          <w:color w:val="231F20"/>
          <w:spacing w:val="40"/>
        </w:rPr>
        <w:t> </w:t>
      </w:r>
      <w:r>
        <w:rPr>
          <w:color w:val="231F20"/>
        </w:rPr>
        <w:t>patient had frequent mouth touching, right facial grimacing, and ﬁnger rubbing, which was partially suppressible (Sup- porting Information Video Segment 1). Patients provided informed consent for the videos.</w:t>
      </w:r>
    </w:p>
    <w:p>
      <w:pPr>
        <w:pStyle w:val="BodyText"/>
        <w:spacing w:line="228" w:lineRule="auto" w:before="6"/>
        <w:ind w:left="256" w:right="216" w:firstLine="199"/>
        <w:jc w:val="both"/>
      </w:pPr>
      <w:r>
        <w:rPr>
          <w:color w:val="231F20"/>
        </w:rPr>
        <w:t>Ferritin was 22 lg/mL and iron binding percentage was</w:t>
      </w:r>
      <w:r>
        <w:rPr>
          <w:color w:val="231F20"/>
          <w:spacing w:val="40"/>
        </w:rPr>
        <w:t> </w:t>
      </w:r>
      <w:r>
        <w:rPr>
          <w:color w:val="231F20"/>
        </w:rPr>
        <w:t>28%, a lower than typical ferritin: iron binding ratio. </w:t>
      </w:r>
      <w:r>
        <w:rPr>
          <w:color w:val="231F20"/>
        </w:rPr>
        <w:t>Thyroid test and electrolytes were normal. Acanthocyte smear, Hun- tington’s testing, ceruloplasmin, and chorein (</w:t>
      </w:r>
      <w:r>
        <w:rPr>
          <w:i/>
          <w:color w:val="231F20"/>
        </w:rPr>
        <w:t>VPS13A</w:t>
      </w:r>
      <w:r>
        <w:rPr>
          <w:color w:val="231F20"/>
        </w:rPr>
        <w:t>) test-</w:t>
      </w:r>
      <w:r>
        <w:rPr>
          <w:color w:val="231F20"/>
          <w:spacing w:val="40"/>
        </w:rPr>
        <w:t> </w:t>
      </w:r>
      <w:r>
        <w:rPr>
          <w:color w:val="231F20"/>
        </w:rPr>
        <w:t>ing were normal. EMG/NCV was normal. Brain MRI showed T2 and FLAIR lesions in the globus pallidus and to a lesser extent in the cerebelli (Fig. 1).</w:t>
      </w:r>
    </w:p>
    <w:p>
      <w:pPr>
        <w:pStyle w:val="BodyText"/>
        <w:spacing w:line="237" w:lineRule="auto"/>
        <w:ind w:left="256" w:right="216" w:firstLine="199"/>
        <w:jc w:val="both"/>
      </w:pPr>
      <w:r>
        <w:rPr>
          <w:color w:val="231F20"/>
        </w:rPr>
        <w:t>The patient was placed on TBZ, which was </w:t>
      </w:r>
      <w:r>
        <w:rPr>
          <w:color w:val="231F20"/>
        </w:rPr>
        <w:t>eventually maintained on 37.5 mg/day (25 mg in </w:t>
      </w:r>
      <w:r>
        <w:rPr>
          <w:color w:val="231F20"/>
          <w:sz w:val="12"/>
        </w:rPr>
        <w:t>A</w:t>
      </w:r>
      <w:r>
        <w:rPr>
          <w:color w:val="231F20"/>
        </w:rPr>
        <w:t>.</w:t>
      </w:r>
      <w:r>
        <w:rPr>
          <w:color w:val="231F20"/>
          <w:sz w:val="12"/>
        </w:rPr>
        <w:t>M</w:t>
      </w:r>
      <w:r>
        <w:rPr>
          <w:color w:val="231F20"/>
        </w:rPr>
        <w:t>. and 12.5 mg in</w:t>
      </w:r>
      <w:r>
        <w:rPr>
          <w:color w:val="231F20"/>
          <w:spacing w:val="80"/>
        </w:rPr>
        <w:t> </w:t>
      </w:r>
      <w:r>
        <w:rPr>
          <w:color w:val="231F20"/>
          <w:sz w:val="12"/>
        </w:rPr>
        <w:t>P</w:t>
      </w:r>
      <w:r>
        <w:rPr>
          <w:color w:val="231F20"/>
        </w:rPr>
        <w:t>.</w:t>
      </w:r>
      <w:r>
        <w:rPr>
          <w:color w:val="231F20"/>
          <w:sz w:val="12"/>
        </w:rPr>
        <w:t>M</w:t>
      </w:r>
      <w:r>
        <w:rPr>
          <w:color w:val="231F20"/>
        </w:rPr>
        <w:t>.) resulting in complete cessation of the movements. After</w:t>
      </w:r>
      <w:r>
        <w:rPr>
          <w:color w:val="231F20"/>
          <w:spacing w:val="80"/>
        </w:rPr>
        <w:t> </w:t>
      </w:r>
      <w:r>
        <w:rPr>
          <w:color w:val="231F20"/>
        </w:rPr>
        <w:t>6 months, he reported some subjective worsening in balance without falls. TBZ withdrawal did not alter the balance com- plaint but did result in recrudescence of the same movements within 24 hours. The TBZ was reinstituted at the same dose without any other adverse events.</w:t>
      </w:r>
    </w:p>
    <w:p>
      <w:pPr>
        <w:pStyle w:val="BodyText"/>
        <w:spacing w:line="242" w:lineRule="auto"/>
        <w:ind w:left="256" w:right="216" w:firstLine="199"/>
        <w:jc w:val="both"/>
      </w:pPr>
      <w:r>
        <w:rPr>
          <w:color w:val="231F20"/>
        </w:rPr>
        <w:t>The father of Case 1 ﬁrst appreciated involuntary </w:t>
      </w:r>
      <w:r>
        <w:rPr>
          <w:color w:val="231F20"/>
        </w:rPr>
        <w:t>move- ments of the hand around age 50. Upon presentation to us at age 69, he had oral and appendicular movements, a 4-year history of progressive dysarthria and dysphagia, marked sia- lorrhea, a 2-year history of gait and balance difﬁculty with several falls, and recent mild cognitive slowing. Examination showed a MMSE of 29/30. Cranial nerves showed guttural, more than lingual or labial dysarthria, and hypomimia, but</w:t>
      </w:r>
      <w:r>
        <w:rPr>
          <w:color w:val="231F20"/>
          <w:spacing w:val="40"/>
        </w:rPr>
        <w:t> </w:t>
      </w:r>
      <w:r>
        <w:rPr>
          <w:color w:val="231F20"/>
        </w:rPr>
        <w:t>were</w:t>
      </w:r>
      <w:r>
        <w:rPr>
          <w:color w:val="231F20"/>
          <w:spacing w:val="28"/>
        </w:rPr>
        <w:t> </w:t>
      </w:r>
      <w:r>
        <w:rPr>
          <w:color w:val="231F20"/>
        </w:rPr>
        <w:t>otherwise</w:t>
      </w:r>
      <w:r>
        <w:rPr>
          <w:color w:val="231F20"/>
          <w:spacing w:val="29"/>
        </w:rPr>
        <w:t> </w:t>
      </w:r>
      <w:r>
        <w:rPr>
          <w:color w:val="231F20"/>
        </w:rPr>
        <w:t>normal.</w:t>
      </w:r>
      <w:r>
        <w:rPr>
          <w:color w:val="231F20"/>
          <w:spacing w:val="29"/>
        </w:rPr>
        <w:t> </w:t>
      </w:r>
      <w:r>
        <w:rPr>
          <w:color w:val="231F20"/>
        </w:rPr>
        <w:t>Strength</w:t>
      </w:r>
      <w:r>
        <w:rPr>
          <w:color w:val="231F20"/>
          <w:spacing w:val="28"/>
        </w:rPr>
        <w:t> </w:t>
      </w:r>
      <w:r>
        <w:rPr>
          <w:color w:val="231F20"/>
        </w:rPr>
        <w:t>was</w:t>
      </w:r>
      <w:r>
        <w:rPr>
          <w:color w:val="231F20"/>
          <w:spacing w:val="30"/>
        </w:rPr>
        <w:t> </w:t>
      </w:r>
      <w:r>
        <w:rPr>
          <w:color w:val="231F20"/>
        </w:rPr>
        <w:t>normal</w:t>
      </w:r>
      <w:r>
        <w:rPr>
          <w:color w:val="231F20"/>
          <w:spacing w:val="28"/>
        </w:rPr>
        <w:t> </w:t>
      </w:r>
      <w:r>
        <w:rPr>
          <w:color w:val="231F20"/>
        </w:rPr>
        <w:t>but</w:t>
      </w:r>
      <w:r>
        <w:rPr>
          <w:color w:val="231F20"/>
          <w:spacing w:val="28"/>
        </w:rPr>
        <w:t> </w:t>
      </w:r>
      <w:r>
        <w:rPr>
          <w:color w:val="231F20"/>
        </w:rPr>
        <w:t>there</w:t>
      </w:r>
      <w:r>
        <w:rPr>
          <w:color w:val="231F20"/>
          <w:spacing w:val="29"/>
        </w:rPr>
        <w:t> </w:t>
      </w:r>
      <w:r>
        <w:rPr>
          <w:color w:val="231F20"/>
          <w:spacing w:val="-4"/>
        </w:rPr>
        <w:t>were</w:t>
      </w:r>
    </w:p>
    <w:p>
      <w:pPr>
        <w:pStyle w:val="BodyText"/>
        <w:spacing w:after="0" w:line="242" w:lineRule="auto"/>
        <w:jc w:val="both"/>
        <w:sectPr>
          <w:type w:val="continuous"/>
          <w:pgSz w:w="12240" w:h="16200"/>
          <w:pgMar w:top="1060" w:bottom="280" w:left="1080" w:right="1080"/>
          <w:cols w:num="2" w:equalWidth="0">
            <w:col w:w="4861" w:space="181"/>
            <w:col w:w="5038"/>
          </w:cols>
        </w:sectPr>
      </w:pPr>
    </w:p>
    <w:p>
      <w:pPr>
        <w:pStyle w:val="BodyText"/>
        <w:rPr>
          <w:sz w:val="14"/>
        </w:rPr>
      </w:pPr>
      <w:r>
        <w:rPr>
          <w:sz w:val="14"/>
        </w:rPr>
        <mc:AlternateContent>
          <mc:Choice Requires="wps">
            <w:drawing>
              <wp:anchor distT="0" distB="0" distL="0" distR="0" allowOverlap="1" layoutInCell="1" locked="0" behindDoc="0" simplePos="0" relativeHeight="15738880">
                <wp:simplePos x="0" y="0"/>
                <wp:positionH relativeFrom="page">
                  <wp:posOffset>7555927</wp:posOffset>
                </wp:positionH>
                <wp:positionV relativeFrom="page">
                  <wp:posOffset>208819</wp:posOffset>
                </wp:positionV>
                <wp:extent cx="95885" cy="987552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95885" cy="9875520"/>
                        </a:xfrm>
                        <a:prstGeom prst="rect">
                          <a:avLst/>
                        </a:prstGeom>
                      </wps:spPr>
                      <wps:txbx>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wps:txbx>
                      <wps:bodyPr wrap="square" lIns="0" tIns="0" rIns="0" bIns="0" rtlCol="0" vert="vert">
                        <a:noAutofit/>
                      </wps:bodyPr>
                    </wps:wsp>
                  </a:graphicData>
                </a:graphic>
              </wp:anchor>
            </w:drawing>
          </mc:Choice>
          <mc:Fallback>
            <w:pict>
              <v:shape style="position:absolute;margin-left:594.954956pt;margin-top:16.442499pt;width:7.55pt;height:777.6pt;mso-position-horizontal-relative:page;mso-position-vertical-relative:page;z-index:15738880" type="#_x0000_t202" id="docshape18" filled="false" stroked="false">
                <v:textbox inset="0,0,0,0" style="layout-flow:vertical">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v:textbox>
                <w10:wrap type="none"/>
              </v:shape>
            </w:pict>
          </mc:Fallback>
        </mc:AlternateContent>
      </w:r>
    </w:p>
    <w:p>
      <w:pPr>
        <w:pStyle w:val="BodyText"/>
        <w:rPr>
          <w:sz w:val="14"/>
        </w:rPr>
      </w:pPr>
    </w:p>
    <w:p>
      <w:pPr>
        <w:pStyle w:val="BodyText"/>
        <w:rPr>
          <w:sz w:val="14"/>
        </w:rPr>
      </w:pPr>
    </w:p>
    <w:p>
      <w:pPr>
        <w:pStyle w:val="BodyText"/>
        <w:spacing w:before="30"/>
        <w:rPr>
          <w:sz w:val="14"/>
        </w:rPr>
      </w:pPr>
    </w:p>
    <w:p>
      <w:pPr>
        <w:spacing w:before="0"/>
        <w:ind w:left="0" w:right="217" w:firstLine="0"/>
        <w:jc w:val="right"/>
        <w:rPr>
          <w:i/>
          <w:sz w:val="14"/>
        </w:rPr>
      </w:pPr>
      <w:r>
        <w:rPr>
          <w:i/>
          <w:color w:val="231F20"/>
          <w:sz w:val="14"/>
        </w:rPr>
        <w:t>Movement</w:t>
      </w:r>
      <w:r>
        <w:rPr>
          <w:i/>
          <w:color w:val="231F20"/>
          <w:spacing w:val="9"/>
          <w:sz w:val="14"/>
        </w:rPr>
        <w:t> </w:t>
      </w:r>
      <w:r>
        <w:rPr>
          <w:i/>
          <w:color w:val="231F20"/>
          <w:sz w:val="14"/>
        </w:rPr>
        <w:t>Disorders,</w:t>
      </w:r>
      <w:r>
        <w:rPr>
          <w:i/>
          <w:color w:val="231F20"/>
          <w:spacing w:val="9"/>
          <w:sz w:val="14"/>
        </w:rPr>
        <w:t> </w:t>
      </w:r>
      <w:r>
        <w:rPr>
          <w:i/>
          <w:color w:val="231F20"/>
          <w:sz w:val="14"/>
        </w:rPr>
        <w:t>Vol.</w:t>
      </w:r>
      <w:r>
        <w:rPr>
          <w:i/>
          <w:color w:val="231F20"/>
          <w:spacing w:val="8"/>
          <w:sz w:val="14"/>
        </w:rPr>
        <w:t> </w:t>
      </w:r>
      <w:r>
        <w:rPr>
          <w:i/>
          <w:color w:val="231F20"/>
          <w:sz w:val="14"/>
        </w:rPr>
        <w:t>25,</w:t>
      </w:r>
      <w:r>
        <w:rPr>
          <w:i/>
          <w:color w:val="231F20"/>
          <w:spacing w:val="9"/>
          <w:sz w:val="14"/>
        </w:rPr>
        <w:t> </w:t>
      </w:r>
      <w:r>
        <w:rPr>
          <w:i/>
          <w:color w:val="231F20"/>
          <w:sz w:val="14"/>
        </w:rPr>
        <w:t>No.</w:t>
      </w:r>
      <w:r>
        <w:rPr>
          <w:i/>
          <w:color w:val="231F20"/>
          <w:spacing w:val="9"/>
          <w:sz w:val="14"/>
        </w:rPr>
        <w:t> </w:t>
      </w:r>
      <w:r>
        <w:rPr>
          <w:i/>
          <w:color w:val="231F20"/>
          <w:sz w:val="14"/>
        </w:rPr>
        <w:t>14,</w:t>
      </w:r>
      <w:r>
        <w:rPr>
          <w:i/>
          <w:color w:val="231F20"/>
          <w:spacing w:val="8"/>
          <w:sz w:val="14"/>
        </w:rPr>
        <w:t> </w:t>
      </w:r>
      <w:r>
        <w:rPr>
          <w:i/>
          <w:color w:val="231F20"/>
          <w:spacing w:val="-4"/>
          <w:sz w:val="14"/>
        </w:rPr>
        <w:t>2010</w:t>
      </w:r>
    </w:p>
    <w:p>
      <w:pPr>
        <w:spacing w:after="0"/>
        <w:jc w:val="right"/>
        <w:rPr>
          <w:i/>
          <w:sz w:val="14"/>
        </w:rPr>
        <w:sectPr>
          <w:type w:val="continuous"/>
          <w:pgSz w:w="12240" w:h="16200"/>
          <w:pgMar w:top="1060" w:bottom="280" w:left="1080" w:right="1080"/>
        </w:sectPr>
      </w:pPr>
    </w:p>
    <w:p>
      <w:pPr>
        <w:pStyle w:val="Heading3"/>
        <w:tabs>
          <w:tab w:pos="3890" w:val="left" w:leader="none"/>
        </w:tabs>
        <w:ind w:left="256"/>
      </w:pPr>
      <w:r>
        <w:rPr>
          <w:color w:val="231F20"/>
          <w:spacing w:val="-4"/>
        </w:rPr>
        <w:t>2472</w:t>
      </w:r>
      <w:r>
        <w:rPr>
          <w:color w:val="231F20"/>
        </w:rPr>
        <w:tab/>
        <w:t>LETTERS</w:t>
      </w:r>
      <w:r>
        <w:rPr>
          <w:color w:val="231F20"/>
          <w:spacing w:val="12"/>
        </w:rPr>
        <w:t> </w:t>
      </w:r>
      <w:r>
        <w:rPr>
          <w:color w:val="231F20"/>
        </w:rPr>
        <w:t>TO</w:t>
      </w:r>
      <w:r>
        <w:rPr>
          <w:color w:val="231F20"/>
          <w:spacing w:val="10"/>
        </w:rPr>
        <w:t> </w:t>
      </w:r>
      <w:r>
        <w:rPr>
          <w:color w:val="231F20"/>
        </w:rPr>
        <w:t>THE</w:t>
      </w:r>
      <w:r>
        <w:rPr>
          <w:color w:val="231F20"/>
          <w:spacing w:val="11"/>
        </w:rPr>
        <w:t> </w:t>
      </w:r>
      <w:r>
        <w:rPr>
          <w:color w:val="231F20"/>
          <w:spacing w:val="-2"/>
        </w:rPr>
        <w:t>EDITOR</w:t>
      </w:r>
    </w:p>
    <w:p>
      <w:pPr>
        <w:pStyle w:val="BodyText"/>
        <w:spacing w:before="82"/>
        <w:rPr>
          <w:i/>
          <w:sz w:val="20"/>
        </w:rPr>
      </w:pPr>
    </w:p>
    <w:p>
      <w:pPr>
        <w:pStyle w:val="BodyText"/>
        <w:spacing w:after="0"/>
        <w:rPr>
          <w:i/>
          <w:sz w:val="20"/>
        </w:rPr>
        <w:sectPr>
          <w:pgSz w:w="12240" w:h="16200"/>
          <w:pgMar w:top="1040" w:bottom="280" w:left="1080" w:right="1080"/>
        </w:sectPr>
      </w:pPr>
    </w:p>
    <w:p>
      <w:pPr>
        <w:pStyle w:val="BodyText"/>
        <w:spacing w:line="235" w:lineRule="auto" w:before="75"/>
        <w:ind w:left="256" w:right="40"/>
        <w:jc w:val="both"/>
      </w:pPr>
      <w:r>
        <w:rPr>
          <w:color w:val="231F20"/>
        </w:rPr>
        <w:t>some fasciculations and distal atrophy. Sensory </w:t>
      </w:r>
      <w:r>
        <w:rPr>
          <w:color w:val="231F20"/>
        </w:rPr>
        <w:t>examination showed decreased distal vibration and proprioception. Gait</w:t>
      </w:r>
      <w:r>
        <w:rPr>
          <w:color w:val="231F20"/>
          <w:spacing w:val="40"/>
        </w:rPr>
        <w:t> </w:t>
      </w:r>
      <w:r>
        <w:rPr>
          <w:color w:val="231F20"/>
        </w:rPr>
        <w:t>was modestly wide based and unsteady but not parkinsonian. Reﬂexes were normal with downgoing toes and positive ‘‘frontal release signs.’’ The involuntary movements were complex</w:t>
      </w:r>
      <w:r>
        <w:rPr>
          <w:color w:val="231F20"/>
          <w:spacing w:val="36"/>
        </w:rPr>
        <w:t> </w:t>
      </w:r>
      <w:r>
        <w:rPr>
          <w:color w:val="231F20"/>
        </w:rPr>
        <w:t>and</w:t>
      </w:r>
      <w:r>
        <w:rPr>
          <w:color w:val="231F20"/>
          <w:spacing w:val="38"/>
        </w:rPr>
        <w:t> </w:t>
      </w:r>
      <w:r>
        <w:rPr>
          <w:color w:val="231F20"/>
        </w:rPr>
        <w:t>best</w:t>
      </w:r>
      <w:r>
        <w:rPr>
          <w:color w:val="231F20"/>
          <w:spacing w:val="38"/>
        </w:rPr>
        <w:t> </w:t>
      </w:r>
      <w:r>
        <w:rPr>
          <w:color w:val="231F20"/>
        </w:rPr>
        <w:t>described</w:t>
      </w:r>
      <w:r>
        <w:rPr>
          <w:color w:val="231F20"/>
          <w:spacing w:val="39"/>
        </w:rPr>
        <w:t> </w:t>
      </w:r>
      <w:r>
        <w:rPr>
          <w:color w:val="231F20"/>
        </w:rPr>
        <w:t>as</w:t>
      </w:r>
      <w:r>
        <w:rPr>
          <w:color w:val="231F20"/>
          <w:spacing w:val="38"/>
        </w:rPr>
        <w:t> </w:t>
      </w:r>
      <w:r>
        <w:rPr>
          <w:color w:val="231F20"/>
        </w:rPr>
        <w:t>a</w:t>
      </w:r>
      <w:r>
        <w:rPr>
          <w:color w:val="231F20"/>
          <w:spacing w:val="38"/>
        </w:rPr>
        <w:t> </w:t>
      </w:r>
      <w:r>
        <w:rPr>
          <w:color w:val="231F20"/>
        </w:rPr>
        <w:t>mix</w:t>
      </w:r>
      <w:r>
        <w:rPr>
          <w:color w:val="231F20"/>
          <w:spacing w:val="38"/>
        </w:rPr>
        <w:t> </w:t>
      </w:r>
      <w:r>
        <w:rPr>
          <w:color w:val="231F20"/>
        </w:rPr>
        <w:t>of</w:t>
      </w:r>
      <w:r>
        <w:rPr>
          <w:color w:val="231F20"/>
          <w:spacing w:val="38"/>
        </w:rPr>
        <w:t> </w:t>
      </w:r>
      <w:r>
        <w:rPr>
          <w:color w:val="231F20"/>
        </w:rPr>
        <w:t>stereotype</w:t>
      </w:r>
      <w:r>
        <w:rPr>
          <w:color w:val="231F20"/>
          <w:spacing w:val="38"/>
        </w:rPr>
        <w:t> </w:t>
      </w:r>
      <w:r>
        <w:rPr>
          <w:color w:val="231F20"/>
        </w:rPr>
        <w:t>(mouth and hands) and chorea, with oral movements most prominent (Supporting Information Video Segment 2, age 74).</w:t>
      </w:r>
    </w:p>
    <w:p>
      <w:pPr>
        <w:pStyle w:val="BodyText"/>
        <w:spacing w:line="225" w:lineRule="auto" w:before="6"/>
        <w:ind w:left="256" w:right="40" w:firstLine="199"/>
        <w:jc w:val="both"/>
      </w:pPr>
      <w:r>
        <w:rPr>
          <w:color w:val="231F20"/>
        </w:rPr>
        <w:t>Over the next 6 years, the dysphagia/dysarthria, gait, </w:t>
      </w:r>
      <w:r>
        <w:rPr>
          <w:color w:val="231F20"/>
        </w:rPr>
        <w:t>and cognition gradually progressed. At age 75, he was anarthric, unable to volitionally move the tongue despite lack of periph- eral involvement per EMG, and wheelchair bound. Unreveal- ing evaluations were similar to Case 1 but also showed nor- mal CSF studies, including a normal 14-3-3 protein, and a normal ataxia panel including dentatorubral-pallidoluysian at- rophy. MRI showed T2 lesions throughout the striatum and globus pallidus (Fig. 1). TBZ did help the chorea and stereo- type but was poorly tolerated at higher doses due to sedation and parkinsonism. TBZ withdrawal on several occasions resulted in increased movements. He remains on 25 mg/day with continued beneﬁt.</w:t>
      </w:r>
    </w:p>
    <w:p>
      <w:pPr>
        <w:pStyle w:val="BodyText"/>
        <w:spacing w:line="223" w:lineRule="auto" w:before="14"/>
        <w:ind w:left="256" w:right="40" w:firstLine="199"/>
        <w:jc w:val="both"/>
      </w:pPr>
      <w:r>
        <w:rPr>
          <w:color w:val="231F20"/>
        </w:rPr>
        <w:t>We report the ﬁrst cases of neuroferritinopathy in </w:t>
      </w:r>
      <w:r>
        <w:rPr>
          <w:color w:val="231F20"/>
        </w:rPr>
        <w:t>the</w:t>
      </w:r>
      <w:r>
        <w:rPr>
          <w:color w:val="231F20"/>
          <w:spacing w:val="80"/>
        </w:rPr>
        <w:t> </w:t>
      </w:r>
      <w:r>
        <w:rPr>
          <w:color w:val="231F20"/>
        </w:rPr>
        <w:t>United States. The mutation was identical to the original one, which until now was isolated only in cases originating in the United</w:t>
      </w:r>
      <w:r>
        <w:rPr>
          <w:color w:val="231F20"/>
          <w:spacing w:val="40"/>
        </w:rPr>
        <w:t> </w:t>
      </w:r>
      <w:r>
        <w:rPr>
          <w:color w:val="231F20"/>
        </w:rPr>
        <w:t>Kingdom.</w:t>
      </w:r>
      <w:r>
        <w:rPr>
          <w:color w:val="231F20"/>
          <w:spacing w:val="40"/>
        </w:rPr>
        <w:t> </w:t>
      </w:r>
      <w:r>
        <w:rPr>
          <w:color w:val="231F20"/>
        </w:rPr>
        <w:t>The</w:t>
      </w:r>
      <w:r>
        <w:rPr>
          <w:color w:val="231F20"/>
          <w:spacing w:val="40"/>
        </w:rPr>
        <w:t> </w:t>
      </w:r>
      <w:r>
        <w:rPr>
          <w:color w:val="231F20"/>
        </w:rPr>
        <w:t>family</w:t>
      </w:r>
      <w:r>
        <w:rPr>
          <w:color w:val="231F20"/>
          <w:spacing w:val="40"/>
        </w:rPr>
        <w:t> </w:t>
      </w:r>
      <w:r>
        <w:rPr>
          <w:color w:val="231F20"/>
        </w:rPr>
        <w:t>denies</w:t>
      </w:r>
      <w:r>
        <w:rPr>
          <w:color w:val="231F20"/>
          <w:spacing w:val="40"/>
        </w:rPr>
        <w:t> </w:t>
      </w:r>
      <w:r>
        <w:rPr>
          <w:color w:val="231F20"/>
        </w:rPr>
        <w:t>any</w:t>
      </w:r>
      <w:r>
        <w:rPr>
          <w:color w:val="231F20"/>
          <w:spacing w:val="40"/>
        </w:rPr>
        <w:t> </w:t>
      </w:r>
      <w:r>
        <w:rPr>
          <w:color w:val="231F20"/>
        </w:rPr>
        <w:t>known</w:t>
      </w:r>
      <w:r>
        <w:rPr>
          <w:color w:val="231F20"/>
          <w:spacing w:val="40"/>
        </w:rPr>
        <w:t> </w:t>
      </w:r>
      <w:r>
        <w:rPr>
          <w:color w:val="231F20"/>
        </w:rPr>
        <w:t>ancestry from that area. On examination, the father appears to have a ‘‘classic’’ phenotype of chorea, prominently in the lower face, with later onset of gait disorder and dementia. However, we feel</w:t>
      </w:r>
      <w:r>
        <w:rPr>
          <w:color w:val="231F20"/>
          <w:spacing w:val="-5"/>
        </w:rPr>
        <w:t> </w:t>
      </w:r>
      <w:r>
        <w:rPr>
          <w:color w:val="231F20"/>
        </w:rPr>
        <w:t>that</w:t>
      </w:r>
      <w:r>
        <w:rPr>
          <w:color w:val="231F20"/>
          <w:spacing w:val="-5"/>
        </w:rPr>
        <w:t> </w:t>
      </w:r>
      <w:r>
        <w:rPr>
          <w:color w:val="231F20"/>
        </w:rPr>
        <w:t>the</w:t>
      </w:r>
      <w:r>
        <w:rPr>
          <w:color w:val="231F20"/>
          <w:spacing w:val="-5"/>
        </w:rPr>
        <w:t> </w:t>
      </w:r>
      <w:r>
        <w:rPr>
          <w:color w:val="231F20"/>
        </w:rPr>
        <w:t>phenomenology</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son</w:t>
      </w:r>
      <w:r>
        <w:rPr>
          <w:color w:val="231F20"/>
          <w:spacing w:val="-5"/>
        </w:rPr>
        <w:t> </w:t>
      </w:r>
      <w:r>
        <w:rPr>
          <w:color w:val="231F20"/>
        </w:rPr>
        <w:t>is</w:t>
      </w:r>
      <w:r>
        <w:rPr>
          <w:color w:val="231F20"/>
          <w:spacing w:val="-5"/>
        </w:rPr>
        <w:t> </w:t>
      </w:r>
      <w:r>
        <w:rPr>
          <w:color w:val="231F20"/>
        </w:rPr>
        <w:t>best</w:t>
      </w:r>
      <w:r>
        <w:rPr>
          <w:color w:val="231F20"/>
          <w:spacing w:val="-5"/>
        </w:rPr>
        <w:t> </w:t>
      </w:r>
      <w:r>
        <w:rPr>
          <w:color w:val="231F20"/>
        </w:rPr>
        <w:t>described</w:t>
      </w:r>
      <w:r>
        <w:rPr>
          <w:color w:val="231F20"/>
          <w:spacing w:val="-6"/>
        </w:rPr>
        <w:t> </w:t>
      </w:r>
      <w:r>
        <w:rPr>
          <w:color w:val="231F20"/>
        </w:rPr>
        <w:t>as</w:t>
      </w:r>
      <w:r>
        <w:rPr>
          <w:color w:val="231F20"/>
          <w:spacing w:val="-5"/>
        </w:rPr>
        <w:t> </w:t>
      </w:r>
      <w:r>
        <w:rPr>
          <w:color w:val="231F20"/>
        </w:rPr>
        <w:t>tics, or possibly stereotype, potentially expanding the phenotype of neuroferritinopathy.</w:t>
      </w:r>
      <w:r>
        <w:rPr>
          <w:color w:val="231F20"/>
          <w:spacing w:val="-8"/>
        </w:rPr>
        <w:t> </w:t>
      </w:r>
      <w:r>
        <w:rPr>
          <w:color w:val="231F20"/>
        </w:rPr>
        <w:t>He</w:t>
      </w:r>
      <w:r>
        <w:rPr>
          <w:color w:val="231F20"/>
          <w:spacing w:val="-8"/>
        </w:rPr>
        <w:t> </w:t>
      </w:r>
      <w:r>
        <w:rPr>
          <w:color w:val="231F20"/>
        </w:rPr>
        <w:t>had</w:t>
      </w:r>
      <w:r>
        <w:rPr>
          <w:color w:val="231F20"/>
          <w:spacing w:val="-8"/>
        </w:rPr>
        <w:t> </w:t>
      </w:r>
      <w:r>
        <w:rPr>
          <w:color w:val="231F20"/>
        </w:rPr>
        <w:t>a</w:t>
      </w:r>
      <w:r>
        <w:rPr>
          <w:color w:val="231F20"/>
          <w:spacing w:val="-8"/>
        </w:rPr>
        <w:t> </w:t>
      </w:r>
      <w:r>
        <w:rPr>
          <w:color w:val="231F20"/>
        </w:rPr>
        <w:t>complete</w:t>
      </w:r>
      <w:r>
        <w:rPr>
          <w:color w:val="231F20"/>
          <w:spacing w:val="-8"/>
        </w:rPr>
        <w:t> </w:t>
      </w:r>
      <w:r>
        <w:rPr>
          <w:color w:val="231F20"/>
        </w:rPr>
        <w:t>resolution</w:t>
      </w:r>
      <w:r>
        <w:rPr>
          <w:color w:val="231F20"/>
          <w:spacing w:val="-8"/>
        </w:rPr>
        <w:t> </w:t>
      </w:r>
      <w:r>
        <w:rPr>
          <w:color w:val="231F20"/>
        </w:rPr>
        <w:t>of</w:t>
      </w:r>
      <w:r>
        <w:rPr>
          <w:color w:val="231F20"/>
          <w:spacing w:val="-8"/>
        </w:rPr>
        <w:t> </w:t>
      </w:r>
      <w:r>
        <w:rPr>
          <w:color w:val="231F20"/>
        </w:rPr>
        <w:t>symptoms on</w:t>
      </w:r>
      <w:r>
        <w:rPr>
          <w:color w:val="231F20"/>
          <w:spacing w:val="-8"/>
        </w:rPr>
        <w:t> </w:t>
      </w:r>
      <w:r>
        <w:rPr>
          <w:color w:val="231F20"/>
        </w:rPr>
        <w:t>TBZ,</w:t>
      </w:r>
      <w:r>
        <w:rPr>
          <w:color w:val="231F20"/>
          <w:spacing w:val="-8"/>
        </w:rPr>
        <w:t> </w:t>
      </w:r>
      <w:r>
        <w:rPr>
          <w:color w:val="231F20"/>
        </w:rPr>
        <w:t>whereas</w:t>
      </w:r>
      <w:r>
        <w:rPr>
          <w:color w:val="231F20"/>
          <w:spacing w:val="-8"/>
        </w:rPr>
        <w:t> </w:t>
      </w:r>
      <w:r>
        <w:rPr>
          <w:color w:val="231F20"/>
        </w:rPr>
        <w:t>his</w:t>
      </w:r>
      <w:r>
        <w:rPr>
          <w:color w:val="231F20"/>
          <w:spacing w:val="-8"/>
        </w:rPr>
        <w:t> </w:t>
      </w:r>
      <w:r>
        <w:rPr>
          <w:color w:val="231F20"/>
        </w:rPr>
        <w:t>father</w:t>
      </w:r>
      <w:r>
        <w:rPr>
          <w:color w:val="231F20"/>
          <w:spacing w:val="-8"/>
        </w:rPr>
        <w:t> </w:t>
      </w:r>
      <w:r>
        <w:rPr>
          <w:color w:val="231F20"/>
        </w:rPr>
        <w:t>had</w:t>
      </w:r>
      <w:r>
        <w:rPr>
          <w:color w:val="231F20"/>
          <w:spacing w:val="-8"/>
        </w:rPr>
        <w:t> </w:t>
      </w:r>
      <w:r>
        <w:rPr>
          <w:color w:val="231F20"/>
        </w:rPr>
        <w:t>fair</w:t>
      </w:r>
      <w:r>
        <w:rPr>
          <w:color w:val="231F20"/>
          <w:spacing w:val="-8"/>
        </w:rPr>
        <w:t> </w:t>
      </w:r>
      <w:r>
        <w:rPr>
          <w:color w:val="231F20"/>
        </w:rPr>
        <w:t>control</w:t>
      </w:r>
      <w:r>
        <w:rPr>
          <w:color w:val="231F20"/>
          <w:spacing w:val="-7"/>
        </w:rPr>
        <w:t> </w:t>
      </w:r>
      <w:r>
        <w:rPr>
          <w:color w:val="231F20"/>
        </w:rPr>
        <w:t>of</w:t>
      </w:r>
      <w:r>
        <w:rPr>
          <w:color w:val="231F20"/>
          <w:spacing w:val="-8"/>
        </w:rPr>
        <w:t> </w:t>
      </w:r>
      <w:r>
        <w:rPr>
          <w:color w:val="231F20"/>
        </w:rPr>
        <w:t>the</w:t>
      </w:r>
      <w:r>
        <w:rPr>
          <w:color w:val="231F20"/>
          <w:spacing w:val="-8"/>
        </w:rPr>
        <w:t> </w:t>
      </w:r>
      <w:r>
        <w:rPr>
          <w:color w:val="231F20"/>
        </w:rPr>
        <w:t>chorea</w:t>
      </w:r>
      <w:r>
        <w:rPr>
          <w:color w:val="231F20"/>
          <w:spacing w:val="-8"/>
        </w:rPr>
        <w:t> </w:t>
      </w:r>
      <w:r>
        <w:rPr>
          <w:color w:val="231F20"/>
        </w:rPr>
        <w:t>move- ments, but was limited by side effects.</w:t>
      </w:r>
    </w:p>
    <w:p>
      <w:pPr>
        <w:pStyle w:val="BodyText"/>
        <w:spacing w:before="7"/>
      </w:pPr>
    </w:p>
    <w:p>
      <w:pPr>
        <w:pStyle w:val="Heading2"/>
        <w:ind w:left="1618"/>
        <w:jc w:val="left"/>
      </w:pPr>
      <w:r>
        <w:rPr>
          <w:color w:val="231F20"/>
          <w:w w:val="105"/>
        </w:rPr>
        <w:t>Legends</w:t>
      </w:r>
      <w:r>
        <w:rPr>
          <w:color w:val="231F20"/>
          <w:spacing w:val="16"/>
          <w:w w:val="105"/>
        </w:rPr>
        <w:t> </w:t>
      </w:r>
      <w:r>
        <w:rPr>
          <w:color w:val="231F20"/>
          <w:w w:val="105"/>
        </w:rPr>
        <w:t>to</w:t>
      </w:r>
      <w:r>
        <w:rPr>
          <w:color w:val="231F20"/>
          <w:spacing w:val="14"/>
          <w:w w:val="105"/>
        </w:rPr>
        <w:t> </w:t>
      </w:r>
      <w:r>
        <w:rPr>
          <w:color w:val="231F20"/>
          <w:w w:val="105"/>
        </w:rPr>
        <w:t>the</w:t>
      </w:r>
      <w:r>
        <w:rPr>
          <w:color w:val="231F20"/>
          <w:spacing w:val="14"/>
          <w:w w:val="105"/>
        </w:rPr>
        <w:t> </w:t>
      </w:r>
      <w:r>
        <w:rPr>
          <w:color w:val="231F20"/>
          <w:spacing w:val="-4"/>
          <w:w w:val="105"/>
        </w:rPr>
        <w:t>Video</w:t>
      </w:r>
    </w:p>
    <w:p>
      <w:pPr>
        <w:pStyle w:val="BodyText"/>
        <w:spacing w:line="203" w:lineRule="exact" w:before="88"/>
        <w:ind w:left="456"/>
      </w:pPr>
      <w:r>
        <w:rPr>
          <w:color w:val="231F20"/>
        </w:rPr>
        <w:t>Segment</w:t>
      </w:r>
      <w:r>
        <w:rPr>
          <w:color w:val="231F20"/>
          <w:spacing w:val="17"/>
        </w:rPr>
        <w:t> </w:t>
      </w:r>
      <w:r>
        <w:rPr>
          <w:color w:val="231F20"/>
        </w:rPr>
        <w:t>1.</w:t>
      </w:r>
      <w:r>
        <w:rPr>
          <w:color w:val="231F20"/>
          <w:spacing w:val="19"/>
        </w:rPr>
        <w:t> </w:t>
      </w:r>
      <w:r>
        <w:rPr>
          <w:color w:val="231F20"/>
        </w:rPr>
        <w:t>Patient</w:t>
      </w:r>
      <w:r>
        <w:rPr>
          <w:color w:val="231F20"/>
          <w:spacing w:val="17"/>
        </w:rPr>
        <w:t> </w:t>
      </w:r>
      <w:r>
        <w:rPr>
          <w:color w:val="231F20"/>
        </w:rPr>
        <w:t>showing</w:t>
      </w:r>
      <w:r>
        <w:rPr>
          <w:color w:val="231F20"/>
          <w:spacing w:val="18"/>
        </w:rPr>
        <w:t> </w:t>
      </w:r>
      <w:r>
        <w:rPr>
          <w:color w:val="231F20"/>
        </w:rPr>
        <w:t>facial</w:t>
      </w:r>
      <w:r>
        <w:rPr>
          <w:color w:val="231F20"/>
          <w:spacing w:val="18"/>
        </w:rPr>
        <w:t> </w:t>
      </w:r>
      <w:r>
        <w:rPr>
          <w:color w:val="231F20"/>
          <w:spacing w:val="-2"/>
        </w:rPr>
        <w:t>stereotype/tics.</w:t>
      </w:r>
    </w:p>
    <w:p>
      <w:pPr>
        <w:pStyle w:val="BodyText"/>
        <w:spacing w:line="230" w:lineRule="auto" w:before="3"/>
        <w:ind w:left="256" w:firstLine="199"/>
      </w:pPr>
      <w:r>
        <w:rPr>
          <w:color w:val="231F20"/>
        </w:rPr>
        <w:t>Segment 2. Patient showing constant facial stereotype, </w:t>
      </w:r>
      <w:r>
        <w:rPr>
          <w:color w:val="231F20"/>
        </w:rPr>
        <w:t>dif- fuse slow chorea, and mild ataxia.</w:t>
      </w:r>
    </w:p>
    <w:p>
      <w:pPr>
        <w:pStyle w:val="BodyText"/>
        <w:spacing w:line="230" w:lineRule="auto" w:before="170"/>
        <w:ind w:left="256" w:right="40" w:firstLine="179"/>
        <w:jc w:val="both"/>
      </w:pPr>
      <w:r>
        <w:rPr>
          <w:color w:val="231F20"/>
        </w:rPr>
        <w:t>Acknowledgments: We would like to acknowledge the </w:t>
      </w:r>
      <w:r>
        <w:rPr>
          <w:color w:val="231F20"/>
        </w:rPr>
        <w:t>as- sistance of Joseph M. Ferrara, MD, for assistance with the</w:t>
      </w:r>
      <w:r>
        <w:rPr>
          <w:color w:val="231F20"/>
          <w:spacing w:val="40"/>
        </w:rPr>
        <w:t> </w:t>
      </w:r>
      <w:r>
        <w:rPr>
          <w:color w:val="231F20"/>
        </w:rPr>
        <w:t>MRI ﬁgure.</w:t>
      </w:r>
    </w:p>
    <w:p>
      <w:pPr>
        <w:pStyle w:val="BodyText"/>
        <w:spacing w:line="230" w:lineRule="auto" w:before="122"/>
        <w:ind w:left="256" w:right="38" w:firstLine="199"/>
        <w:jc w:val="both"/>
      </w:pPr>
      <w:r>
        <w:rPr>
          <w:color w:val="231F20"/>
        </w:rPr>
        <w:t>Financial Disclosures: Dr. Ondo has received speaker fees from</w:t>
      </w:r>
      <w:r>
        <w:rPr>
          <w:color w:val="231F20"/>
          <w:spacing w:val="-12"/>
        </w:rPr>
        <w:t> </w:t>
      </w:r>
      <w:r>
        <w:rPr>
          <w:color w:val="231F20"/>
        </w:rPr>
        <w:t>Lundbeck,</w:t>
      </w:r>
      <w:r>
        <w:rPr>
          <w:color w:val="231F20"/>
          <w:spacing w:val="-11"/>
        </w:rPr>
        <w:t> </w:t>
      </w:r>
      <w:r>
        <w:rPr>
          <w:color w:val="231F20"/>
        </w:rPr>
        <w:t>Allergan,</w:t>
      </w:r>
      <w:r>
        <w:rPr>
          <w:color w:val="231F20"/>
          <w:spacing w:val="-11"/>
        </w:rPr>
        <w:t> </w:t>
      </w:r>
      <w:r>
        <w:rPr>
          <w:color w:val="231F20"/>
        </w:rPr>
        <w:t>Ipsen,</w:t>
      </w:r>
      <w:r>
        <w:rPr>
          <w:color w:val="231F20"/>
          <w:spacing w:val="-11"/>
        </w:rPr>
        <w:t> </w:t>
      </w:r>
      <w:r>
        <w:rPr>
          <w:color w:val="231F20"/>
        </w:rPr>
        <w:t>TEVA,</w:t>
      </w:r>
      <w:r>
        <w:rPr>
          <w:color w:val="231F20"/>
          <w:spacing w:val="-12"/>
        </w:rPr>
        <w:t> </w:t>
      </w:r>
      <w:r>
        <w:rPr>
          <w:color w:val="231F20"/>
        </w:rPr>
        <w:t>and</w:t>
      </w:r>
      <w:r>
        <w:rPr>
          <w:color w:val="231F20"/>
          <w:spacing w:val="-11"/>
        </w:rPr>
        <w:t> </w:t>
      </w:r>
      <w:r>
        <w:rPr>
          <w:color w:val="231F20"/>
        </w:rPr>
        <w:t>GSK;</w:t>
      </w:r>
      <w:r>
        <w:rPr>
          <w:color w:val="231F20"/>
          <w:spacing w:val="-11"/>
        </w:rPr>
        <w:t> </w:t>
      </w:r>
      <w:r>
        <w:rPr>
          <w:color w:val="231F20"/>
        </w:rPr>
        <w:t>has</w:t>
      </w:r>
      <w:r>
        <w:rPr>
          <w:color w:val="231F20"/>
          <w:spacing w:val="-11"/>
        </w:rPr>
        <w:t> </w:t>
      </w:r>
      <w:r>
        <w:rPr>
          <w:color w:val="231F20"/>
        </w:rPr>
        <w:t>received consulting fees from TEVA, Merz, and Lundbeck; and has received</w:t>
      </w:r>
      <w:r>
        <w:rPr>
          <w:color w:val="231F20"/>
          <w:spacing w:val="-9"/>
        </w:rPr>
        <w:t> </w:t>
      </w:r>
      <w:r>
        <w:rPr>
          <w:color w:val="231F20"/>
        </w:rPr>
        <w:t>grant</w:t>
      </w:r>
      <w:r>
        <w:rPr>
          <w:color w:val="231F20"/>
          <w:spacing w:val="-9"/>
        </w:rPr>
        <w:t> </w:t>
      </w:r>
      <w:r>
        <w:rPr>
          <w:color w:val="231F20"/>
        </w:rPr>
        <w:t>support</w:t>
      </w:r>
      <w:r>
        <w:rPr>
          <w:color w:val="231F20"/>
          <w:spacing w:val="-11"/>
        </w:rPr>
        <w:t> </w:t>
      </w:r>
      <w:r>
        <w:rPr>
          <w:color w:val="231F20"/>
        </w:rPr>
        <w:t>from</w:t>
      </w:r>
      <w:r>
        <w:rPr>
          <w:color w:val="231F20"/>
          <w:spacing w:val="-9"/>
        </w:rPr>
        <w:t> </w:t>
      </w:r>
      <w:r>
        <w:rPr>
          <w:color w:val="231F20"/>
        </w:rPr>
        <w:t>TEVA,</w:t>
      </w:r>
      <w:r>
        <w:rPr>
          <w:color w:val="231F20"/>
          <w:spacing w:val="-9"/>
        </w:rPr>
        <w:t> </w:t>
      </w:r>
      <w:r>
        <w:rPr>
          <w:color w:val="231F20"/>
        </w:rPr>
        <w:t>Ipsen,</w:t>
      </w:r>
      <w:r>
        <w:rPr>
          <w:color w:val="231F20"/>
          <w:spacing w:val="-9"/>
        </w:rPr>
        <w:t> </w:t>
      </w:r>
      <w:r>
        <w:rPr>
          <w:color w:val="231F20"/>
        </w:rPr>
        <w:t>Allergan,</w:t>
      </w:r>
      <w:r>
        <w:rPr>
          <w:color w:val="231F20"/>
          <w:spacing w:val="-9"/>
        </w:rPr>
        <w:t> </w:t>
      </w:r>
      <w:r>
        <w:rPr>
          <w:color w:val="231F20"/>
        </w:rPr>
        <w:t>and</w:t>
      </w:r>
      <w:r>
        <w:rPr>
          <w:color w:val="231F20"/>
          <w:spacing w:val="-9"/>
        </w:rPr>
        <w:t> </w:t>
      </w:r>
      <w:r>
        <w:rPr>
          <w:color w:val="231F20"/>
        </w:rPr>
        <w:t>Bayer. Dr. Jankovic has received consutlting fees from Lundbeck; </w:t>
      </w:r>
      <w:r>
        <w:rPr>
          <w:color w:val="231F20"/>
          <w:spacing w:val="-2"/>
        </w:rPr>
        <w:t>research</w:t>
      </w:r>
      <w:r>
        <w:rPr>
          <w:color w:val="231F20"/>
          <w:spacing w:val="-5"/>
        </w:rPr>
        <w:t> </w:t>
      </w:r>
      <w:r>
        <w:rPr>
          <w:color w:val="231F20"/>
          <w:spacing w:val="-2"/>
        </w:rPr>
        <w:t>support</w:t>
      </w:r>
      <w:r>
        <w:rPr>
          <w:color w:val="231F20"/>
          <w:spacing w:val="-4"/>
        </w:rPr>
        <w:t> </w:t>
      </w:r>
      <w:r>
        <w:rPr>
          <w:color w:val="231F20"/>
          <w:spacing w:val="-2"/>
        </w:rPr>
        <w:t>from</w:t>
      </w:r>
      <w:r>
        <w:rPr>
          <w:color w:val="231F20"/>
          <w:spacing w:val="-4"/>
        </w:rPr>
        <w:t> </w:t>
      </w:r>
      <w:r>
        <w:rPr>
          <w:color w:val="231F20"/>
          <w:spacing w:val="-2"/>
        </w:rPr>
        <w:t>Allergan,</w:t>
      </w:r>
      <w:r>
        <w:rPr>
          <w:color w:val="231F20"/>
          <w:spacing w:val="-5"/>
        </w:rPr>
        <w:t> </w:t>
      </w:r>
      <w:r>
        <w:rPr>
          <w:color w:val="231F20"/>
          <w:spacing w:val="-2"/>
        </w:rPr>
        <w:t>Inc.,</w:t>
      </w:r>
      <w:r>
        <w:rPr>
          <w:color w:val="231F20"/>
          <w:spacing w:val="-4"/>
        </w:rPr>
        <w:t> </w:t>
      </w:r>
      <w:r>
        <w:rPr>
          <w:color w:val="231F20"/>
          <w:spacing w:val="-2"/>
        </w:rPr>
        <w:t>Boehringer-Ingeheim,</w:t>
      </w:r>
      <w:r>
        <w:rPr>
          <w:color w:val="231F20"/>
          <w:spacing w:val="-4"/>
        </w:rPr>
        <w:t> </w:t>
      </w:r>
      <w:r>
        <w:rPr>
          <w:color w:val="231F20"/>
          <w:spacing w:val="-2"/>
        </w:rPr>
        <w:t>Inc., </w:t>
      </w:r>
      <w:r>
        <w:rPr>
          <w:color w:val="231F20"/>
        </w:rPr>
        <w:t>Ceregene, Inc., Chelsea Therapeutics, Helis Foundation, Hun- tington’s</w:t>
      </w:r>
      <w:r>
        <w:rPr>
          <w:color w:val="231F20"/>
          <w:spacing w:val="-12"/>
        </w:rPr>
        <w:t> </w:t>
      </w:r>
      <w:r>
        <w:rPr>
          <w:color w:val="231F20"/>
        </w:rPr>
        <w:t>Disease</w:t>
      </w:r>
      <w:r>
        <w:rPr>
          <w:color w:val="231F20"/>
          <w:spacing w:val="-11"/>
        </w:rPr>
        <w:t> </w:t>
      </w:r>
      <w:r>
        <w:rPr>
          <w:color w:val="231F20"/>
        </w:rPr>
        <w:t>Society</w:t>
      </w:r>
      <w:r>
        <w:rPr>
          <w:color w:val="231F20"/>
          <w:spacing w:val="-11"/>
        </w:rPr>
        <w:t> </w:t>
      </w:r>
      <w:r>
        <w:rPr>
          <w:color w:val="231F20"/>
        </w:rPr>
        <w:t>of</w:t>
      </w:r>
      <w:r>
        <w:rPr>
          <w:color w:val="231F20"/>
          <w:spacing w:val="-11"/>
        </w:rPr>
        <w:t> </w:t>
      </w:r>
      <w:r>
        <w:rPr>
          <w:color w:val="231F20"/>
        </w:rPr>
        <w:t>America,</w:t>
      </w:r>
      <w:r>
        <w:rPr>
          <w:color w:val="231F20"/>
          <w:spacing w:val="-12"/>
        </w:rPr>
        <w:t> </w:t>
      </w:r>
      <w:r>
        <w:rPr>
          <w:color w:val="231F20"/>
        </w:rPr>
        <w:t>Huntington</w:t>
      </w:r>
      <w:r>
        <w:rPr>
          <w:color w:val="231F20"/>
          <w:spacing w:val="-11"/>
        </w:rPr>
        <w:t> </w:t>
      </w:r>
      <w:r>
        <w:rPr>
          <w:color w:val="231F20"/>
        </w:rPr>
        <w:t>Study</w:t>
      </w:r>
      <w:r>
        <w:rPr>
          <w:color w:val="231F20"/>
          <w:spacing w:val="-11"/>
        </w:rPr>
        <w:t> </w:t>
      </w:r>
      <w:r>
        <w:rPr>
          <w:color w:val="231F20"/>
        </w:rPr>
        <w:t>Group, Impax</w:t>
      </w:r>
      <w:r>
        <w:rPr>
          <w:color w:val="231F20"/>
          <w:spacing w:val="-12"/>
        </w:rPr>
        <w:t> </w:t>
      </w:r>
      <w:r>
        <w:rPr>
          <w:color w:val="231F20"/>
        </w:rPr>
        <w:t>Pharmaceuticals,</w:t>
      </w:r>
      <w:r>
        <w:rPr>
          <w:color w:val="231F20"/>
          <w:spacing w:val="-11"/>
        </w:rPr>
        <w:t> </w:t>
      </w:r>
      <w:r>
        <w:rPr>
          <w:color w:val="231F20"/>
        </w:rPr>
        <w:t>Ipsen,</w:t>
      </w:r>
      <w:r>
        <w:rPr>
          <w:color w:val="231F20"/>
          <w:spacing w:val="-11"/>
        </w:rPr>
        <w:t> </w:t>
      </w:r>
      <w:r>
        <w:rPr>
          <w:color w:val="231F20"/>
        </w:rPr>
        <w:t>Ltd.,</w:t>
      </w:r>
      <w:r>
        <w:rPr>
          <w:color w:val="231F20"/>
          <w:spacing w:val="-11"/>
        </w:rPr>
        <w:t> </w:t>
      </w:r>
      <w:r>
        <w:rPr>
          <w:color w:val="231F20"/>
        </w:rPr>
        <w:t>Lundbeck,</w:t>
      </w:r>
      <w:r>
        <w:rPr>
          <w:color w:val="231F20"/>
          <w:spacing w:val="-12"/>
        </w:rPr>
        <w:t> </w:t>
      </w:r>
      <w:r>
        <w:rPr>
          <w:color w:val="231F20"/>
        </w:rPr>
        <w:t>Inc.,</w:t>
      </w:r>
      <w:r>
        <w:rPr>
          <w:color w:val="231F20"/>
          <w:spacing w:val="-11"/>
        </w:rPr>
        <w:t> </w:t>
      </w:r>
      <w:r>
        <w:rPr>
          <w:color w:val="231F20"/>
        </w:rPr>
        <w:t>Medtronic, Merz Pharmceuticals, NIH, National Parkinson Foundation, Neurogen, St. Jude Medical, TEVA, University of Rochester, and the Parkinson Study Group; has been consultant and/or advisory committee memeber for Allergan, Inc., Biovail, the Michael</w:t>
      </w:r>
      <w:r>
        <w:rPr>
          <w:color w:val="231F20"/>
          <w:spacing w:val="56"/>
        </w:rPr>
        <w:t> </w:t>
      </w:r>
      <w:r>
        <w:rPr>
          <w:color w:val="231F20"/>
        </w:rPr>
        <w:t>J.</w:t>
      </w:r>
      <w:r>
        <w:rPr>
          <w:color w:val="231F20"/>
          <w:spacing w:val="56"/>
        </w:rPr>
        <w:t> </w:t>
      </w:r>
      <w:r>
        <w:rPr>
          <w:color w:val="231F20"/>
        </w:rPr>
        <w:t>Fox</w:t>
      </w:r>
      <w:r>
        <w:rPr>
          <w:color w:val="231F20"/>
          <w:spacing w:val="59"/>
        </w:rPr>
        <w:t> </w:t>
      </w:r>
      <w:r>
        <w:rPr>
          <w:color w:val="231F20"/>
        </w:rPr>
        <w:t>Foundation</w:t>
      </w:r>
      <w:r>
        <w:rPr>
          <w:color w:val="231F20"/>
          <w:spacing w:val="59"/>
        </w:rPr>
        <w:t> </w:t>
      </w:r>
      <w:r>
        <w:rPr>
          <w:color w:val="231F20"/>
        </w:rPr>
        <w:t>for</w:t>
      </w:r>
      <w:r>
        <w:rPr>
          <w:color w:val="231F20"/>
          <w:spacing w:val="57"/>
        </w:rPr>
        <w:t> </w:t>
      </w:r>
      <w:r>
        <w:rPr>
          <w:color w:val="231F20"/>
        </w:rPr>
        <w:t>Parkinson</w:t>
      </w:r>
      <w:r>
        <w:rPr>
          <w:color w:val="231F20"/>
          <w:spacing w:val="58"/>
        </w:rPr>
        <w:t> </w:t>
      </w:r>
      <w:r>
        <w:rPr>
          <w:color w:val="231F20"/>
        </w:rPr>
        <w:t>Research,</w:t>
      </w:r>
      <w:r>
        <w:rPr>
          <w:color w:val="231F20"/>
          <w:spacing w:val="58"/>
        </w:rPr>
        <w:t> </w:t>
      </w:r>
      <w:r>
        <w:rPr>
          <w:color w:val="231F20"/>
          <w:spacing w:val="-4"/>
        </w:rPr>
        <w:t>Merz</w:t>
      </w:r>
    </w:p>
    <w:p>
      <w:pPr>
        <w:spacing w:line="230" w:lineRule="auto" w:before="78"/>
        <w:ind w:left="2735" w:right="216" w:firstLine="319"/>
        <w:jc w:val="right"/>
        <w:rPr>
          <w:i/>
          <w:sz w:val="18"/>
        </w:rPr>
      </w:pPr>
      <w:r>
        <w:rPr/>
        <w:br w:type="column"/>
      </w:r>
      <w:r>
        <w:rPr>
          <w:color w:val="231F20"/>
          <w:sz w:val="18"/>
        </w:rPr>
        <w:t>William G. Ondo, </w:t>
      </w:r>
      <w:r>
        <w:rPr>
          <w:color w:val="231F20"/>
          <w:sz w:val="18"/>
        </w:rPr>
        <w:t>MD* </w:t>
      </w:r>
      <w:r>
        <w:rPr>
          <w:i/>
          <w:color w:val="231F20"/>
          <w:sz w:val="18"/>
        </w:rPr>
        <w:t>Department of Neurology Baylor College of Medicine, Houston, Texas, USA</w:t>
      </w:r>
    </w:p>
    <w:p>
      <w:pPr>
        <w:spacing w:line="203" w:lineRule="exact" w:before="0"/>
        <w:ind w:left="0" w:right="218" w:firstLine="0"/>
        <w:jc w:val="right"/>
        <w:rPr>
          <w:i/>
          <w:sz w:val="18"/>
        </w:rPr>
      </w:pPr>
      <w:r>
        <w:rPr>
          <w:i/>
          <w:color w:val="231F20"/>
          <w:sz w:val="18"/>
        </w:rPr>
        <w:t>*E-mail:</w:t>
      </w:r>
      <w:r>
        <w:rPr>
          <w:i/>
          <w:color w:val="231F20"/>
          <w:spacing w:val="8"/>
          <w:sz w:val="18"/>
        </w:rPr>
        <w:t> </w:t>
      </w:r>
      <w:hyperlink r:id="rId17">
        <w:r>
          <w:rPr>
            <w:i/>
            <w:color w:val="231F20"/>
            <w:spacing w:val="-2"/>
            <w:sz w:val="18"/>
          </w:rPr>
          <w:t>wondo@bcm.tmc.edu</w:t>
        </w:r>
      </w:hyperlink>
    </w:p>
    <w:p>
      <w:pPr>
        <w:spacing w:line="230" w:lineRule="auto" w:before="198"/>
        <w:ind w:left="2154" w:right="216" w:firstLine="900"/>
        <w:jc w:val="right"/>
        <w:rPr>
          <w:i/>
          <w:sz w:val="18"/>
        </w:rPr>
      </w:pPr>
      <w:r>
        <w:rPr>
          <w:color w:val="231F20"/>
          <w:sz w:val="18"/>
        </w:rPr>
        <w:t>Octavian R. Adam, </w:t>
      </w:r>
      <w:r>
        <w:rPr>
          <w:color w:val="231F20"/>
          <w:sz w:val="18"/>
        </w:rPr>
        <w:t>MD </w:t>
      </w:r>
      <w:r>
        <w:rPr>
          <w:i/>
          <w:color w:val="231F20"/>
          <w:sz w:val="18"/>
        </w:rPr>
        <w:t>Department of Neurology</w:t>
      </w:r>
      <w:r>
        <w:rPr>
          <w:i/>
          <w:color w:val="231F20"/>
          <w:spacing w:val="80"/>
          <w:sz w:val="18"/>
        </w:rPr>
        <w:t> </w:t>
      </w:r>
      <w:r>
        <w:rPr>
          <w:i/>
          <w:color w:val="231F20"/>
          <w:sz w:val="18"/>
        </w:rPr>
        <w:t>University</w:t>
      </w:r>
      <w:r>
        <w:rPr>
          <w:i/>
          <w:color w:val="231F20"/>
          <w:spacing w:val="12"/>
          <w:sz w:val="18"/>
        </w:rPr>
        <w:t> </w:t>
      </w:r>
      <w:r>
        <w:rPr>
          <w:i/>
          <w:color w:val="231F20"/>
          <w:sz w:val="18"/>
        </w:rPr>
        <w:t>of</w:t>
      </w:r>
      <w:r>
        <w:rPr>
          <w:i/>
          <w:color w:val="231F20"/>
          <w:spacing w:val="11"/>
          <w:sz w:val="18"/>
        </w:rPr>
        <w:t> </w:t>
      </w:r>
      <w:r>
        <w:rPr>
          <w:i/>
          <w:color w:val="231F20"/>
          <w:sz w:val="18"/>
        </w:rPr>
        <w:t>Texas</w:t>
      </w:r>
      <w:r>
        <w:rPr>
          <w:i/>
          <w:color w:val="231F20"/>
          <w:spacing w:val="12"/>
          <w:sz w:val="18"/>
        </w:rPr>
        <w:t> </w:t>
      </w:r>
      <w:r>
        <w:rPr>
          <w:i/>
          <w:color w:val="231F20"/>
          <w:sz w:val="18"/>
        </w:rPr>
        <w:t>Medical</w:t>
      </w:r>
      <w:r>
        <w:rPr>
          <w:i/>
          <w:color w:val="231F20"/>
          <w:spacing w:val="11"/>
          <w:sz w:val="18"/>
        </w:rPr>
        <w:t> </w:t>
      </w:r>
      <w:r>
        <w:rPr>
          <w:i/>
          <w:color w:val="231F20"/>
          <w:spacing w:val="-2"/>
          <w:sz w:val="18"/>
        </w:rPr>
        <w:t>Branch</w:t>
      </w:r>
    </w:p>
    <w:p>
      <w:pPr>
        <w:spacing w:line="202" w:lineRule="exact" w:before="0"/>
        <w:ind w:left="0" w:right="217" w:firstLine="0"/>
        <w:jc w:val="right"/>
        <w:rPr>
          <w:i/>
          <w:sz w:val="18"/>
        </w:rPr>
      </w:pPr>
      <w:r>
        <w:rPr>
          <w:i/>
          <w:color w:val="231F20"/>
          <w:sz w:val="18"/>
        </w:rPr>
        <w:t>Galveston,</w:t>
      </w:r>
      <w:r>
        <w:rPr>
          <w:i/>
          <w:color w:val="231F20"/>
          <w:spacing w:val="7"/>
          <w:sz w:val="18"/>
        </w:rPr>
        <w:t> </w:t>
      </w:r>
      <w:r>
        <w:rPr>
          <w:i/>
          <w:color w:val="231F20"/>
          <w:sz w:val="18"/>
        </w:rPr>
        <w:t>Texas,</w:t>
      </w:r>
      <w:r>
        <w:rPr>
          <w:i/>
          <w:color w:val="231F20"/>
          <w:spacing w:val="8"/>
          <w:sz w:val="18"/>
        </w:rPr>
        <w:t> </w:t>
      </w:r>
      <w:r>
        <w:rPr>
          <w:i/>
          <w:color w:val="231F20"/>
          <w:spacing w:val="-5"/>
          <w:sz w:val="18"/>
        </w:rPr>
        <w:t>USA</w:t>
      </w:r>
    </w:p>
    <w:p>
      <w:pPr>
        <w:spacing w:line="230" w:lineRule="auto" w:before="199"/>
        <w:ind w:left="2780" w:right="216" w:firstLine="460"/>
        <w:jc w:val="right"/>
        <w:rPr>
          <w:i/>
          <w:sz w:val="18"/>
        </w:rPr>
      </w:pPr>
      <w:r>
        <w:rPr>
          <w:color w:val="231F20"/>
          <w:sz w:val="18"/>
        </w:rPr>
        <w:t>Joseph</w:t>
      </w:r>
      <w:r>
        <w:rPr>
          <w:color w:val="231F20"/>
          <w:spacing w:val="-6"/>
          <w:sz w:val="18"/>
        </w:rPr>
        <w:t> </w:t>
      </w:r>
      <w:r>
        <w:rPr>
          <w:color w:val="231F20"/>
          <w:sz w:val="18"/>
        </w:rPr>
        <w:t>Jankovic,</w:t>
      </w:r>
      <w:r>
        <w:rPr>
          <w:color w:val="231F20"/>
          <w:spacing w:val="-6"/>
          <w:sz w:val="18"/>
        </w:rPr>
        <w:t> </w:t>
      </w:r>
      <w:r>
        <w:rPr>
          <w:color w:val="231F20"/>
          <w:sz w:val="18"/>
        </w:rPr>
        <w:t>MD </w:t>
      </w:r>
      <w:r>
        <w:rPr>
          <w:i/>
          <w:color w:val="231F20"/>
          <w:sz w:val="18"/>
        </w:rPr>
        <w:t>Department of Neurology Baylor College of Medicine Houston, Texas, USA</w:t>
      </w:r>
    </w:p>
    <w:p>
      <w:pPr>
        <w:pStyle w:val="BodyText"/>
        <w:spacing w:line="203" w:lineRule="exact" w:before="194"/>
        <w:ind w:left="1812"/>
      </w:pPr>
      <w:r>
        <w:rPr>
          <w:color w:val="231F20"/>
        </w:rPr>
        <w:t>Patrick</w:t>
      </w:r>
      <w:r>
        <w:rPr>
          <w:color w:val="231F20"/>
          <w:spacing w:val="10"/>
        </w:rPr>
        <w:t> </w:t>
      </w:r>
      <w:r>
        <w:rPr>
          <w:color w:val="231F20"/>
        </w:rPr>
        <w:t>F.</w:t>
      </w:r>
      <w:r>
        <w:rPr>
          <w:color w:val="231F20"/>
          <w:spacing w:val="9"/>
        </w:rPr>
        <w:t> </w:t>
      </w:r>
      <w:r>
        <w:rPr>
          <w:color w:val="231F20"/>
        </w:rPr>
        <w:t>Chinnery,</w:t>
      </w:r>
      <w:r>
        <w:rPr>
          <w:color w:val="231F20"/>
          <w:spacing w:val="11"/>
        </w:rPr>
        <w:t> </w:t>
      </w:r>
      <w:r>
        <w:rPr>
          <w:color w:val="231F20"/>
        </w:rPr>
        <w:t>MBBS,</w:t>
      </w:r>
      <w:r>
        <w:rPr>
          <w:color w:val="231F20"/>
          <w:spacing w:val="10"/>
        </w:rPr>
        <w:t> </w:t>
      </w:r>
      <w:r>
        <w:rPr>
          <w:color w:val="231F20"/>
        </w:rPr>
        <w:t>PhD,</w:t>
      </w:r>
      <w:r>
        <w:rPr>
          <w:color w:val="231F20"/>
          <w:spacing w:val="10"/>
        </w:rPr>
        <w:t> </w:t>
      </w:r>
      <w:r>
        <w:rPr>
          <w:color w:val="231F20"/>
          <w:spacing w:val="-4"/>
        </w:rPr>
        <w:t>FRCP</w:t>
      </w:r>
    </w:p>
    <w:p>
      <w:pPr>
        <w:spacing w:line="230" w:lineRule="auto" w:before="3"/>
        <w:ind w:left="3271" w:right="217" w:hanging="518"/>
        <w:jc w:val="right"/>
        <w:rPr>
          <w:i/>
          <w:sz w:val="18"/>
        </w:rPr>
      </w:pPr>
      <w:r>
        <w:rPr>
          <w:i/>
          <w:color w:val="231F20"/>
          <w:sz w:val="18"/>
        </w:rPr>
        <w:t>Institute of Human </w:t>
      </w:r>
      <w:r>
        <w:rPr>
          <w:i/>
          <w:color w:val="231F20"/>
          <w:sz w:val="18"/>
        </w:rPr>
        <w:t>Genetics Newcastle</w:t>
      </w:r>
      <w:r>
        <w:rPr>
          <w:i/>
          <w:color w:val="231F20"/>
          <w:spacing w:val="-8"/>
          <w:sz w:val="18"/>
        </w:rPr>
        <w:t> </w:t>
      </w:r>
      <w:r>
        <w:rPr>
          <w:i/>
          <w:color w:val="231F20"/>
          <w:sz w:val="18"/>
        </w:rPr>
        <w:t>University Newcastle, UK</w:t>
      </w:r>
    </w:p>
    <w:p>
      <w:pPr>
        <w:pStyle w:val="Heading2"/>
        <w:spacing w:before="165"/>
        <w:ind w:left="259" w:right="224"/>
      </w:pPr>
      <w:r>
        <w:rPr>
          <w:color w:val="231F20"/>
          <w:spacing w:val="-2"/>
          <w:w w:val="105"/>
        </w:rPr>
        <w:t>References</w:t>
      </w:r>
    </w:p>
    <w:p>
      <w:pPr>
        <w:pStyle w:val="ListParagraph"/>
        <w:numPr>
          <w:ilvl w:val="0"/>
          <w:numId w:val="9"/>
        </w:numPr>
        <w:tabs>
          <w:tab w:pos="501" w:val="left" w:leader="none"/>
          <w:tab w:pos="503" w:val="left" w:leader="none"/>
        </w:tabs>
        <w:spacing w:line="232" w:lineRule="auto" w:before="134" w:after="0"/>
        <w:ind w:left="503" w:right="216" w:hanging="248"/>
        <w:jc w:val="both"/>
        <w:rPr>
          <w:sz w:val="16"/>
        </w:rPr>
      </w:pPr>
      <w:r>
        <w:rPr>
          <w:color w:val="231F20"/>
          <w:sz w:val="16"/>
        </w:rPr>
        <w:t>Curtis</w:t>
      </w:r>
      <w:r>
        <w:rPr>
          <w:color w:val="231F20"/>
          <w:spacing w:val="80"/>
          <w:sz w:val="16"/>
        </w:rPr>
        <w:t> </w:t>
      </w:r>
      <w:r>
        <w:rPr>
          <w:color w:val="231F20"/>
          <w:sz w:val="16"/>
        </w:rPr>
        <w:t>AR,</w:t>
      </w:r>
      <w:r>
        <w:rPr>
          <w:color w:val="231F20"/>
          <w:spacing w:val="80"/>
          <w:sz w:val="16"/>
        </w:rPr>
        <w:t> </w:t>
      </w:r>
      <w:r>
        <w:rPr>
          <w:color w:val="231F20"/>
          <w:sz w:val="16"/>
        </w:rPr>
        <w:t>Fey</w:t>
      </w:r>
      <w:r>
        <w:rPr>
          <w:color w:val="231F20"/>
          <w:spacing w:val="80"/>
          <w:sz w:val="16"/>
        </w:rPr>
        <w:t> </w:t>
      </w:r>
      <w:r>
        <w:rPr>
          <w:color w:val="231F20"/>
          <w:sz w:val="16"/>
        </w:rPr>
        <w:t>C,</w:t>
      </w:r>
      <w:r>
        <w:rPr>
          <w:color w:val="231F20"/>
          <w:spacing w:val="80"/>
          <w:sz w:val="16"/>
        </w:rPr>
        <w:t> </w:t>
      </w:r>
      <w:r>
        <w:rPr>
          <w:color w:val="231F20"/>
          <w:sz w:val="16"/>
        </w:rPr>
        <w:t>Morris</w:t>
      </w:r>
      <w:r>
        <w:rPr>
          <w:color w:val="231F20"/>
          <w:spacing w:val="80"/>
          <w:sz w:val="16"/>
        </w:rPr>
        <w:t> </w:t>
      </w:r>
      <w:r>
        <w:rPr>
          <w:color w:val="231F20"/>
          <w:sz w:val="16"/>
        </w:rPr>
        <w:t>CM,</w:t>
      </w:r>
      <w:r>
        <w:rPr>
          <w:color w:val="231F20"/>
          <w:spacing w:val="80"/>
          <w:sz w:val="16"/>
        </w:rPr>
        <w:t> </w:t>
      </w:r>
      <w:r>
        <w:rPr>
          <w:color w:val="231F20"/>
          <w:sz w:val="16"/>
        </w:rPr>
        <w:t>et</w:t>
      </w:r>
      <w:r>
        <w:rPr>
          <w:color w:val="231F20"/>
          <w:spacing w:val="80"/>
          <w:sz w:val="16"/>
        </w:rPr>
        <w:t> </w:t>
      </w:r>
      <w:r>
        <w:rPr>
          <w:color w:val="231F20"/>
          <w:sz w:val="16"/>
        </w:rPr>
        <w:t>al.</w:t>
      </w:r>
      <w:r>
        <w:rPr>
          <w:color w:val="231F20"/>
          <w:spacing w:val="80"/>
          <w:sz w:val="16"/>
        </w:rPr>
        <w:t> </w:t>
      </w:r>
      <w:r>
        <w:rPr>
          <w:color w:val="231F20"/>
          <w:sz w:val="16"/>
        </w:rPr>
        <w:t>Mutation</w:t>
      </w:r>
      <w:r>
        <w:rPr>
          <w:color w:val="231F20"/>
          <w:spacing w:val="80"/>
          <w:sz w:val="16"/>
        </w:rPr>
        <w:t> </w:t>
      </w:r>
      <w:r>
        <w:rPr>
          <w:color w:val="231F20"/>
          <w:sz w:val="16"/>
        </w:rPr>
        <w:t>in</w:t>
      </w:r>
      <w:r>
        <w:rPr>
          <w:color w:val="231F20"/>
          <w:spacing w:val="80"/>
          <w:sz w:val="16"/>
        </w:rPr>
        <w:t> </w:t>
      </w:r>
      <w:r>
        <w:rPr>
          <w:color w:val="231F20"/>
          <w:sz w:val="16"/>
        </w:rPr>
        <w:t>the</w:t>
      </w:r>
      <w:r>
        <w:rPr>
          <w:color w:val="231F20"/>
          <w:spacing w:val="40"/>
          <w:sz w:val="16"/>
        </w:rPr>
        <w:t> </w:t>
      </w:r>
      <w:r>
        <w:rPr>
          <w:color w:val="231F20"/>
          <w:spacing w:val="-2"/>
          <w:sz w:val="16"/>
        </w:rPr>
        <w:t>gene encoding ferritin light polypeptide causes dominant adult-onset</w:t>
      </w:r>
      <w:r>
        <w:rPr>
          <w:color w:val="231F20"/>
          <w:spacing w:val="40"/>
          <w:sz w:val="16"/>
        </w:rPr>
        <w:t> </w:t>
      </w:r>
      <w:r>
        <w:rPr>
          <w:color w:val="231F20"/>
          <w:sz w:val="16"/>
        </w:rPr>
        <w:t>basal ganglia</w:t>
      </w:r>
      <w:r>
        <w:rPr>
          <w:color w:val="231F20"/>
          <w:spacing w:val="33"/>
          <w:sz w:val="16"/>
        </w:rPr>
        <w:t> </w:t>
      </w:r>
      <w:r>
        <w:rPr>
          <w:color w:val="231F20"/>
          <w:sz w:val="16"/>
        </w:rPr>
        <w:t>disease.</w:t>
      </w:r>
      <w:r>
        <w:rPr>
          <w:color w:val="231F20"/>
          <w:spacing w:val="33"/>
          <w:sz w:val="16"/>
        </w:rPr>
        <w:t> </w:t>
      </w:r>
      <w:r>
        <w:rPr>
          <w:color w:val="231F20"/>
          <w:sz w:val="16"/>
        </w:rPr>
        <w:t>Nat</w:t>
      </w:r>
      <w:r>
        <w:rPr>
          <w:color w:val="231F20"/>
          <w:spacing w:val="33"/>
          <w:sz w:val="16"/>
        </w:rPr>
        <w:t> </w:t>
      </w:r>
      <w:r>
        <w:rPr>
          <w:color w:val="231F20"/>
          <w:sz w:val="16"/>
        </w:rPr>
        <w:t>Genet</w:t>
      </w:r>
      <w:r>
        <w:rPr>
          <w:color w:val="231F20"/>
          <w:spacing w:val="33"/>
          <w:sz w:val="16"/>
        </w:rPr>
        <w:t> </w:t>
      </w:r>
      <w:r>
        <w:rPr>
          <w:color w:val="231F20"/>
          <w:sz w:val="16"/>
        </w:rPr>
        <w:t>2001;28:350–354.</w:t>
      </w:r>
    </w:p>
    <w:p>
      <w:pPr>
        <w:pStyle w:val="ListParagraph"/>
        <w:numPr>
          <w:ilvl w:val="0"/>
          <w:numId w:val="9"/>
        </w:numPr>
        <w:tabs>
          <w:tab w:pos="501" w:val="left" w:leader="none"/>
          <w:tab w:pos="503" w:val="left" w:leader="none"/>
        </w:tabs>
        <w:spacing w:line="232" w:lineRule="auto" w:before="3" w:after="0"/>
        <w:ind w:left="503" w:right="217" w:hanging="248"/>
        <w:jc w:val="both"/>
        <w:rPr>
          <w:sz w:val="16"/>
        </w:rPr>
      </w:pPr>
      <w:r>
        <w:rPr>
          <w:color w:val="231F20"/>
          <w:sz w:val="16"/>
        </w:rPr>
        <w:t>Devos D, Tchofo PJ, Vuillaume I, et al. Clinical features and</w:t>
      </w:r>
      <w:r>
        <w:rPr>
          <w:color w:val="231F20"/>
          <w:spacing w:val="40"/>
          <w:sz w:val="16"/>
        </w:rPr>
        <w:t> </w:t>
      </w:r>
      <w:r>
        <w:rPr>
          <w:color w:val="231F20"/>
          <w:sz w:val="16"/>
        </w:rPr>
        <w:t>natural</w:t>
      </w:r>
      <w:r>
        <w:rPr>
          <w:color w:val="231F20"/>
          <w:spacing w:val="40"/>
          <w:sz w:val="16"/>
        </w:rPr>
        <w:t> </w:t>
      </w:r>
      <w:r>
        <w:rPr>
          <w:color w:val="231F20"/>
          <w:sz w:val="16"/>
        </w:rPr>
        <w:t>history</w:t>
      </w:r>
      <w:r>
        <w:rPr>
          <w:color w:val="231F20"/>
          <w:spacing w:val="40"/>
          <w:sz w:val="16"/>
        </w:rPr>
        <w:t> </w:t>
      </w:r>
      <w:r>
        <w:rPr>
          <w:color w:val="231F20"/>
          <w:sz w:val="16"/>
        </w:rPr>
        <w:t>of</w:t>
      </w:r>
      <w:r>
        <w:rPr>
          <w:color w:val="231F20"/>
          <w:spacing w:val="40"/>
          <w:sz w:val="16"/>
        </w:rPr>
        <w:t> </w:t>
      </w:r>
      <w:r>
        <w:rPr>
          <w:color w:val="231F20"/>
          <w:sz w:val="16"/>
        </w:rPr>
        <w:t>neuroferritinopathy</w:t>
      </w:r>
      <w:r>
        <w:rPr>
          <w:color w:val="231F20"/>
          <w:spacing w:val="40"/>
          <w:sz w:val="16"/>
        </w:rPr>
        <w:t> </w:t>
      </w:r>
      <w:r>
        <w:rPr>
          <w:color w:val="231F20"/>
          <w:sz w:val="16"/>
        </w:rPr>
        <w:t>caused</w:t>
      </w:r>
      <w:r>
        <w:rPr>
          <w:color w:val="231F20"/>
          <w:spacing w:val="40"/>
          <w:sz w:val="16"/>
        </w:rPr>
        <w:t> </w:t>
      </w:r>
      <w:r>
        <w:rPr>
          <w:color w:val="231F20"/>
          <w:sz w:val="16"/>
        </w:rPr>
        <w:t>by</w:t>
      </w:r>
      <w:r>
        <w:rPr>
          <w:color w:val="231F20"/>
          <w:spacing w:val="40"/>
          <w:sz w:val="16"/>
        </w:rPr>
        <w:t> </w:t>
      </w:r>
      <w:r>
        <w:rPr>
          <w:color w:val="231F20"/>
          <w:sz w:val="16"/>
        </w:rPr>
        <w:t>the</w:t>
      </w:r>
      <w:r>
        <w:rPr>
          <w:color w:val="231F20"/>
          <w:spacing w:val="40"/>
          <w:sz w:val="16"/>
        </w:rPr>
        <w:t> </w:t>
      </w:r>
      <w:r>
        <w:rPr>
          <w:color w:val="231F20"/>
          <w:sz w:val="16"/>
        </w:rPr>
        <w:t>458dupA</w:t>
      </w:r>
      <w:r>
        <w:rPr>
          <w:color w:val="231F20"/>
          <w:spacing w:val="40"/>
          <w:sz w:val="16"/>
        </w:rPr>
        <w:t> </w:t>
      </w:r>
      <w:r>
        <w:rPr>
          <w:color w:val="231F20"/>
          <w:sz w:val="16"/>
        </w:rPr>
        <w:t>FTL</w:t>
      </w:r>
      <w:r>
        <w:rPr>
          <w:color w:val="231F20"/>
          <w:spacing w:val="40"/>
          <w:sz w:val="16"/>
        </w:rPr>
        <w:t> </w:t>
      </w:r>
      <w:r>
        <w:rPr>
          <w:color w:val="231F20"/>
          <w:sz w:val="16"/>
        </w:rPr>
        <w:t>mutation.</w:t>
      </w:r>
      <w:r>
        <w:rPr>
          <w:color w:val="231F20"/>
          <w:spacing w:val="40"/>
          <w:sz w:val="16"/>
        </w:rPr>
        <w:t> </w:t>
      </w:r>
      <w:r>
        <w:rPr>
          <w:color w:val="231F20"/>
          <w:sz w:val="16"/>
        </w:rPr>
        <w:t>Brain</w:t>
      </w:r>
      <w:r>
        <w:rPr>
          <w:color w:val="231F20"/>
          <w:spacing w:val="40"/>
          <w:sz w:val="16"/>
        </w:rPr>
        <w:t> </w:t>
      </w:r>
      <w:r>
        <w:rPr>
          <w:color w:val="231F20"/>
          <w:sz w:val="16"/>
        </w:rPr>
        <w:t>2009;132:1-3,e109.</w:t>
      </w:r>
    </w:p>
    <w:p>
      <w:pPr>
        <w:pStyle w:val="ListParagraph"/>
        <w:numPr>
          <w:ilvl w:val="0"/>
          <w:numId w:val="9"/>
        </w:numPr>
        <w:tabs>
          <w:tab w:pos="501" w:val="left" w:leader="none"/>
          <w:tab w:pos="503" w:val="left" w:leader="none"/>
        </w:tabs>
        <w:spacing w:line="249" w:lineRule="auto" w:before="0" w:after="0"/>
        <w:ind w:left="503" w:right="216" w:hanging="248"/>
        <w:jc w:val="both"/>
        <w:rPr>
          <w:sz w:val="16"/>
        </w:rPr>
      </w:pPr>
      <w:r>
        <w:rPr>
          <w:color w:val="231F20"/>
          <w:sz w:val="16"/>
        </w:rPr>
        <w:t>Ohta</w:t>
      </w:r>
      <w:r>
        <w:rPr>
          <w:color w:val="231F20"/>
          <w:spacing w:val="40"/>
          <w:sz w:val="16"/>
        </w:rPr>
        <w:t> </w:t>
      </w:r>
      <w:r>
        <w:rPr>
          <w:color w:val="231F20"/>
          <w:sz w:val="16"/>
        </w:rPr>
        <w:t>E,</w:t>
      </w:r>
      <w:r>
        <w:rPr>
          <w:color w:val="231F20"/>
          <w:spacing w:val="40"/>
          <w:sz w:val="16"/>
        </w:rPr>
        <w:t> </w:t>
      </w:r>
      <w:r>
        <w:rPr>
          <w:color w:val="231F20"/>
          <w:sz w:val="16"/>
        </w:rPr>
        <w:t>Nagasaka</w:t>
      </w:r>
      <w:r>
        <w:rPr>
          <w:color w:val="231F20"/>
          <w:spacing w:val="40"/>
          <w:sz w:val="16"/>
        </w:rPr>
        <w:t> </w:t>
      </w:r>
      <w:r>
        <w:rPr>
          <w:color w:val="231F20"/>
          <w:sz w:val="16"/>
        </w:rPr>
        <w:t>T,</w:t>
      </w:r>
      <w:r>
        <w:rPr>
          <w:color w:val="231F20"/>
          <w:spacing w:val="40"/>
          <w:sz w:val="16"/>
        </w:rPr>
        <w:t> </w:t>
      </w:r>
      <w:r>
        <w:rPr>
          <w:color w:val="231F20"/>
          <w:sz w:val="16"/>
        </w:rPr>
        <w:t>Shindo</w:t>
      </w:r>
      <w:r>
        <w:rPr>
          <w:color w:val="231F20"/>
          <w:spacing w:val="40"/>
          <w:sz w:val="16"/>
        </w:rPr>
        <w:t> </w:t>
      </w:r>
      <w:r>
        <w:rPr>
          <w:color w:val="231F20"/>
          <w:sz w:val="16"/>
        </w:rPr>
        <w:t>K,</w:t>
      </w:r>
      <w:r>
        <w:rPr>
          <w:color w:val="231F20"/>
          <w:spacing w:val="40"/>
          <w:sz w:val="16"/>
        </w:rPr>
        <w:t> </w:t>
      </w:r>
      <w:r>
        <w:rPr>
          <w:color w:val="231F20"/>
          <w:sz w:val="16"/>
        </w:rPr>
        <w:t>et</w:t>
      </w:r>
      <w:r>
        <w:rPr>
          <w:color w:val="231F20"/>
          <w:spacing w:val="40"/>
          <w:sz w:val="16"/>
        </w:rPr>
        <w:t> </w:t>
      </w:r>
      <w:r>
        <w:rPr>
          <w:color w:val="231F20"/>
          <w:sz w:val="16"/>
        </w:rPr>
        <w:t>al.</w:t>
      </w:r>
      <w:r>
        <w:rPr>
          <w:color w:val="231F20"/>
          <w:spacing w:val="40"/>
          <w:sz w:val="16"/>
        </w:rPr>
        <w:t> </w:t>
      </w:r>
      <w:r>
        <w:rPr>
          <w:color w:val="231F20"/>
          <w:sz w:val="16"/>
        </w:rPr>
        <w:t>Neuroferritinopathy</w:t>
      </w:r>
      <w:r>
        <w:rPr>
          <w:color w:val="231F20"/>
          <w:spacing w:val="40"/>
          <w:sz w:val="16"/>
        </w:rPr>
        <w:t> </w:t>
      </w:r>
      <w:r>
        <w:rPr>
          <w:color w:val="231F20"/>
          <w:sz w:val="16"/>
        </w:rPr>
        <w:t>in</w:t>
      </w:r>
      <w:r>
        <w:rPr>
          <w:color w:val="231F20"/>
          <w:spacing w:val="40"/>
          <w:sz w:val="16"/>
        </w:rPr>
        <w:t> </w:t>
      </w:r>
      <w:r>
        <w:rPr>
          <w:color w:val="231F20"/>
          <w:sz w:val="16"/>
        </w:rPr>
        <w:t>a Japanese family with a duplication in the ferritin light </w:t>
      </w:r>
      <w:r>
        <w:rPr>
          <w:color w:val="231F20"/>
          <w:sz w:val="16"/>
        </w:rPr>
        <w:t>chain</w:t>
      </w:r>
      <w:r>
        <w:rPr>
          <w:color w:val="231F20"/>
          <w:spacing w:val="80"/>
          <w:sz w:val="16"/>
        </w:rPr>
        <w:t> </w:t>
      </w:r>
      <w:r>
        <w:rPr>
          <w:color w:val="231F20"/>
          <w:sz w:val="16"/>
        </w:rPr>
        <w:t>gene.</w:t>
      </w:r>
      <w:r>
        <w:rPr>
          <w:color w:val="231F20"/>
          <w:spacing w:val="40"/>
          <w:sz w:val="16"/>
        </w:rPr>
        <w:t> </w:t>
      </w:r>
      <w:r>
        <w:rPr>
          <w:color w:val="231F20"/>
          <w:sz w:val="16"/>
        </w:rPr>
        <w:t>Neurology</w:t>
      </w:r>
      <w:r>
        <w:rPr>
          <w:color w:val="231F20"/>
          <w:spacing w:val="40"/>
          <w:sz w:val="16"/>
        </w:rPr>
        <w:t> </w:t>
      </w:r>
      <w:r>
        <w:rPr>
          <w:color w:val="231F20"/>
          <w:sz w:val="16"/>
        </w:rPr>
        <w:t>2008;70</w:t>
      </w:r>
      <w:r>
        <w:rPr>
          <w:color w:val="231F20"/>
          <w:spacing w:val="40"/>
          <w:sz w:val="16"/>
        </w:rPr>
        <w:t> </w:t>
      </w:r>
      <w:r>
        <w:rPr>
          <w:color w:val="231F20"/>
          <w:sz w:val="16"/>
        </w:rPr>
        <w:t>(Part</w:t>
      </w:r>
      <w:r>
        <w:rPr>
          <w:color w:val="231F20"/>
          <w:spacing w:val="40"/>
          <w:sz w:val="16"/>
        </w:rPr>
        <w:t> </w:t>
      </w:r>
      <w:r>
        <w:rPr>
          <w:color w:val="231F20"/>
          <w:sz w:val="16"/>
        </w:rPr>
        <w:t>2):1493–1494.</w:t>
      </w:r>
    </w:p>
    <w:p>
      <w:pPr>
        <w:pStyle w:val="ListParagraph"/>
        <w:numPr>
          <w:ilvl w:val="0"/>
          <w:numId w:val="9"/>
        </w:numPr>
        <w:tabs>
          <w:tab w:pos="502" w:val="left" w:leader="none"/>
        </w:tabs>
        <w:spacing w:line="172" w:lineRule="exact" w:before="0" w:after="0"/>
        <w:ind w:left="502" w:right="0" w:hanging="246"/>
        <w:jc w:val="both"/>
        <w:rPr>
          <w:sz w:val="16"/>
        </w:rPr>
      </w:pPr>
      <w:r>
        <w:rPr>
          <w:color w:val="231F20"/>
          <w:sz w:val="16"/>
        </w:rPr>
        <w:t>Maciel</w:t>
      </w:r>
      <w:r>
        <w:rPr>
          <w:color w:val="231F20"/>
          <w:spacing w:val="54"/>
          <w:sz w:val="16"/>
        </w:rPr>
        <w:t> </w:t>
      </w:r>
      <w:r>
        <w:rPr>
          <w:color w:val="231F20"/>
          <w:sz w:val="16"/>
        </w:rPr>
        <w:t>P,</w:t>
      </w:r>
      <w:r>
        <w:rPr>
          <w:color w:val="231F20"/>
          <w:spacing w:val="53"/>
          <w:sz w:val="16"/>
        </w:rPr>
        <w:t> </w:t>
      </w:r>
      <w:r>
        <w:rPr>
          <w:color w:val="231F20"/>
          <w:sz w:val="16"/>
        </w:rPr>
        <w:t>Cruz</w:t>
      </w:r>
      <w:r>
        <w:rPr>
          <w:color w:val="231F20"/>
          <w:spacing w:val="54"/>
          <w:sz w:val="16"/>
        </w:rPr>
        <w:t> </w:t>
      </w:r>
      <w:r>
        <w:rPr>
          <w:color w:val="231F20"/>
          <w:sz w:val="16"/>
        </w:rPr>
        <w:t>VT,</w:t>
      </w:r>
      <w:r>
        <w:rPr>
          <w:color w:val="231F20"/>
          <w:spacing w:val="53"/>
          <w:sz w:val="16"/>
        </w:rPr>
        <w:t> </w:t>
      </w:r>
      <w:r>
        <w:rPr>
          <w:color w:val="231F20"/>
          <w:sz w:val="16"/>
        </w:rPr>
        <w:t>Constante</w:t>
      </w:r>
      <w:r>
        <w:rPr>
          <w:color w:val="231F20"/>
          <w:spacing w:val="54"/>
          <w:sz w:val="16"/>
        </w:rPr>
        <w:t> </w:t>
      </w:r>
      <w:r>
        <w:rPr>
          <w:color w:val="231F20"/>
          <w:sz w:val="16"/>
        </w:rPr>
        <w:t>M,</w:t>
      </w:r>
      <w:r>
        <w:rPr>
          <w:color w:val="231F20"/>
          <w:spacing w:val="53"/>
          <w:sz w:val="16"/>
        </w:rPr>
        <w:t> </w:t>
      </w:r>
      <w:r>
        <w:rPr>
          <w:color w:val="231F20"/>
          <w:sz w:val="16"/>
        </w:rPr>
        <w:t>et</w:t>
      </w:r>
      <w:r>
        <w:rPr>
          <w:color w:val="231F20"/>
          <w:spacing w:val="55"/>
          <w:sz w:val="16"/>
        </w:rPr>
        <w:t> </w:t>
      </w:r>
      <w:r>
        <w:rPr>
          <w:color w:val="231F20"/>
          <w:sz w:val="16"/>
        </w:rPr>
        <w:t>al.</w:t>
      </w:r>
      <w:r>
        <w:rPr>
          <w:color w:val="231F20"/>
          <w:spacing w:val="53"/>
          <w:sz w:val="16"/>
        </w:rPr>
        <w:t> </w:t>
      </w:r>
      <w:r>
        <w:rPr>
          <w:color w:val="231F20"/>
          <w:spacing w:val="-2"/>
          <w:sz w:val="16"/>
        </w:rPr>
        <w:t>Neuroferritinopathy:</w:t>
      </w:r>
    </w:p>
    <w:p>
      <w:pPr>
        <w:spacing w:line="249" w:lineRule="auto" w:before="4"/>
        <w:ind w:left="503" w:right="216" w:firstLine="0"/>
        <w:jc w:val="both"/>
        <w:rPr>
          <w:sz w:val="16"/>
        </w:rPr>
      </w:pPr>
      <w:r>
        <w:rPr>
          <w:color w:val="231F20"/>
          <w:sz w:val="16"/>
        </w:rPr>
        <w:t>missense mutation in FTL causing early-onset bilateral pallidal</w:t>
      </w:r>
      <w:r>
        <w:rPr>
          <w:color w:val="231F20"/>
          <w:spacing w:val="40"/>
          <w:sz w:val="16"/>
        </w:rPr>
        <w:t> </w:t>
      </w:r>
      <w:r>
        <w:rPr>
          <w:color w:val="231F20"/>
          <w:sz w:val="16"/>
        </w:rPr>
        <w:t>involvement.</w:t>
      </w:r>
      <w:r>
        <w:rPr>
          <w:color w:val="231F20"/>
          <w:spacing w:val="39"/>
          <w:sz w:val="16"/>
        </w:rPr>
        <w:t> </w:t>
      </w:r>
      <w:r>
        <w:rPr>
          <w:color w:val="231F20"/>
          <w:sz w:val="16"/>
        </w:rPr>
        <w:t>Neurology</w:t>
      </w:r>
      <w:r>
        <w:rPr>
          <w:color w:val="231F20"/>
          <w:spacing w:val="39"/>
          <w:sz w:val="16"/>
        </w:rPr>
        <w:t> </w:t>
      </w:r>
      <w:r>
        <w:rPr>
          <w:color w:val="231F20"/>
          <w:sz w:val="16"/>
        </w:rPr>
        <w:t>2005;65:603–605.</w:t>
      </w:r>
    </w:p>
    <w:p>
      <w:pPr>
        <w:pStyle w:val="ListParagraph"/>
        <w:numPr>
          <w:ilvl w:val="0"/>
          <w:numId w:val="9"/>
        </w:numPr>
        <w:tabs>
          <w:tab w:pos="502" w:val="left" w:leader="none"/>
        </w:tabs>
        <w:spacing w:line="172" w:lineRule="exact" w:before="0" w:after="0"/>
        <w:ind w:left="502" w:right="0" w:hanging="246"/>
        <w:jc w:val="left"/>
        <w:rPr>
          <w:sz w:val="16"/>
        </w:rPr>
      </w:pPr>
      <w:r>
        <w:rPr>
          <w:color w:val="231F20"/>
          <w:sz w:val="16"/>
        </w:rPr>
        <w:t>Levi</w:t>
      </w:r>
      <w:r>
        <w:rPr>
          <w:color w:val="231F20"/>
          <w:spacing w:val="44"/>
          <w:sz w:val="16"/>
        </w:rPr>
        <w:t> </w:t>
      </w:r>
      <w:r>
        <w:rPr>
          <w:color w:val="231F20"/>
          <w:sz w:val="16"/>
        </w:rPr>
        <w:t>S,</w:t>
      </w:r>
      <w:r>
        <w:rPr>
          <w:color w:val="231F20"/>
          <w:spacing w:val="44"/>
          <w:sz w:val="16"/>
        </w:rPr>
        <w:t> </w:t>
      </w:r>
      <w:r>
        <w:rPr>
          <w:color w:val="231F20"/>
          <w:sz w:val="16"/>
        </w:rPr>
        <w:t>Cozzi</w:t>
      </w:r>
      <w:r>
        <w:rPr>
          <w:color w:val="231F20"/>
          <w:spacing w:val="44"/>
          <w:sz w:val="16"/>
        </w:rPr>
        <w:t> </w:t>
      </w:r>
      <w:r>
        <w:rPr>
          <w:color w:val="231F20"/>
          <w:sz w:val="16"/>
        </w:rPr>
        <w:t>A,</w:t>
      </w:r>
      <w:r>
        <w:rPr>
          <w:color w:val="231F20"/>
          <w:spacing w:val="45"/>
          <w:sz w:val="16"/>
        </w:rPr>
        <w:t> </w:t>
      </w:r>
      <w:r>
        <w:rPr>
          <w:color w:val="231F20"/>
          <w:sz w:val="16"/>
        </w:rPr>
        <w:t>Arosio</w:t>
      </w:r>
      <w:r>
        <w:rPr>
          <w:color w:val="231F20"/>
          <w:spacing w:val="44"/>
          <w:sz w:val="16"/>
        </w:rPr>
        <w:t> </w:t>
      </w:r>
      <w:r>
        <w:rPr>
          <w:color w:val="231F20"/>
          <w:sz w:val="16"/>
        </w:rPr>
        <w:t>P.</w:t>
      </w:r>
      <w:r>
        <w:rPr>
          <w:color w:val="231F20"/>
          <w:spacing w:val="44"/>
          <w:sz w:val="16"/>
        </w:rPr>
        <w:t> </w:t>
      </w:r>
      <w:r>
        <w:rPr>
          <w:color w:val="231F20"/>
          <w:sz w:val="16"/>
        </w:rPr>
        <w:t>Neuroferritinopathy:</w:t>
      </w:r>
      <w:r>
        <w:rPr>
          <w:color w:val="231F20"/>
          <w:spacing w:val="44"/>
          <w:sz w:val="16"/>
        </w:rPr>
        <w:t> </w:t>
      </w:r>
      <w:r>
        <w:rPr>
          <w:color w:val="231F20"/>
          <w:sz w:val="16"/>
        </w:rPr>
        <w:t>a</w:t>
      </w:r>
      <w:r>
        <w:rPr>
          <w:color w:val="231F20"/>
          <w:spacing w:val="45"/>
          <w:sz w:val="16"/>
        </w:rPr>
        <w:t> </w:t>
      </w:r>
      <w:r>
        <w:rPr>
          <w:color w:val="231F20"/>
          <w:spacing w:val="-2"/>
          <w:sz w:val="16"/>
        </w:rPr>
        <w:t>neurodege-</w:t>
      </w:r>
    </w:p>
    <w:p>
      <w:pPr>
        <w:spacing w:line="249" w:lineRule="auto" w:before="8"/>
        <w:ind w:left="503" w:right="67" w:firstLine="0"/>
        <w:jc w:val="left"/>
        <w:rPr>
          <w:sz w:val="16"/>
        </w:rPr>
      </w:pPr>
      <w:r>
        <w:rPr>
          <w:color w:val="231F20"/>
          <w:sz w:val="16"/>
        </w:rPr>
        <w:t>nerative</w:t>
      </w:r>
      <w:r>
        <w:rPr>
          <w:color w:val="231F20"/>
          <w:spacing w:val="80"/>
          <w:sz w:val="16"/>
        </w:rPr>
        <w:t> </w:t>
      </w:r>
      <w:r>
        <w:rPr>
          <w:color w:val="231F20"/>
          <w:sz w:val="16"/>
        </w:rPr>
        <w:t>disorder</w:t>
      </w:r>
      <w:r>
        <w:rPr>
          <w:color w:val="231F20"/>
          <w:spacing w:val="80"/>
          <w:sz w:val="16"/>
        </w:rPr>
        <w:t> </w:t>
      </w:r>
      <w:r>
        <w:rPr>
          <w:color w:val="231F20"/>
          <w:sz w:val="16"/>
        </w:rPr>
        <w:t>associated</w:t>
      </w:r>
      <w:r>
        <w:rPr>
          <w:color w:val="231F20"/>
          <w:spacing w:val="80"/>
          <w:sz w:val="16"/>
        </w:rPr>
        <w:t> </w:t>
      </w:r>
      <w:r>
        <w:rPr>
          <w:color w:val="231F20"/>
          <w:sz w:val="16"/>
        </w:rPr>
        <w:t>with</w:t>
      </w:r>
      <w:r>
        <w:rPr>
          <w:color w:val="231F20"/>
          <w:spacing w:val="80"/>
          <w:sz w:val="16"/>
        </w:rPr>
        <w:t> </w:t>
      </w:r>
      <w:r>
        <w:rPr>
          <w:color w:val="231F20"/>
          <w:sz w:val="11"/>
        </w:rPr>
        <w:t>L</w:t>
      </w:r>
      <w:r>
        <w:rPr>
          <w:color w:val="231F20"/>
          <w:sz w:val="16"/>
        </w:rPr>
        <w:t>-ferritin</w:t>
      </w:r>
      <w:r>
        <w:rPr>
          <w:color w:val="231F20"/>
          <w:spacing w:val="80"/>
          <w:sz w:val="16"/>
        </w:rPr>
        <w:t> </w:t>
      </w:r>
      <w:r>
        <w:rPr>
          <w:color w:val="231F20"/>
          <w:sz w:val="16"/>
        </w:rPr>
        <w:t>mutation.</w:t>
      </w:r>
      <w:r>
        <w:rPr>
          <w:color w:val="231F20"/>
          <w:spacing w:val="80"/>
          <w:sz w:val="16"/>
        </w:rPr>
        <w:t> </w:t>
      </w:r>
      <w:r>
        <w:rPr>
          <w:color w:val="231F20"/>
          <w:sz w:val="16"/>
        </w:rPr>
        <w:t>Best</w:t>
      </w:r>
      <w:r>
        <w:rPr>
          <w:color w:val="231F20"/>
          <w:spacing w:val="40"/>
          <w:sz w:val="16"/>
        </w:rPr>
        <w:t> </w:t>
      </w:r>
      <w:r>
        <w:rPr>
          <w:color w:val="231F20"/>
          <w:sz w:val="16"/>
        </w:rPr>
        <w:t>Pract</w:t>
      </w:r>
      <w:r>
        <w:rPr>
          <w:color w:val="231F20"/>
          <w:spacing w:val="40"/>
          <w:sz w:val="16"/>
        </w:rPr>
        <w:t> </w:t>
      </w:r>
      <w:r>
        <w:rPr>
          <w:color w:val="231F20"/>
          <w:sz w:val="16"/>
        </w:rPr>
        <w:t>Res</w:t>
      </w:r>
      <w:r>
        <w:rPr>
          <w:color w:val="231F20"/>
          <w:spacing w:val="40"/>
          <w:sz w:val="16"/>
        </w:rPr>
        <w:t> </w:t>
      </w:r>
      <w:r>
        <w:rPr>
          <w:color w:val="231F20"/>
          <w:sz w:val="16"/>
        </w:rPr>
        <w:t>Clin</w:t>
      </w:r>
      <w:r>
        <w:rPr>
          <w:color w:val="231F20"/>
          <w:spacing w:val="40"/>
          <w:sz w:val="16"/>
        </w:rPr>
        <w:t> </w:t>
      </w:r>
      <w:r>
        <w:rPr>
          <w:color w:val="231F20"/>
          <w:sz w:val="16"/>
        </w:rPr>
        <w:t>Haematol</w:t>
      </w:r>
      <w:r>
        <w:rPr>
          <w:color w:val="231F20"/>
          <w:spacing w:val="40"/>
          <w:sz w:val="16"/>
        </w:rPr>
        <w:t> </w:t>
      </w:r>
      <w:r>
        <w:rPr>
          <w:color w:val="231F20"/>
          <w:sz w:val="16"/>
        </w:rPr>
        <w:t>2005;18:265–276.</w:t>
      </w:r>
    </w:p>
    <w:p>
      <w:pPr>
        <w:pStyle w:val="ListParagraph"/>
        <w:numPr>
          <w:ilvl w:val="0"/>
          <w:numId w:val="9"/>
        </w:numPr>
        <w:tabs>
          <w:tab w:pos="502" w:val="left" w:leader="none"/>
        </w:tabs>
        <w:spacing w:line="172" w:lineRule="exact" w:before="0" w:after="0"/>
        <w:ind w:left="502" w:right="0" w:hanging="246"/>
        <w:jc w:val="left"/>
        <w:rPr>
          <w:sz w:val="16"/>
        </w:rPr>
      </w:pPr>
      <w:r>
        <w:rPr>
          <w:color w:val="231F20"/>
          <w:sz w:val="16"/>
        </w:rPr>
        <w:t>Mancuso</w:t>
      </w:r>
      <w:r>
        <w:rPr>
          <w:color w:val="231F20"/>
          <w:spacing w:val="35"/>
          <w:sz w:val="16"/>
        </w:rPr>
        <w:t>  </w:t>
      </w:r>
      <w:r>
        <w:rPr>
          <w:color w:val="231F20"/>
          <w:sz w:val="16"/>
        </w:rPr>
        <w:t>M,</w:t>
      </w:r>
      <w:r>
        <w:rPr>
          <w:color w:val="231F20"/>
          <w:spacing w:val="37"/>
          <w:sz w:val="16"/>
        </w:rPr>
        <w:t>  </w:t>
      </w:r>
      <w:r>
        <w:rPr>
          <w:color w:val="231F20"/>
          <w:sz w:val="16"/>
        </w:rPr>
        <w:t>Davidzon</w:t>
      </w:r>
      <w:r>
        <w:rPr>
          <w:color w:val="231F20"/>
          <w:spacing w:val="36"/>
          <w:sz w:val="16"/>
        </w:rPr>
        <w:t>  </w:t>
      </w:r>
      <w:r>
        <w:rPr>
          <w:color w:val="231F20"/>
          <w:sz w:val="16"/>
        </w:rPr>
        <w:t>G,</w:t>
      </w:r>
      <w:r>
        <w:rPr>
          <w:color w:val="231F20"/>
          <w:spacing w:val="36"/>
          <w:sz w:val="16"/>
        </w:rPr>
        <w:t>  </w:t>
      </w:r>
      <w:r>
        <w:rPr>
          <w:color w:val="231F20"/>
          <w:sz w:val="16"/>
        </w:rPr>
        <w:t>Kurlan</w:t>
      </w:r>
      <w:r>
        <w:rPr>
          <w:color w:val="231F20"/>
          <w:spacing w:val="36"/>
          <w:sz w:val="16"/>
        </w:rPr>
        <w:t>  </w:t>
      </w:r>
      <w:r>
        <w:rPr>
          <w:color w:val="231F20"/>
          <w:sz w:val="16"/>
        </w:rPr>
        <w:t>RM,</w:t>
      </w:r>
      <w:r>
        <w:rPr>
          <w:color w:val="231F20"/>
          <w:spacing w:val="37"/>
          <w:sz w:val="16"/>
        </w:rPr>
        <w:t> </w:t>
      </w:r>
      <w:r>
        <w:rPr>
          <w:color w:val="231F20"/>
          <w:sz w:val="16"/>
        </w:rPr>
        <w:t>et</w:t>
      </w:r>
      <w:r>
        <w:rPr>
          <w:color w:val="231F20"/>
          <w:spacing w:val="35"/>
          <w:sz w:val="16"/>
        </w:rPr>
        <w:t> </w:t>
      </w:r>
      <w:r>
        <w:rPr>
          <w:color w:val="231F20"/>
          <w:sz w:val="16"/>
        </w:rPr>
        <w:t>al.</w:t>
      </w:r>
      <w:r>
        <w:rPr>
          <w:color w:val="231F20"/>
          <w:spacing w:val="37"/>
          <w:sz w:val="16"/>
        </w:rPr>
        <w:t>  </w:t>
      </w:r>
      <w:r>
        <w:rPr>
          <w:color w:val="231F20"/>
          <w:spacing w:val="-2"/>
          <w:sz w:val="16"/>
        </w:rPr>
        <w:t>Hereditary</w:t>
      </w:r>
    </w:p>
    <w:p>
      <w:pPr>
        <w:spacing w:line="247" w:lineRule="auto" w:before="5"/>
        <w:ind w:left="503" w:right="204" w:firstLine="0"/>
        <w:jc w:val="left"/>
        <w:rPr>
          <w:sz w:val="16"/>
        </w:rPr>
      </w:pPr>
      <w:r>
        <w:rPr>
          <w:color w:val="231F20"/>
          <w:sz w:val="16"/>
        </w:rPr>
        <w:t>ferritinopathy:</w:t>
      </w:r>
      <w:r>
        <w:rPr>
          <w:color w:val="231F20"/>
          <w:spacing w:val="10"/>
          <w:sz w:val="16"/>
        </w:rPr>
        <w:t> </w:t>
      </w:r>
      <w:r>
        <w:rPr>
          <w:color w:val="231F20"/>
          <w:sz w:val="16"/>
        </w:rPr>
        <w:t>a</w:t>
      </w:r>
      <w:r>
        <w:rPr>
          <w:color w:val="231F20"/>
          <w:spacing w:val="7"/>
          <w:sz w:val="16"/>
        </w:rPr>
        <w:t> </w:t>
      </w:r>
      <w:r>
        <w:rPr>
          <w:color w:val="231F20"/>
          <w:sz w:val="16"/>
        </w:rPr>
        <w:t>novel</w:t>
      </w:r>
      <w:r>
        <w:rPr>
          <w:color w:val="231F20"/>
          <w:spacing w:val="7"/>
          <w:sz w:val="16"/>
        </w:rPr>
        <w:t> </w:t>
      </w:r>
      <w:r>
        <w:rPr>
          <w:color w:val="231F20"/>
          <w:sz w:val="16"/>
        </w:rPr>
        <w:t>mutation,</w:t>
      </w:r>
      <w:r>
        <w:rPr>
          <w:color w:val="231F20"/>
          <w:spacing w:val="8"/>
          <w:sz w:val="16"/>
        </w:rPr>
        <w:t> </w:t>
      </w:r>
      <w:r>
        <w:rPr>
          <w:color w:val="231F20"/>
          <w:sz w:val="16"/>
        </w:rPr>
        <w:t>its</w:t>
      </w:r>
      <w:r>
        <w:rPr>
          <w:color w:val="231F20"/>
          <w:spacing w:val="7"/>
          <w:sz w:val="16"/>
        </w:rPr>
        <w:t> </w:t>
      </w:r>
      <w:r>
        <w:rPr>
          <w:color w:val="231F20"/>
          <w:sz w:val="16"/>
        </w:rPr>
        <w:t>cellular</w:t>
      </w:r>
      <w:r>
        <w:rPr>
          <w:color w:val="231F20"/>
          <w:spacing w:val="7"/>
          <w:sz w:val="16"/>
        </w:rPr>
        <w:t> </w:t>
      </w:r>
      <w:r>
        <w:rPr>
          <w:color w:val="231F20"/>
          <w:sz w:val="16"/>
        </w:rPr>
        <w:t>pathology,</w:t>
      </w:r>
      <w:r>
        <w:rPr>
          <w:color w:val="231F20"/>
          <w:spacing w:val="8"/>
          <w:sz w:val="16"/>
        </w:rPr>
        <w:t> </w:t>
      </w:r>
      <w:r>
        <w:rPr>
          <w:color w:val="231F20"/>
          <w:sz w:val="16"/>
        </w:rPr>
        <w:t>and</w:t>
      </w:r>
      <w:r>
        <w:rPr>
          <w:color w:val="231F20"/>
          <w:spacing w:val="6"/>
          <w:sz w:val="16"/>
        </w:rPr>
        <w:t> </w:t>
      </w:r>
      <w:r>
        <w:rPr>
          <w:color w:val="231F20"/>
          <w:sz w:val="16"/>
        </w:rPr>
        <w:t>patho-</w:t>
      </w:r>
      <w:r>
        <w:rPr>
          <w:color w:val="231F20"/>
          <w:spacing w:val="40"/>
          <w:sz w:val="16"/>
        </w:rPr>
        <w:t> </w:t>
      </w:r>
      <w:r>
        <w:rPr>
          <w:color w:val="231F20"/>
          <w:sz w:val="16"/>
        </w:rPr>
        <w:t>genetic</w:t>
      </w:r>
      <w:r>
        <w:rPr>
          <w:color w:val="231F20"/>
          <w:spacing w:val="22"/>
          <w:sz w:val="16"/>
        </w:rPr>
        <w:t> </w:t>
      </w:r>
      <w:r>
        <w:rPr>
          <w:color w:val="231F20"/>
          <w:sz w:val="16"/>
        </w:rPr>
        <w:t>insights.</w:t>
      </w:r>
      <w:r>
        <w:rPr>
          <w:color w:val="231F20"/>
          <w:spacing w:val="22"/>
          <w:sz w:val="16"/>
        </w:rPr>
        <w:t> </w:t>
      </w:r>
      <w:r>
        <w:rPr>
          <w:color w:val="231F20"/>
          <w:sz w:val="16"/>
        </w:rPr>
        <w:t>J</w:t>
      </w:r>
      <w:r>
        <w:rPr>
          <w:color w:val="231F20"/>
          <w:spacing w:val="22"/>
          <w:sz w:val="16"/>
        </w:rPr>
        <w:t> </w:t>
      </w:r>
      <w:r>
        <w:rPr>
          <w:color w:val="231F20"/>
          <w:sz w:val="16"/>
        </w:rPr>
        <w:t>Neuropathol</w:t>
      </w:r>
      <w:r>
        <w:rPr>
          <w:color w:val="231F20"/>
          <w:spacing w:val="22"/>
          <w:sz w:val="16"/>
        </w:rPr>
        <w:t> </w:t>
      </w:r>
      <w:r>
        <w:rPr>
          <w:color w:val="231F20"/>
          <w:sz w:val="16"/>
        </w:rPr>
        <w:t>Exp</w:t>
      </w:r>
      <w:r>
        <w:rPr>
          <w:color w:val="231F20"/>
          <w:spacing w:val="22"/>
          <w:sz w:val="16"/>
        </w:rPr>
        <w:t> </w:t>
      </w:r>
      <w:r>
        <w:rPr>
          <w:color w:val="231F20"/>
          <w:sz w:val="16"/>
        </w:rPr>
        <w:t>Neurol</w:t>
      </w:r>
      <w:r>
        <w:rPr>
          <w:color w:val="231F20"/>
          <w:spacing w:val="80"/>
          <w:sz w:val="16"/>
        </w:rPr>
        <w:t> </w:t>
      </w:r>
      <w:r>
        <w:rPr>
          <w:color w:val="231F20"/>
          <w:sz w:val="16"/>
        </w:rPr>
        <w:t>2005;64:</w:t>
      </w:r>
      <w:r>
        <w:rPr>
          <w:color w:val="231F20"/>
          <w:spacing w:val="22"/>
          <w:sz w:val="16"/>
        </w:rPr>
        <w:t> </w:t>
      </w:r>
      <w:r>
        <w:rPr>
          <w:color w:val="231F20"/>
          <w:sz w:val="16"/>
        </w:rPr>
        <w:t>280–294.</w:t>
      </w:r>
    </w:p>
    <w:p>
      <w:pPr>
        <w:pStyle w:val="BodyText"/>
        <w:spacing w:before="175"/>
        <w:rPr>
          <w:sz w:val="16"/>
        </w:rPr>
      </w:pPr>
    </w:p>
    <w:p>
      <w:pPr>
        <w:pStyle w:val="Heading1"/>
        <w:spacing w:line="247" w:lineRule="auto"/>
        <w:ind w:right="219"/>
      </w:pPr>
      <w:r>
        <w:rPr>
          <w:color w:val="231F20"/>
          <w:w w:val="105"/>
        </w:rPr>
        <w:t>Complex Hyperkinetic Movement </w:t>
      </w:r>
      <w:r>
        <w:rPr>
          <w:color w:val="231F20"/>
          <w:w w:val="105"/>
        </w:rPr>
        <w:t>Disorders Associated with </w:t>
      </w:r>
      <w:r>
        <w:rPr>
          <w:i/>
          <w:color w:val="231F20"/>
          <w:w w:val="105"/>
        </w:rPr>
        <w:t>POLG </w:t>
      </w:r>
      <w:r>
        <w:rPr>
          <w:color w:val="231F20"/>
          <w:w w:val="105"/>
        </w:rPr>
        <w:t>Mutations</w:t>
      </w:r>
    </w:p>
    <w:p>
      <w:pPr>
        <w:pStyle w:val="BodyText"/>
        <w:spacing w:before="65"/>
        <w:rPr>
          <w:sz w:val="22"/>
        </w:rPr>
      </w:pPr>
    </w:p>
    <w:p>
      <w:pPr>
        <w:pStyle w:val="BodyText"/>
        <w:ind w:left="456" w:firstLine="3011"/>
        <w:rPr>
          <w:position w:val="-12"/>
        </w:rPr>
      </w:pPr>
      <w:r>
        <w:rPr>
          <w:color w:val="231F20"/>
        </w:rPr>
        <w:t>Video </w:t>
      </w:r>
      <w:r>
        <w:rPr>
          <w:color w:val="231F20"/>
          <w:spacing w:val="14"/>
          <w:position w:val="-12"/>
        </w:rPr>
        <w:drawing>
          <wp:inline distT="0" distB="0" distL="0" distR="0">
            <wp:extent cx="539280" cy="226080"/>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8" cstate="print"/>
                    <a:stretch>
                      <a:fillRect/>
                    </a:stretch>
                  </pic:blipFill>
                  <pic:spPr>
                    <a:xfrm>
                      <a:off x="0" y="0"/>
                      <a:ext cx="539280" cy="226080"/>
                    </a:xfrm>
                    <a:prstGeom prst="rect">
                      <a:avLst/>
                    </a:prstGeom>
                  </pic:spPr>
                </pic:pic>
              </a:graphicData>
            </a:graphic>
          </wp:inline>
        </w:drawing>
      </w:r>
      <w:r>
        <w:rPr>
          <w:color w:val="231F20"/>
          <w:spacing w:val="14"/>
          <w:position w:val="-12"/>
        </w:rPr>
      </w:r>
    </w:p>
    <w:p>
      <w:pPr>
        <w:pStyle w:val="BodyText"/>
        <w:spacing w:before="203"/>
      </w:pPr>
    </w:p>
    <w:p>
      <w:pPr>
        <w:pStyle w:val="BodyText"/>
        <w:spacing w:line="230" w:lineRule="auto"/>
        <w:ind w:left="256" w:right="216" w:firstLine="199"/>
        <w:jc w:val="both"/>
      </w:pPr>
      <w:r>
        <w:rPr>
          <w:color w:val="231F20"/>
        </w:rPr>
        <w:t>Patients presenting with complex hyperkinetic </w:t>
      </w:r>
      <w:r>
        <w:rPr>
          <w:color w:val="231F20"/>
        </w:rPr>
        <w:t>movement disorders remain a major diagnostic challenge due to difﬁcul- ties in clinical classiﬁcation and an increasing number of associated monogenetic diseases.</w:t>
      </w:r>
      <w:r>
        <w:rPr>
          <w:color w:val="231F20"/>
          <w:vertAlign w:val="superscript"/>
        </w:rPr>
        <w:t>1</w:t>
      </w:r>
    </w:p>
    <w:p>
      <w:pPr>
        <w:pStyle w:val="BodyText"/>
        <w:spacing w:line="230" w:lineRule="auto" w:before="3"/>
        <w:ind w:left="256" w:right="217" w:firstLine="199"/>
        <w:jc w:val="both"/>
      </w:pPr>
      <w:r>
        <w:rPr>
          <w:color w:val="231F20"/>
        </w:rPr>
        <w:t>Mutations in the mitochondrial DNA polymerase </w:t>
      </w:r>
      <w:r>
        <w:rPr>
          <w:color w:val="231F20"/>
        </w:rPr>
        <w:t>gamma (</w:t>
      </w:r>
      <w:r>
        <w:rPr>
          <w:i/>
          <w:color w:val="231F20"/>
        </w:rPr>
        <w:t>POLG</w:t>
      </w:r>
      <w:r>
        <w:rPr>
          <w:color w:val="231F20"/>
        </w:rPr>
        <w:t>) have been described to cause a broad variety of phe- notypes,</w:t>
      </w:r>
      <w:r>
        <w:rPr>
          <w:color w:val="231F20"/>
          <w:vertAlign w:val="superscript"/>
        </w:rPr>
        <w:t>2</w:t>
      </w:r>
      <w:r>
        <w:rPr>
          <w:color w:val="231F20"/>
          <w:spacing w:val="61"/>
          <w:vertAlign w:val="baseline"/>
        </w:rPr>
        <w:t> </w:t>
      </w:r>
      <w:r>
        <w:rPr>
          <w:color w:val="231F20"/>
          <w:vertAlign w:val="baseline"/>
        </w:rPr>
        <w:t>but</w:t>
      </w:r>
      <w:r>
        <w:rPr>
          <w:color w:val="231F20"/>
          <w:spacing w:val="62"/>
          <w:vertAlign w:val="baseline"/>
        </w:rPr>
        <w:t> </w:t>
      </w:r>
      <w:r>
        <w:rPr>
          <w:color w:val="231F20"/>
          <w:vertAlign w:val="baseline"/>
        </w:rPr>
        <w:t>chorea,</w:t>
      </w:r>
      <w:r>
        <w:rPr>
          <w:color w:val="231F20"/>
          <w:spacing w:val="62"/>
          <w:vertAlign w:val="baseline"/>
        </w:rPr>
        <w:t> </w:t>
      </w:r>
      <w:r>
        <w:rPr>
          <w:color w:val="231F20"/>
          <w:vertAlign w:val="baseline"/>
        </w:rPr>
        <w:t>dystonia,</w:t>
      </w:r>
      <w:r>
        <w:rPr>
          <w:color w:val="231F20"/>
          <w:spacing w:val="61"/>
          <w:vertAlign w:val="baseline"/>
        </w:rPr>
        <w:t> </w:t>
      </w:r>
      <w:r>
        <w:rPr>
          <w:color w:val="231F20"/>
          <w:vertAlign w:val="baseline"/>
        </w:rPr>
        <w:t>and</w:t>
      </w:r>
      <w:r>
        <w:rPr>
          <w:color w:val="231F20"/>
          <w:spacing w:val="62"/>
          <w:vertAlign w:val="baseline"/>
        </w:rPr>
        <w:t> </w:t>
      </w:r>
      <w:r>
        <w:rPr>
          <w:color w:val="231F20"/>
          <w:vertAlign w:val="baseline"/>
        </w:rPr>
        <w:t>myoclonus</w:t>
      </w:r>
      <w:r>
        <w:rPr>
          <w:color w:val="231F20"/>
          <w:spacing w:val="62"/>
          <w:vertAlign w:val="baseline"/>
        </w:rPr>
        <w:t> </w:t>
      </w:r>
      <w:r>
        <w:rPr>
          <w:color w:val="231F20"/>
          <w:vertAlign w:val="baseline"/>
        </w:rPr>
        <w:t>have</w:t>
      </w:r>
      <w:r>
        <w:rPr>
          <w:color w:val="231F20"/>
          <w:spacing w:val="61"/>
          <w:vertAlign w:val="baseline"/>
        </w:rPr>
        <w:t> </w:t>
      </w:r>
      <w:r>
        <w:rPr>
          <w:color w:val="231F20"/>
          <w:spacing w:val="-4"/>
          <w:vertAlign w:val="baseline"/>
        </w:rPr>
        <w:t>only</w:t>
      </w:r>
    </w:p>
    <w:p>
      <w:pPr>
        <w:pStyle w:val="BodyText"/>
        <w:spacing w:after="0" w:line="230" w:lineRule="auto"/>
        <w:jc w:val="both"/>
        <w:sectPr>
          <w:type w:val="continuous"/>
          <w:pgSz w:w="12240" w:h="16200"/>
          <w:pgMar w:top="1060" w:bottom="280" w:left="1080" w:right="1080"/>
          <w:cols w:num="2" w:equalWidth="0">
            <w:col w:w="4863" w:space="178"/>
            <w:col w:w="5039"/>
          </w:cols>
        </w:sectPr>
      </w:pPr>
    </w:p>
    <w:p>
      <w:pPr>
        <w:pStyle w:val="BodyText"/>
        <w:tabs>
          <w:tab w:pos="5297" w:val="left" w:leader="none"/>
          <w:tab w:pos="9860" w:val="left" w:leader="none"/>
        </w:tabs>
        <w:ind w:left="256"/>
      </w:pPr>
      <w:r>
        <w:rPr>
          <w:color w:val="231F20"/>
          <w:spacing w:val="-2"/>
        </w:rPr>
        <w:t>Pharmaceuticals,</w:t>
      </w:r>
      <w:r>
        <w:rPr>
          <w:color w:val="231F20"/>
          <w:spacing w:val="-10"/>
        </w:rPr>
        <w:t> </w:t>
      </w:r>
      <w:r>
        <w:rPr>
          <w:color w:val="231F20"/>
          <w:spacing w:val="-2"/>
        </w:rPr>
        <w:t>Lundbeck,</w:t>
      </w:r>
      <w:r>
        <w:rPr>
          <w:color w:val="231F20"/>
          <w:spacing w:val="-8"/>
        </w:rPr>
        <w:t> </w:t>
      </w:r>
      <w:r>
        <w:rPr>
          <w:color w:val="231F20"/>
          <w:spacing w:val="-2"/>
        </w:rPr>
        <w:t>Inc.,</w:t>
      </w:r>
      <w:r>
        <w:rPr>
          <w:color w:val="231F20"/>
          <w:spacing w:val="-7"/>
        </w:rPr>
        <w:t> </w:t>
      </w:r>
      <w:r>
        <w:rPr>
          <w:color w:val="231F20"/>
          <w:spacing w:val="-2"/>
        </w:rPr>
        <w:t>and</w:t>
      </w:r>
      <w:r>
        <w:rPr>
          <w:color w:val="231F20"/>
          <w:spacing w:val="-8"/>
        </w:rPr>
        <w:t> </w:t>
      </w:r>
      <w:r>
        <w:rPr>
          <w:color w:val="231F20"/>
          <w:spacing w:val="-4"/>
        </w:rPr>
        <w:t>TEVA.</w:t>
      </w:r>
      <w:r>
        <w:rPr>
          <w:color w:val="231F20"/>
        </w:rPr>
        <w:tab/>
      </w:r>
      <w:r>
        <w:rPr>
          <w:color w:val="231F20"/>
          <w:u w:val="single" w:color="231F20"/>
        </w:rPr>
        <w:tab/>
      </w:r>
    </w:p>
    <w:p>
      <w:pPr>
        <w:spacing w:line="129" w:lineRule="exact" w:before="12"/>
        <w:ind w:left="5457" w:right="0" w:firstLine="0"/>
        <w:jc w:val="left"/>
        <w:rPr>
          <w:sz w:val="16"/>
        </w:rPr>
      </w:pPr>
      <w:r>
        <w:rPr>
          <w:color w:val="231F20"/>
          <w:sz w:val="16"/>
        </w:rPr>
        <w:t>Additional</w:t>
      </w:r>
      <w:r>
        <w:rPr>
          <w:color w:val="231F20"/>
          <w:spacing w:val="46"/>
          <w:sz w:val="16"/>
        </w:rPr>
        <w:t> </w:t>
      </w:r>
      <w:r>
        <w:rPr>
          <w:color w:val="231F20"/>
          <w:sz w:val="16"/>
        </w:rPr>
        <w:t>Supporting</w:t>
      </w:r>
      <w:r>
        <w:rPr>
          <w:color w:val="231F20"/>
          <w:spacing w:val="47"/>
          <w:sz w:val="16"/>
        </w:rPr>
        <w:t> </w:t>
      </w:r>
      <w:r>
        <w:rPr>
          <w:color w:val="231F20"/>
          <w:sz w:val="16"/>
        </w:rPr>
        <w:t>Information</w:t>
      </w:r>
      <w:r>
        <w:rPr>
          <w:color w:val="231F20"/>
          <w:spacing w:val="46"/>
          <w:sz w:val="16"/>
        </w:rPr>
        <w:t> </w:t>
      </w:r>
      <w:r>
        <w:rPr>
          <w:color w:val="231F20"/>
          <w:sz w:val="16"/>
        </w:rPr>
        <w:t>may</w:t>
      </w:r>
      <w:r>
        <w:rPr>
          <w:color w:val="231F20"/>
          <w:spacing w:val="48"/>
          <w:sz w:val="16"/>
        </w:rPr>
        <w:t> </w:t>
      </w:r>
      <w:r>
        <w:rPr>
          <w:color w:val="231F20"/>
          <w:sz w:val="16"/>
        </w:rPr>
        <w:t>be</w:t>
      </w:r>
      <w:r>
        <w:rPr>
          <w:color w:val="231F20"/>
          <w:spacing w:val="47"/>
          <w:sz w:val="16"/>
        </w:rPr>
        <w:t> </w:t>
      </w:r>
      <w:r>
        <w:rPr>
          <w:color w:val="231F20"/>
          <w:sz w:val="16"/>
        </w:rPr>
        <w:t>found</w:t>
      </w:r>
      <w:r>
        <w:rPr>
          <w:color w:val="231F20"/>
          <w:spacing w:val="47"/>
          <w:sz w:val="16"/>
        </w:rPr>
        <w:t> </w:t>
      </w:r>
      <w:r>
        <w:rPr>
          <w:color w:val="231F20"/>
          <w:sz w:val="16"/>
        </w:rPr>
        <w:t>in</w:t>
      </w:r>
      <w:r>
        <w:rPr>
          <w:color w:val="231F20"/>
          <w:spacing w:val="48"/>
          <w:sz w:val="16"/>
        </w:rPr>
        <w:t> </w:t>
      </w:r>
      <w:r>
        <w:rPr>
          <w:color w:val="231F20"/>
          <w:sz w:val="16"/>
        </w:rPr>
        <w:t>the</w:t>
      </w:r>
      <w:r>
        <w:rPr>
          <w:color w:val="231F20"/>
          <w:spacing w:val="48"/>
          <w:sz w:val="16"/>
        </w:rPr>
        <w:t> </w:t>
      </w:r>
      <w:r>
        <w:rPr>
          <w:color w:val="231F20"/>
          <w:spacing w:val="-2"/>
          <w:sz w:val="16"/>
        </w:rPr>
        <w:t>online</w:t>
      </w:r>
    </w:p>
    <w:p>
      <w:pPr>
        <w:spacing w:after="0" w:line="129" w:lineRule="exact"/>
        <w:jc w:val="left"/>
        <w:rPr>
          <w:sz w:val="16"/>
        </w:rPr>
        <w:sectPr>
          <w:type w:val="continuous"/>
          <w:pgSz w:w="12240" w:h="16200"/>
          <w:pgMar w:top="1060" w:bottom="280" w:left="1080" w:right="1080"/>
        </w:sectPr>
      </w:pPr>
    </w:p>
    <w:p>
      <w:pPr>
        <w:pStyle w:val="BodyText"/>
        <w:spacing w:line="175" w:lineRule="exact"/>
        <w:ind w:left="456"/>
        <w:jc w:val="both"/>
      </w:pPr>
      <w:r>
        <w:rPr>
          <w:color w:val="231F20"/>
        </w:rPr>
        <w:t>Author</w:t>
      </w:r>
      <w:r>
        <w:rPr>
          <w:color w:val="231F20"/>
          <w:spacing w:val="30"/>
        </w:rPr>
        <w:t> </w:t>
      </w:r>
      <w:r>
        <w:rPr>
          <w:color w:val="231F20"/>
        </w:rPr>
        <w:t>Roles:</w:t>
      </w:r>
      <w:r>
        <w:rPr>
          <w:color w:val="231F20"/>
          <w:spacing w:val="30"/>
        </w:rPr>
        <w:t> </w:t>
      </w:r>
      <w:r>
        <w:rPr>
          <w:color w:val="231F20"/>
        </w:rPr>
        <w:t>Dr.</w:t>
      </w:r>
      <w:r>
        <w:rPr>
          <w:color w:val="231F20"/>
          <w:spacing w:val="30"/>
        </w:rPr>
        <w:t> </w:t>
      </w:r>
      <w:r>
        <w:rPr>
          <w:color w:val="231F20"/>
        </w:rPr>
        <w:t>Ondo:</w:t>
      </w:r>
      <w:r>
        <w:rPr>
          <w:color w:val="231F20"/>
          <w:spacing w:val="30"/>
        </w:rPr>
        <w:t> </w:t>
      </w:r>
      <w:r>
        <w:rPr>
          <w:color w:val="231F20"/>
        </w:rPr>
        <w:t>inception,</w:t>
      </w:r>
      <w:r>
        <w:rPr>
          <w:color w:val="231F20"/>
          <w:spacing w:val="30"/>
        </w:rPr>
        <w:t> </w:t>
      </w:r>
      <w:r>
        <w:rPr>
          <w:color w:val="231F20"/>
        </w:rPr>
        <w:t>data</w:t>
      </w:r>
      <w:r>
        <w:rPr>
          <w:color w:val="231F20"/>
          <w:spacing w:val="31"/>
        </w:rPr>
        <w:t> </w:t>
      </w:r>
      <w:r>
        <w:rPr>
          <w:color w:val="231F20"/>
        </w:rPr>
        <w:t>collection,</w:t>
      </w:r>
      <w:r>
        <w:rPr>
          <w:color w:val="231F20"/>
          <w:spacing w:val="30"/>
        </w:rPr>
        <w:t> </w:t>
      </w:r>
      <w:r>
        <w:rPr>
          <w:color w:val="231F20"/>
          <w:spacing w:val="-2"/>
        </w:rPr>
        <w:t>draft-</w:t>
      </w:r>
    </w:p>
    <w:p>
      <w:pPr>
        <w:pStyle w:val="BodyText"/>
        <w:spacing w:line="230" w:lineRule="auto" w:before="3"/>
        <w:ind w:left="256" w:right="38"/>
        <w:jc w:val="both"/>
      </w:pPr>
      <w:r>
        <w:rPr>
          <w:color w:val="231F20"/>
        </w:rPr>
        <w:t>ing, and reviewing of the article. Dr. Adam: critical </w:t>
      </w:r>
      <w:r>
        <w:rPr>
          <w:color w:val="231F20"/>
        </w:rPr>
        <w:t>review.</w:t>
      </w:r>
      <w:r>
        <w:rPr>
          <w:color w:val="231F20"/>
          <w:spacing w:val="80"/>
        </w:rPr>
        <w:t> </w:t>
      </w:r>
      <w:r>
        <w:rPr>
          <w:color w:val="231F20"/>
        </w:rPr>
        <w:t>Dr. Jankovic: critical review. Dr. Chinnery: data collection/ analysis and critical review.</w:t>
      </w:r>
    </w:p>
    <w:p>
      <w:pPr>
        <w:spacing w:line="182" w:lineRule="exact" w:before="50"/>
        <w:ind w:left="256" w:right="0" w:firstLine="0"/>
        <w:jc w:val="left"/>
        <w:rPr>
          <w:sz w:val="16"/>
        </w:rPr>
      </w:pPr>
      <w:r>
        <w:rPr/>
        <w:br w:type="column"/>
      </w:r>
      <w:r>
        <w:rPr>
          <w:color w:val="231F20"/>
          <w:sz w:val="16"/>
        </w:rPr>
        <w:t>version</w:t>
      </w:r>
      <w:r>
        <w:rPr>
          <w:color w:val="231F20"/>
          <w:spacing w:val="8"/>
          <w:sz w:val="16"/>
        </w:rPr>
        <w:t> </w:t>
      </w:r>
      <w:r>
        <w:rPr>
          <w:color w:val="231F20"/>
          <w:sz w:val="16"/>
        </w:rPr>
        <w:t>of</w:t>
      </w:r>
      <w:r>
        <w:rPr>
          <w:color w:val="231F20"/>
          <w:spacing w:val="10"/>
          <w:sz w:val="16"/>
        </w:rPr>
        <w:t> </w:t>
      </w:r>
      <w:r>
        <w:rPr>
          <w:color w:val="231F20"/>
          <w:sz w:val="16"/>
        </w:rPr>
        <w:t>this</w:t>
      </w:r>
      <w:r>
        <w:rPr>
          <w:color w:val="231F20"/>
          <w:spacing w:val="9"/>
          <w:sz w:val="16"/>
        </w:rPr>
        <w:t> </w:t>
      </w:r>
      <w:r>
        <w:rPr>
          <w:color w:val="231F20"/>
          <w:spacing w:val="-2"/>
          <w:sz w:val="16"/>
        </w:rPr>
        <w:t>article.</w:t>
      </w:r>
    </w:p>
    <w:p>
      <w:pPr>
        <w:spacing w:line="179" w:lineRule="exact" w:before="0"/>
        <w:ind w:left="416" w:right="0" w:firstLine="0"/>
        <w:jc w:val="left"/>
        <w:rPr>
          <w:sz w:val="16"/>
        </w:rPr>
      </w:pPr>
      <w:r>
        <w:rPr>
          <w:color w:val="231F20"/>
          <w:sz w:val="16"/>
        </w:rPr>
        <w:t>Potential</w:t>
      </w:r>
      <w:r>
        <w:rPr>
          <w:color w:val="231F20"/>
          <w:spacing w:val="9"/>
          <w:sz w:val="16"/>
        </w:rPr>
        <w:t> </w:t>
      </w:r>
      <w:r>
        <w:rPr>
          <w:color w:val="231F20"/>
          <w:sz w:val="16"/>
        </w:rPr>
        <w:t>conﬂict</w:t>
      </w:r>
      <w:r>
        <w:rPr>
          <w:color w:val="231F20"/>
          <w:spacing w:val="10"/>
          <w:sz w:val="16"/>
        </w:rPr>
        <w:t> </w:t>
      </w:r>
      <w:r>
        <w:rPr>
          <w:color w:val="231F20"/>
          <w:sz w:val="16"/>
        </w:rPr>
        <w:t>of</w:t>
      </w:r>
      <w:r>
        <w:rPr>
          <w:color w:val="231F20"/>
          <w:spacing w:val="11"/>
          <w:sz w:val="16"/>
        </w:rPr>
        <w:t> </w:t>
      </w:r>
      <w:r>
        <w:rPr>
          <w:color w:val="231F20"/>
          <w:sz w:val="16"/>
        </w:rPr>
        <w:t>interest:</w:t>
      </w:r>
      <w:r>
        <w:rPr>
          <w:color w:val="231F20"/>
          <w:spacing w:val="10"/>
          <w:sz w:val="16"/>
        </w:rPr>
        <w:t> </w:t>
      </w:r>
      <w:r>
        <w:rPr>
          <w:color w:val="231F20"/>
          <w:sz w:val="16"/>
        </w:rPr>
        <w:t>Nothing</w:t>
      </w:r>
      <w:r>
        <w:rPr>
          <w:color w:val="231F20"/>
          <w:spacing w:val="10"/>
          <w:sz w:val="16"/>
        </w:rPr>
        <w:t> </w:t>
      </w:r>
      <w:r>
        <w:rPr>
          <w:color w:val="231F20"/>
          <w:sz w:val="16"/>
        </w:rPr>
        <w:t>to</w:t>
      </w:r>
      <w:r>
        <w:rPr>
          <w:color w:val="231F20"/>
          <w:spacing w:val="10"/>
          <w:sz w:val="16"/>
        </w:rPr>
        <w:t> </w:t>
      </w:r>
      <w:r>
        <w:rPr>
          <w:color w:val="231F20"/>
          <w:spacing w:val="-2"/>
          <w:sz w:val="16"/>
        </w:rPr>
        <w:t>report.</w:t>
      </w:r>
    </w:p>
    <w:p>
      <w:pPr>
        <w:spacing w:line="232" w:lineRule="auto" w:before="2"/>
        <w:ind w:left="256" w:right="204" w:firstLine="159"/>
        <w:jc w:val="left"/>
        <w:rPr>
          <w:sz w:val="16"/>
        </w:rPr>
      </w:pPr>
      <w:r>
        <w:rPr>
          <w:color w:val="231F20"/>
          <w:w w:val="105"/>
          <w:sz w:val="16"/>
        </w:rPr>
        <w:t>Published</w:t>
      </w:r>
      <w:r>
        <w:rPr>
          <w:color w:val="231F20"/>
          <w:spacing w:val="37"/>
          <w:w w:val="105"/>
          <w:sz w:val="16"/>
        </w:rPr>
        <w:t> </w:t>
      </w:r>
      <w:r>
        <w:rPr>
          <w:color w:val="231F20"/>
          <w:w w:val="105"/>
          <w:sz w:val="16"/>
        </w:rPr>
        <w:t>online</w:t>
      </w:r>
      <w:r>
        <w:rPr>
          <w:color w:val="231F20"/>
          <w:spacing w:val="39"/>
          <w:w w:val="105"/>
          <w:sz w:val="16"/>
        </w:rPr>
        <w:t> </w:t>
      </w:r>
      <w:r>
        <w:rPr>
          <w:color w:val="231F20"/>
          <w:w w:val="105"/>
          <w:sz w:val="16"/>
        </w:rPr>
        <w:t>3</w:t>
      </w:r>
      <w:r>
        <w:rPr>
          <w:color w:val="231F20"/>
          <w:spacing w:val="39"/>
          <w:w w:val="105"/>
          <w:sz w:val="16"/>
        </w:rPr>
        <w:t> </w:t>
      </w:r>
      <w:r>
        <w:rPr>
          <w:color w:val="231F20"/>
          <w:w w:val="105"/>
          <w:sz w:val="16"/>
        </w:rPr>
        <w:t>September</w:t>
      </w:r>
      <w:r>
        <w:rPr>
          <w:color w:val="231F20"/>
          <w:spacing w:val="38"/>
          <w:w w:val="105"/>
          <w:sz w:val="16"/>
        </w:rPr>
        <w:t> </w:t>
      </w:r>
      <w:r>
        <w:rPr>
          <w:color w:val="231F20"/>
          <w:w w:val="105"/>
          <w:sz w:val="16"/>
        </w:rPr>
        <w:t>2010</w:t>
      </w:r>
      <w:r>
        <w:rPr>
          <w:color w:val="231F20"/>
          <w:spacing w:val="39"/>
          <w:w w:val="105"/>
          <w:sz w:val="16"/>
        </w:rPr>
        <w:t> </w:t>
      </w:r>
      <w:r>
        <w:rPr>
          <w:color w:val="231F20"/>
          <w:w w:val="105"/>
          <w:sz w:val="16"/>
        </w:rPr>
        <w:t>in</w:t>
      </w:r>
      <w:r>
        <w:rPr>
          <w:color w:val="231F20"/>
          <w:spacing w:val="39"/>
          <w:w w:val="105"/>
          <w:sz w:val="16"/>
        </w:rPr>
        <w:t> </w:t>
      </w:r>
      <w:r>
        <w:rPr>
          <w:color w:val="231F20"/>
          <w:w w:val="105"/>
          <w:sz w:val="16"/>
        </w:rPr>
        <w:t>Wiley</w:t>
      </w:r>
      <w:r>
        <w:rPr>
          <w:color w:val="231F20"/>
          <w:spacing w:val="38"/>
          <w:w w:val="105"/>
          <w:sz w:val="16"/>
        </w:rPr>
        <w:t> </w:t>
      </w:r>
      <w:r>
        <w:rPr>
          <w:color w:val="231F20"/>
          <w:w w:val="105"/>
          <w:sz w:val="16"/>
        </w:rPr>
        <w:t>Online</w:t>
      </w:r>
      <w:r>
        <w:rPr>
          <w:color w:val="231F20"/>
          <w:spacing w:val="38"/>
          <w:w w:val="105"/>
          <w:sz w:val="16"/>
        </w:rPr>
        <w:t> </w:t>
      </w:r>
      <w:r>
        <w:rPr>
          <w:color w:val="231F20"/>
          <w:w w:val="105"/>
          <w:sz w:val="16"/>
        </w:rPr>
        <w:t>Library (wileyonlinelibrary.com).</w:t>
      </w:r>
      <w:r>
        <w:rPr>
          <w:color w:val="231F20"/>
          <w:spacing w:val="40"/>
          <w:w w:val="105"/>
          <w:sz w:val="16"/>
        </w:rPr>
        <w:t> </w:t>
      </w:r>
      <w:r>
        <w:rPr>
          <w:color w:val="231F20"/>
          <w:w w:val="105"/>
          <w:sz w:val="16"/>
        </w:rPr>
        <w:t>DOI: 10.1002/mds.23307</w:t>
      </w:r>
    </w:p>
    <w:p>
      <w:pPr>
        <w:spacing w:after="0" w:line="232" w:lineRule="auto"/>
        <w:jc w:val="left"/>
        <w:rPr>
          <w:sz w:val="16"/>
        </w:rPr>
        <w:sectPr>
          <w:type w:val="continuous"/>
          <w:pgSz w:w="12240" w:h="16200"/>
          <w:pgMar w:top="1060" w:bottom="280" w:left="1080" w:right="1080"/>
          <w:cols w:num="2" w:equalWidth="0">
            <w:col w:w="4860" w:space="181"/>
            <w:col w:w="5039"/>
          </w:cols>
        </w:sectPr>
      </w:pPr>
    </w:p>
    <w:p>
      <w:pPr>
        <w:pStyle w:val="BodyText"/>
        <w:rPr>
          <w:sz w:val="14"/>
        </w:rPr>
      </w:pPr>
      <w:r>
        <w:rPr>
          <w:sz w:val="14"/>
        </w:rPr>
        <mc:AlternateContent>
          <mc:Choice Requires="wps">
            <w:drawing>
              <wp:anchor distT="0" distB="0" distL="0" distR="0" allowOverlap="1" layoutInCell="1" locked="0" behindDoc="0" simplePos="0" relativeHeight="15739392">
                <wp:simplePos x="0" y="0"/>
                <wp:positionH relativeFrom="page">
                  <wp:posOffset>7555927</wp:posOffset>
                </wp:positionH>
                <wp:positionV relativeFrom="page">
                  <wp:posOffset>208819</wp:posOffset>
                </wp:positionV>
                <wp:extent cx="95885" cy="987552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95885" cy="9875520"/>
                        </a:xfrm>
                        <a:prstGeom prst="rect">
                          <a:avLst/>
                        </a:prstGeom>
                      </wps:spPr>
                      <wps:txbx>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wps:txbx>
                      <wps:bodyPr wrap="square" lIns="0" tIns="0" rIns="0" bIns="0" rtlCol="0" vert="vert">
                        <a:noAutofit/>
                      </wps:bodyPr>
                    </wps:wsp>
                  </a:graphicData>
                </a:graphic>
              </wp:anchor>
            </w:drawing>
          </mc:Choice>
          <mc:Fallback>
            <w:pict>
              <v:shape style="position:absolute;margin-left:594.954956pt;margin-top:16.442499pt;width:7.55pt;height:777.6pt;mso-position-horizontal-relative:page;mso-position-vertical-relative:page;z-index:15739392" type="#_x0000_t202" id="docshape19" filled="false" stroked="false">
                <v:textbox inset="0,0,0,0" style="layout-flow:vertical">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v:textbox>
                <w10:wrap type="none"/>
              </v:shape>
            </w:pict>
          </mc:Fallback>
        </mc:AlternateContent>
      </w:r>
    </w:p>
    <w:p>
      <w:pPr>
        <w:pStyle w:val="BodyText"/>
        <w:rPr>
          <w:sz w:val="14"/>
        </w:rPr>
      </w:pPr>
    </w:p>
    <w:p>
      <w:pPr>
        <w:pStyle w:val="BodyText"/>
        <w:rPr>
          <w:sz w:val="14"/>
        </w:rPr>
      </w:pPr>
    </w:p>
    <w:p>
      <w:pPr>
        <w:pStyle w:val="BodyText"/>
        <w:spacing w:before="35"/>
        <w:rPr>
          <w:sz w:val="14"/>
        </w:rPr>
      </w:pPr>
    </w:p>
    <w:p>
      <w:pPr>
        <w:spacing w:before="0"/>
        <w:ind w:left="256" w:right="0" w:firstLine="0"/>
        <w:jc w:val="left"/>
        <w:rPr>
          <w:i/>
          <w:sz w:val="14"/>
        </w:rPr>
      </w:pPr>
      <w:r>
        <w:rPr>
          <w:i/>
          <w:color w:val="231F20"/>
          <w:sz w:val="14"/>
        </w:rPr>
        <w:t>Movement</w:t>
      </w:r>
      <w:r>
        <w:rPr>
          <w:i/>
          <w:color w:val="231F20"/>
          <w:spacing w:val="8"/>
          <w:sz w:val="14"/>
        </w:rPr>
        <w:t> </w:t>
      </w:r>
      <w:r>
        <w:rPr>
          <w:i/>
          <w:color w:val="231F20"/>
          <w:sz w:val="14"/>
        </w:rPr>
        <w:t>Disorders,</w:t>
      </w:r>
      <w:r>
        <w:rPr>
          <w:i/>
          <w:color w:val="231F20"/>
          <w:spacing w:val="10"/>
          <w:sz w:val="14"/>
        </w:rPr>
        <w:t> </w:t>
      </w:r>
      <w:r>
        <w:rPr>
          <w:i/>
          <w:color w:val="231F20"/>
          <w:sz w:val="14"/>
        </w:rPr>
        <w:t>Vol.</w:t>
      </w:r>
      <w:r>
        <w:rPr>
          <w:i/>
          <w:color w:val="231F20"/>
          <w:spacing w:val="9"/>
          <w:sz w:val="14"/>
        </w:rPr>
        <w:t> </w:t>
      </w:r>
      <w:r>
        <w:rPr>
          <w:i/>
          <w:color w:val="231F20"/>
          <w:sz w:val="14"/>
        </w:rPr>
        <w:t>25,</w:t>
      </w:r>
      <w:r>
        <w:rPr>
          <w:i/>
          <w:color w:val="231F20"/>
          <w:spacing w:val="9"/>
          <w:sz w:val="14"/>
        </w:rPr>
        <w:t> </w:t>
      </w:r>
      <w:r>
        <w:rPr>
          <w:i/>
          <w:color w:val="231F20"/>
          <w:sz w:val="14"/>
        </w:rPr>
        <w:t>No.</w:t>
      </w:r>
      <w:r>
        <w:rPr>
          <w:i/>
          <w:color w:val="231F20"/>
          <w:spacing w:val="8"/>
          <w:sz w:val="14"/>
        </w:rPr>
        <w:t> </w:t>
      </w:r>
      <w:r>
        <w:rPr>
          <w:i/>
          <w:color w:val="231F20"/>
          <w:sz w:val="14"/>
        </w:rPr>
        <w:t>14,</w:t>
      </w:r>
      <w:r>
        <w:rPr>
          <w:i/>
          <w:color w:val="231F20"/>
          <w:spacing w:val="9"/>
          <w:sz w:val="14"/>
        </w:rPr>
        <w:t> </w:t>
      </w:r>
      <w:r>
        <w:rPr>
          <w:i/>
          <w:color w:val="231F20"/>
          <w:spacing w:val="-4"/>
          <w:sz w:val="14"/>
        </w:rPr>
        <w:t>2010</w:t>
      </w:r>
    </w:p>
    <w:p>
      <w:pPr>
        <w:spacing w:after="0"/>
        <w:jc w:val="left"/>
        <w:rPr>
          <w:i/>
          <w:sz w:val="14"/>
        </w:rPr>
        <w:sectPr>
          <w:type w:val="continuous"/>
          <w:pgSz w:w="12240" w:h="16200"/>
          <w:pgMar w:top="1060" w:bottom="280" w:left="1080" w:right="1080"/>
        </w:sectPr>
      </w:pPr>
    </w:p>
    <w:p>
      <w:pPr>
        <w:pStyle w:val="Heading3"/>
        <w:tabs>
          <w:tab w:pos="9859" w:val="right" w:leader="none"/>
        </w:tabs>
      </w:pPr>
      <w:r>
        <w:rPr>
          <w:color w:val="231F20"/>
        </w:rPr>
        <w:t>LETTERS</w:t>
      </w:r>
      <w:r>
        <w:rPr>
          <w:color w:val="231F20"/>
          <w:spacing w:val="12"/>
        </w:rPr>
        <w:t> </w:t>
      </w:r>
      <w:r>
        <w:rPr>
          <w:color w:val="231F20"/>
        </w:rPr>
        <w:t>TO</w:t>
      </w:r>
      <w:r>
        <w:rPr>
          <w:color w:val="231F20"/>
          <w:spacing w:val="10"/>
        </w:rPr>
        <w:t> </w:t>
      </w:r>
      <w:r>
        <w:rPr>
          <w:color w:val="231F20"/>
        </w:rPr>
        <w:t>THE</w:t>
      </w:r>
      <w:r>
        <w:rPr>
          <w:color w:val="231F20"/>
          <w:spacing w:val="11"/>
        </w:rPr>
        <w:t> </w:t>
      </w:r>
      <w:r>
        <w:rPr>
          <w:color w:val="231F20"/>
          <w:spacing w:val="-2"/>
        </w:rPr>
        <w:t>EDITOR</w:t>
      </w:r>
      <w:r>
        <w:rPr>
          <w:i w:val="0"/>
          <w:color w:val="231F20"/>
        </w:rPr>
        <w:tab/>
      </w:r>
      <w:r>
        <w:rPr>
          <w:color w:val="231F20"/>
          <w:spacing w:val="-4"/>
        </w:rPr>
        <w:t>2473</w:t>
      </w:r>
    </w:p>
    <w:p>
      <w:pPr>
        <w:pStyle w:val="BodyText"/>
        <w:spacing w:before="175"/>
        <w:rPr>
          <w:i/>
          <w:sz w:val="20"/>
        </w:rPr>
      </w:pPr>
      <w:r>
        <w:rPr>
          <w:i/>
          <w:sz w:val="20"/>
        </w:rPr>
        <w:drawing>
          <wp:anchor distT="0" distB="0" distL="0" distR="0" allowOverlap="1" layoutInCell="1" locked="0" behindDoc="1" simplePos="0" relativeHeight="487599104">
            <wp:simplePos x="0" y="0"/>
            <wp:positionH relativeFrom="page">
              <wp:posOffset>883439</wp:posOffset>
            </wp:positionH>
            <wp:positionV relativeFrom="paragraph">
              <wp:posOffset>272710</wp:posOffset>
            </wp:positionV>
            <wp:extent cx="6037237" cy="340614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18" cstate="print"/>
                    <a:stretch>
                      <a:fillRect/>
                    </a:stretch>
                  </pic:blipFill>
                  <pic:spPr>
                    <a:xfrm>
                      <a:off x="0" y="0"/>
                      <a:ext cx="6037237" cy="3406140"/>
                    </a:xfrm>
                    <a:prstGeom prst="rect">
                      <a:avLst/>
                    </a:prstGeom>
                  </pic:spPr>
                </pic:pic>
              </a:graphicData>
            </a:graphic>
          </wp:anchor>
        </w:drawing>
      </w:r>
    </w:p>
    <w:p>
      <w:pPr>
        <w:spacing w:line="232" w:lineRule="auto" w:before="88"/>
        <w:ind w:left="256" w:right="215" w:firstLine="0"/>
        <w:jc w:val="both"/>
        <w:rPr>
          <w:sz w:val="16"/>
        </w:rPr>
      </w:pPr>
      <w:r>
        <w:rPr>
          <w:color w:val="231F20"/>
          <w:sz w:val="16"/>
        </w:rPr>
        <w:t>FIG. 1.</w:t>
      </w:r>
      <w:r>
        <w:rPr>
          <w:color w:val="231F20"/>
          <w:spacing w:val="40"/>
          <w:sz w:val="16"/>
        </w:rPr>
        <w:t> </w:t>
      </w:r>
      <w:r>
        <w:rPr>
          <w:color w:val="231F20"/>
          <w:sz w:val="16"/>
        </w:rPr>
        <w:t>Pedigree and characteristic MRI ﬁndings in two patients with a homozygous W748S </w:t>
      </w:r>
      <w:r>
        <w:rPr>
          <w:i/>
          <w:color w:val="231F20"/>
          <w:sz w:val="16"/>
        </w:rPr>
        <w:t>POLG </w:t>
      </w:r>
      <w:r>
        <w:rPr>
          <w:color w:val="231F20"/>
          <w:sz w:val="16"/>
        </w:rPr>
        <w:t>mutation. Two affected Sicilian siblings of</w:t>
      </w:r>
      <w:r>
        <w:rPr>
          <w:color w:val="231F20"/>
          <w:spacing w:val="40"/>
          <w:sz w:val="16"/>
        </w:rPr>
        <w:t> </w:t>
      </w:r>
      <w:r>
        <w:rPr>
          <w:color w:val="231F20"/>
          <w:sz w:val="16"/>
        </w:rPr>
        <w:t>consanguineous parents (A) were investigated by magnetic resonance imaging. MR T2 weighted images in Patient 1 (B–E) reveal an enlarged cer-</w:t>
      </w:r>
      <w:r>
        <w:rPr>
          <w:color w:val="231F20"/>
          <w:spacing w:val="40"/>
          <w:sz w:val="16"/>
        </w:rPr>
        <w:t> </w:t>
      </w:r>
      <w:r>
        <w:rPr>
          <w:color w:val="231F20"/>
          <w:sz w:val="16"/>
        </w:rPr>
        <w:t>ebellar</w:t>
      </w:r>
      <w:r>
        <w:rPr>
          <w:color w:val="231F20"/>
          <w:spacing w:val="17"/>
          <w:sz w:val="16"/>
        </w:rPr>
        <w:t> </w:t>
      </w:r>
      <w:r>
        <w:rPr>
          <w:color w:val="231F20"/>
          <w:sz w:val="16"/>
        </w:rPr>
        <w:t>primary</w:t>
      </w:r>
      <w:r>
        <w:rPr>
          <w:color w:val="231F20"/>
          <w:spacing w:val="16"/>
          <w:sz w:val="16"/>
        </w:rPr>
        <w:t> </w:t>
      </w:r>
      <w:r>
        <w:rPr>
          <w:color w:val="231F20"/>
          <w:sz w:val="16"/>
        </w:rPr>
        <w:t>ﬁssure</w:t>
      </w:r>
      <w:r>
        <w:rPr>
          <w:color w:val="231F20"/>
          <w:spacing w:val="17"/>
          <w:sz w:val="16"/>
        </w:rPr>
        <w:t> </w:t>
      </w:r>
      <w:r>
        <w:rPr>
          <w:color w:val="231F20"/>
          <w:sz w:val="16"/>
        </w:rPr>
        <w:t>(B),</w:t>
      </w:r>
      <w:r>
        <w:rPr>
          <w:color w:val="231F20"/>
          <w:spacing w:val="17"/>
          <w:sz w:val="16"/>
        </w:rPr>
        <w:t> </w:t>
      </w:r>
      <w:r>
        <w:rPr>
          <w:color w:val="231F20"/>
          <w:sz w:val="16"/>
        </w:rPr>
        <w:t>beginning</w:t>
      </w:r>
      <w:r>
        <w:rPr>
          <w:color w:val="231F20"/>
          <w:spacing w:val="17"/>
          <w:sz w:val="16"/>
        </w:rPr>
        <w:t> </w:t>
      </w:r>
      <w:r>
        <w:rPr>
          <w:color w:val="231F20"/>
          <w:sz w:val="16"/>
        </w:rPr>
        <w:t>bilateral</w:t>
      </w:r>
      <w:r>
        <w:rPr>
          <w:color w:val="231F20"/>
          <w:spacing w:val="16"/>
          <w:sz w:val="16"/>
        </w:rPr>
        <w:t> </w:t>
      </w:r>
      <w:r>
        <w:rPr>
          <w:color w:val="231F20"/>
          <w:sz w:val="16"/>
        </w:rPr>
        <w:t>hyperintense</w:t>
      </w:r>
      <w:r>
        <w:rPr>
          <w:color w:val="231F20"/>
          <w:spacing w:val="17"/>
          <w:sz w:val="16"/>
        </w:rPr>
        <w:t> </w:t>
      </w:r>
      <w:r>
        <w:rPr>
          <w:color w:val="231F20"/>
          <w:sz w:val="16"/>
        </w:rPr>
        <w:t>lesions</w:t>
      </w:r>
      <w:r>
        <w:rPr>
          <w:color w:val="231F20"/>
          <w:spacing w:val="17"/>
          <w:sz w:val="16"/>
        </w:rPr>
        <w:t> </w:t>
      </w:r>
      <w:r>
        <w:rPr>
          <w:color w:val="231F20"/>
          <w:sz w:val="16"/>
        </w:rPr>
        <w:t>in</w:t>
      </w:r>
      <w:r>
        <w:rPr>
          <w:color w:val="231F20"/>
          <w:spacing w:val="17"/>
          <w:sz w:val="16"/>
        </w:rPr>
        <w:t> </w:t>
      </w:r>
      <w:r>
        <w:rPr>
          <w:color w:val="231F20"/>
          <w:sz w:val="16"/>
        </w:rPr>
        <w:t>the</w:t>
      </w:r>
      <w:r>
        <w:rPr>
          <w:color w:val="231F20"/>
          <w:spacing w:val="17"/>
          <w:sz w:val="16"/>
        </w:rPr>
        <w:t> </w:t>
      </w:r>
      <w:r>
        <w:rPr>
          <w:color w:val="231F20"/>
          <w:sz w:val="16"/>
        </w:rPr>
        <w:t>cerebellar</w:t>
      </w:r>
      <w:r>
        <w:rPr>
          <w:color w:val="231F20"/>
          <w:spacing w:val="17"/>
          <w:sz w:val="16"/>
        </w:rPr>
        <w:t> </w:t>
      </w:r>
      <w:r>
        <w:rPr>
          <w:color w:val="231F20"/>
          <w:sz w:val="16"/>
        </w:rPr>
        <w:t>white</w:t>
      </w:r>
      <w:r>
        <w:rPr>
          <w:color w:val="231F20"/>
          <w:spacing w:val="16"/>
          <w:sz w:val="16"/>
        </w:rPr>
        <w:t> </w:t>
      </w:r>
      <w:r>
        <w:rPr>
          <w:color w:val="231F20"/>
          <w:sz w:val="16"/>
        </w:rPr>
        <w:t>matter</w:t>
      </w:r>
      <w:r>
        <w:rPr>
          <w:color w:val="231F20"/>
          <w:spacing w:val="17"/>
          <w:sz w:val="16"/>
        </w:rPr>
        <w:t> </w:t>
      </w:r>
      <w:r>
        <w:rPr>
          <w:color w:val="231F20"/>
          <w:sz w:val="16"/>
        </w:rPr>
        <w:t>(C),</w:t>
      </w:r>
      <w:r>
        <w:rPr>
          <w:color w:val="231F20"/>
          <w:spacing w:val="17"/>
          <w:sz w:val="16"/>
        </w:rPr>
        <w:t> </w:t>
      </w:r>
      <w:r>
        <w:rPr>
          <w:color w:val="231F20"/>
          <w:sz w:val="16"/>
        </w:rPr>
        <w:t>and</w:t>
      </w:r>
      <w:r>
        <w:rPr>
          <w:color w:val="231F20"/>
          <w:spacing w:val="16"/>
          <w:sz w:val="16"/>
        </w:rPr>
        <w:t> </w:t>
      </w:r>
      <w:r>
        <w:rPr>
          <w:color w:val="231F20"/>
          <w:sz w:val="16"/>
        </w:rPr>
        <w:t>the</w:t>
      </w:r>
      <w:r>
        <w:rPr>
          <w:color w:val="231F20"/>
          <w:spacing w:val="18"/>
          <w:sz w:val="16"/>
        </w:rPr>
        <w:t> </w:t>
      </w:r>
      <w:r>
        <w:rPr>
          <w:color w:val="231F20"/>
          <w:sz w:val="16"/>
        </w:rPr>
        <w:t>thalamus</w:t>
      </w:r>
      <w:r>
        <w:rPr>
          <w:color w:val="231F20"/>
          <w:spacing w:val="16"/>
          <w:sz w:val="16"/>
        </w:rPr>
        <w:t> </w:t>
      </w:r>
      <w:r>
        <w:rPr>
          <w:color w:val="231F20"/>
          <w:sz w:val="16"/>
        </w:rPr>
        <w:t>(E).</w:t>
      </w:r>
      <w:r>
        <w:rPr>
          <w:color w:val="231F20"/>
          <w:spacing w:val="16"/>
          <w:sz w:val="16"/>
        </w:rPr>
        <w:t> </w:t>
      </w:r>
      <w:r>
        <w:rPr>
          <w:color w:val="231F20"/>
          <w:sz w:val="16"/>
        </w:rPr>
        <w:t>The</w:t>
      </w:r>
      <w:r>
        <w:rPr>
          <w:color w:val="231F20"/>
          <w:spacing w:val="17"/>
          <w:sz w:val="16"/>
        </w:rPr>
        <w:t> </w:t>
      </w:r>
      <w:r>
        <w:rPr>
          <w:color w:val="231F20"/>
          <w:sz w:val="16"/>
        </w:rPr>
        <w:t>brain</w:t>
      </w:r>
      <w:r>
        <w:rPr>
          <w:color w:val="231F20"/>
          <w:spacing w:val="18"/>
          <w:sz w:val="16"/>
        </w:rPr>
        <w:t> </w:t>
      </w:r>
      <w:r>
        <w:rPr>
          <w:color w:val="231F20"/>
          <w:sz w:val="16"/>
        </w:rPr>
        <w:t>stem</w:t>
      </w:r>
      <w:r>
        <w:rPr>
          <w:color w:val="231F20"/>
          <w:spacing w:val="16"/>
          <w:sz w:val="16"/>
        </w:rPr>
        <w:t> </w:t>
      </w:r>
      <w:r>
        <w:rPr>
          <w:color w:val="231F20"/>
          <w:sz w:val="16"/>
        </w:rPr>
        <w:t>and</w:t>
      </w:r>
      <w:r>
        <w:rPr>
          <w:color w:val="231F20"/>
          <w:spacing w:val="40"/>
          <w:sz w:val="16"/>
        </w:rPr>
        <w:t> </w:t>
      </w:r>
      <w:r>
        <w:rPr>
          <w:color w:val="231F20"/>
          <w:sz w:val="16"/>
        </w:rPr>
        <w:t>pons</w:t>
      </w:r>
      <w:r>
        <w:rPr>
          <w:color w:val="231F20"/>
          <w:spacing w:val="31"/>
          <w:sz w:val="16"/>
        </w:rPr>
        <w:t> </w:t>
      </w:r>
      <w:r>
        <w:rPr>
          <w:color w:val="231F20"/>
          <w:sz w:val="16"/>
        </w:rPr>
        <w:t>appeared</w:t>
      </w:r>
      <w:r>
        <w:rPr>
          <w:color w:val="231F20"/>
          <w:spacing w:val="30"/>
          <w:sz w:val="16"/>
        </w:rPr>
        <w:t> </w:t>
      </w:r>
      <w:r>
        <w:rPr>
          <w:color w:val="231F20"/>
          <w:sz w:val="16"/>
        </w:rPr>
        <w:t>normal</w:t>
      </w:r>
      <w:r>
        <w:rPr>
          <w:color w:val="231F20"/>
          <w:spacing w:val="30"/>
          <w:sz w:val="16"/>
        </w:rPr>
        <w:t> </w:t>
      </w:r>
      <w:r>
        <w:rPr>
          <w:color w:val="231F20"/>
          <w:sz w:val="16"/>
        </w:rPr>
        <w:t>in</w:t>
      </w:r>
      <w:r>
        <w:rPr>
          <w:color w:val="231F20"/>
          <w:spacing w:val="31"/>
          <w:sz w:val="16"/>
        </w:rPr>
        <w:t> </w:t>
      </w:r>
      <w:r>
        <w:rPr>
          <w:color w:val="231F20"/>
          <w:sz w:val="16"/>
        </w:rPr>
        <w:t>Patient</w:t>
      </w:r>
      <w:r>
        <w:rPr>
          <w:color w:val="231F20"/>
          <w:spacing w:val="31"/>
          <w:sz w:val="16"/>
        </w:rPr>
        <w:t> </w:t>
      </w:r>
      <w:r>
        <w:rPr>
          <w:color w:val="231F20"/>
          <w:sz w:val="16"/>
        </w:rPr>
        <w:t>1</w:t>
      </w:r>
      <w:r>
        <w:rPr>
          <w:color w:val="231F20"/>
          <w:spacing w:val="31"/>
          <w:sz w:val="16"/>
        </w:rPr>
        <w:t> </w:t>
      </w:r>
      <w:r>
        <w:rPr>
          <w:color w:val="231F20"/>
          <w:sz w:val="16"/>
        </w:rPr>
        <w:t>(D).</w:t>
      </w:r>
      <w:r>
        <w:rPr>
          <w:color w:val="231F20"/>
          <w:spacing w:val="31"/>
          <w:sz w:val="16"/>
        </w:rPr>
        <w:t> </w:t>
      </w:r>
      <w:r>
        <w:rPr>
          <w:color w:val="231F20"/>
          <w:sz w:val="16"/>
        </w:rPr>
        <w:t>T2</w:t>
      </w:r>
      <w:r>
        <w:rPr>
          <w:color w:val="231F20"/>
          <w:spacing w:val="32"/>
          <w:sz w:val="16"/>
        </w:rPr>
        <w:t> </w:t>
      </w:r>
      <w:r>
        <w:rPr>
          <w:color w:val="231F20"/>
          <w:sz w:val="16"/>
        </w:rPr>
        <w:t>weighted</w:t>
      </w:r>
      <w:r>
        <w:rPr>
          <w:color w:val="231F20"/>
          <w:spacing w:val="29"/>
          <w:sz w:val="16"/>
        </w:rPr>
        <w:t> </w:t>
      </w:r>
      <w:r>
        <w:rPr>
          <w:color w:val="231F20"/>
          <w:sz w:val="16"/>
        </w:rPr>
        <w:t>images</w:t>
      </w:r>
      <w:r>
        <w:rPr>
          <w:color w:val="231F20"/>
          <w:spacing w:val="31"/>
          <w:sz w:val="16"/>
        </w:rPr>
        <w:t> </w:t>
      </w:r>
      <w:r>
        <w:rPr>
          <w:color w:val="231F20"/>
          <w:sz w:val="16"/>
        </w:rPr>
        <w:t>in</w:t>
      </w:r>
      <w:r>
        <w:rPr>
          <w:color w:val="231F20"/>
          <w:spacing w:val="31"/>
          <w:sz w:val="16"/>
        </w:rPr>
        <w:t> </w:t>
      </w:r>
      <w:r>
        <w:rPr>
          <w:color w:val="231F20"/>
          <w:sz w:val="16"/>
        </w:rPr>
        <w:t>Patient</w:t>
      </w:r>
      <w:r>
        <w:rPr>
          <w:color w:val="231F20"/>
          <w:spacing w:val="31"/>
          <w:sz w:val="16"/>
        </w:rPr>
        <w:t> </w:t>
      </w:r>
      <w:r>
        <w:rPr>
          <w:color w:val="231F20"/>
          <w:sz w:val="16"/>
        </w:rPr>
        <w:t>2</w:t>
      </w:r>
      <w:r>
        <w:rPr>
          <w:color w:val="231F20"/>
          <w:spacing w:val="31"/>
          <w:sz w:val="16"/>
        </w:rPr>
        <w:t> </w:t>
      </w:r>
      <w:r>
        <w:rPr>
          <w:color w:val="231F20"/>
          <w:sz w:val="16"/>
        </w:rPr>
        <w:t>(F–I)</w:t>
      </w:r>
      <w:r>
        <w:rPr>
          <w:color w:val="231F20"/>
          <w:spacing w:val="31"/>
          <w:sz w:val="16"/>
        </w:rPr>
        <w:t> </w:t>
      </w:r>
      <w:r>
        <w:rPr>
          <w:color w:val="231F20"/>
          <w:sz w:val="16"/>
        </w:rPr>
        <w:t>show</w:t>
      </w:r>
      <w:r>
        <w:rPr>
          <w:color w:val="231F20"/>
          <w:spacing w:val="31"/>
          <w:sz w:val="16"/>
        </w:rPr>
        <w:t> </w:t>
      </w:r>
      <w:r>
        <w:rPr>
          <w:color w:val="231F20"/>
          <w:sz w:val="16"/>
        </w:rPr>
        <w:t>cerebellar</w:t>
      </w:r>
      <w:r>
        <w:rPr>
          <w:color w:val="231F20"/>
          <w:spacing w:val="31"/>
          <w:sz w:val="16"/>
        </w:rPr>
        <w:t> </w:t>
      </w:r>
      <w:r>
        <w:rPr>
          <w:color w:val="231F20"/>
          <w:sz w:val="16"/>
        </w:rPr>
        <w:t>and</w:t>
      </w:r>
      <w:r>
        <w:rPr>
          <w:color w:val="231F20"/>
          <w:spacing w:val="32"/>
          <w:sz w:val="16"/>
        </w:rPr>
        <w:t> </w:t>
      </w:r>
      <w:r>
        <w:rPr>
          <w:color w:val="231F20"/>
          <w:sz w:val="16"/>
        </w:rPr>
        <w:t>parieto-occipital</w:t>
      </w:r>
      <w:r>
        <w:rPr>
          <w:color w:val="231F20"/>
          <w:spacing w:val="31"/>
          <w:sz w:val="16"/>
        </w:rPr>
        <w:t> </w:t>
      </w:r>
      <w:r>
        <w:rPr>
          <w:color w:val="231F20"/>
          <w:sz w:val="16"/>
        </w:rPr>
        <w:t>atrophy</w:t>
      </w:r>
      <w:r>
        <w:rPr>
          <w:color w:val="231F20"/>
          <w:spacing w:val="31"/>
          <w:sz w:val="16"/>
        </w:rPr>
        <w:t> </w:t>
      </w:r>
      <w:r>
        <w:rPr>
          <w:color w:val="231F20"/>
          <w:sz w:val="16"/>
        </w:rPr>
        <w:t>(F)</w:t>
      </w:r>
      <w:r>
        <w:rPr>
          <w:color w:val="231F20"/>
          <w:spacing w:val="31"/>
          <w:sz w:val="16"/>
        </w:rPr>
        <w:t> </w:t>
      </w:r>
      <w:r>
        <w:rPr>
          <w:color w:val="231F20"/>
          <w:sz w:val="16"/>
        </w:rPr>
        <w:t>and,</w:t>
      </w:r>
      <w:r>
        <w:rPr>
          <w:color w:val="231F20"/>
          <w:spacing w:val="32"/>
          <w:sz w:val="16"/>
        </w:rPr>
        <w:t> </w:t>
      </w:r>
      <w:r>
        <w:rPr>
          <w:color w:val="231F20"/>
          <w:sz w:val="16"/>
        </w:rPr>
        <w:t>like</w:t>
      </w:r>
      <w:r>
        <w:rPr>
          <w:color w:val="231F20"/>
          <w:spacing w:val="31"/>
          <w:sz w:val="16"/>
        </w:rPr>
        <w:t> </w:t>
      </w:r>
      <w:r>
        <w:rPr>
          <w:color w:val="231F20"/>
          <w:sz w:val="16"/>
        </w:rPr>
        <w:t>in</w:t>
      </w:r>
      <w:r>
        <w:rPr>
          <w:color w:val="231F20"/>
          <w:spacing w:val="40"/>
          <w:sz w:val="16"/>
        </w:rPr>
        <w:t> </w:t>
      </w:r>
      <w:r>
        <w:rPr>
          <w:color w:val="231F20"/>
          <w:sz w:val="16"/>
        </w:rPr>
        <w:t>Patient 1 and similar to other POLG patients,</w:t>
      </w:r>
      <w:r>
        <w:rPr>
          <w:color w:val="231F20"/>
          <w:sz w:val="16"/>
          <w:vertAlign w:val="superscript"/>
        </w:rPr>
        <w:t>5</w:t>
      </w:r>
      <w:r>
        <w:rPr>
          <w:color w:val="231F20"/>
          <w:sz w:val="16"/>
          <w:vertAlign w:val="baseline"/>
        </w:rPr>
        <w:t> symmetric hyperintense lesions in the cerebellar white matter (G) and the thalamus (I) and, addi-</w:t>
      </w:r>
      <w:r>
        <w:rPr>
          <w:color w:val="231F20"/>
          <w:spacing w:val="40"/>
          <w:sz w:val="16"/>
          <w:vertAlign w:val="baseline"/>
        </w:rPr>
        <w:t> </w:t>
      </w:r>
      <w:r>
        <w:rPr>
          <w:color w:val="231F20"/>
          <w:sz w:val="16"/>
          <w:vertAlign w:val="baseline"/>
        </w:rPr>
        <w:t>tionally,</w:t>
      </w:r>
      <w:r>
        <w:rPr>
          <w:color w:val="231F20"/>
          <w:spacing w:val="18"/>
          <w:sz w:val="16"/>
          <w:vertAlign w:val="baseline"/>
        </w:rPr>
        <w:t> </w:t>
      </w:r>
      <w:r>
        <w:rPr>
          <w:color w:val="231F20"/>
          <w:sz w:val="16"/>
          <w:vertAlign w:val="baseline"/>
        </w:rPr>
        <w:t>in</w:t>
      </w:r>
      <w:r>
        <w:rPr>
          <w:color w:val="231F20"/>
          <w:spacing w:val="18"/>
          <w:sz w:val="16"/>
          <w:vertAlign w:val="baseline"/>
        </w:rPr>
        <w:t> </w:t>
      </w:r>
      <w:r>
        <w:rPr>
          <w:color w:val="231F20"/>
          <w:sz w:val="16"/>
          <w:vertAlign w:val="baseline"/>
        </w:rPr>
        <w:t>the</w:t>
      </w:r>
      <w:r>
        <w:rPr>
          <w:color w:val="231F20"/>
          <w:spacing w:val="18"/>
          <w:sz w:val="16"/>
          <w:vertAlign w:val="baseline"/>
        </w:rPr>
        <w:t> </w:t>
      </w:r>
      <w:r>
        <w:rPr>
          <w:color w:val="231F20"/>
          <w:sz w:val="16"/>
          <w:vertAlign w:val="baseline"/>
        </w:rPr>
        <w:t>pons</w:t>
      </w:r>
      <w:r>
        <w:rPr>
          <w:color w:val="231F20"/>
          <w:spacing w:val="18"/>
          <w:sz w:val="16"/>
          <w:vertAlign w:val="baseline"/>
        </w:rPr>
        <w:t> </w:t>
      </w:r>
      <w:r>
        <w:rPr>
          <w:color w:val="231F20"/>
          <w:sz w:val="16"/>
          <w:vertAlign w:val="baseline"/>
        </w:rPr>
        <w:t>(H).</w:t>
      </w:r>
      <w:r>
        <w:rPr>
          <w:color w:val="231F20"/>
          <w:spacing w:val="17"/>
          <w:sz w:val="16"/>
          <w:vertAlign w:val="baseline"/>
        </w:rPr>
        <w:t> </w:t>
      </w:r>
      <w:r>
        <w:rPr>
          <w:color w:val="231F20"/>
          <w:sz w:val="16"/>
          <w:vertAlign w:val="baseline"/>
        </w:rPr>
        <w:t>Magnetic</w:t>
      </w:r>
      <w:r>
        <w:rPr>
          <w:color w:val="231F20"/>
          <w:spacing w:val="18"/>
          <w:sz w:val="16"/>
          <w:vertAlign w:val="baseline"/>
        </w:rPr>
        <w:t> </w:t>
      </w:r>
      <w:r>
        <w:rPr>
          <w:color w:val="231F20"/>
          <w:sz w:val="16"/>
          <w:vertAlign w:val="baseline"/>
        </w:rPr>
        <w:t>resonance</w:t>
      </w:r>
      <w:r>
        <w:rPr>
          <w:color w:val="231F20"/>
          <w:spacing w:val="16"/>
          <w:sz w:val="16"/>
          <w:vertAlign w:val="baseline"/>
        </w:rPr>
        <w:t> </w:t>
      </w:r>
      <w:r>
        <w:rPr>
          <w:color w:val="231F20"/>
          <w:sz w:val="16"/>
          <w:vertAlign w:val="baseline"/>
        </w:rPr>
        <w:t>spectroscopy</w:t>
      </w:r>
      <w:r>
        <w:rPr>
          <w:color w:val="231F20"/>
          <w:spacing w:val="17"/>
          <w:sz w:val="16"/>
          <w:vertAlign w:val="baseline"/>
        </w:rPr>
        <w:t> </w:t>
      </w:r>
      <w:r>
        <w:rPr>
          <w:color w:val="231F20"/>
          <w:sz w:val="16"/>
          <w:vertAlign w:val="baseline"/>
        </w:rPr>
        <w:t>of</w:t>
      </w:r>
      <w:r>
        <w:rPr>
          <w:color w:val="231F20"/>
          <w:spacing w:val="17"/>
          <w:sz w:val="16"/>
          <w:vertAlign w:val="baseline"/>
        </w:rPr>
        <w:t> </w:t>
      </w:r>
      <w:r>
        <w:rPr>
          <w:color w:val="231F20"/>
          <w:sz w:val="16"/>
          <w:vertAlign w:val="baseline"/>
        </w:rPr>
        <w:t>the</w:t>
      </w:r>
      <w:r>
        <w:rPr>
          <w:color w:val="231F20"/>
          <w:spacing w:val="18"/>
          <w:sz w:val="16"/>
          <w:vertAlign w:val="baseline"/>
        </w:rPr>
        <w:t> </w:t>
      </w:r>
      <w:r>
        <w:rPr>
          <w:color w:val="231F20"/>
          <w:sz w:val="16"/>
          <w:vertAlign w:val="baseline"/>
        </w:rPr>
        <w:t>cerebellar</w:t>
      </w:r>
      <w:r>
        <w:rPr>
          <w:color w:val="231F20"/>
          <w:spacing w:val="17"/>
          <w:sz w:val="16"/>
          <w:vertAlign w:val="baseline"/>
        </w:rPr>
        <w:t> </w:t>
      </w:r>
      <w:r>
        <w:rPr>
          <w:color w:val="231F20"/>
          <w:sz w:val="16"/>
          <w:vertAlign w:val="baseline"/>
        </w:rPr>
        <w:t>white</w:t>
      </w:r>
      <w:r>
        <w:rPr>
          <w:color w:val="231F20"/>
          <w:spacing w:val="18"/>
          <w:sz w:val="16"/>
          <w:vertAlign w:val="baseline"/>
        </w:rPr>
        <w:t> </w:t>
      </w:r>
      <w:r>
        <w:rPr>
          <w:color w:val="231F20"/>
          <w:sz w:val="16"/>
          <w:vertAlign w:val="baseline"/>
        </w:rPr>
        <w:t>matter</w:t>
      </w:r>
      <w:r>
        <w:rPr>
          <w:color w:val="231F20"/>
          <w:spacing w:val="18"/>
          <w:sz w:val="16"/>
          <w:vertAlign w:val="baseline"/>
        </w:rPr>
        <w:t> </w:t>
      </w:r>
      <w:r>
        <w:rPr>
          <w:color w:val="231F20"/>
          <w:sz w:val="16"/>
          <w:vertAlign w:val="baseline"/>
        </w:rPr>
        <w:t>lesions</w:t>
      </w:r>
      <w:r>
        <w:rPr>
          <w:color w:val="231F20"/>
          <w:spacing w:val="17"/>
          <w:sz w:val="16"/>
          <w:vertAlign w:val="baseline"/>
        </w:rPr>
        <w:t> </w:t>
      </w:r>
      <w:r>
        <w:rPr>
          <w:color w:val="231F20"/>
          <w:sz w:val="16"/>
          <w:vertAlign w:val="baseline"/>
        </w:rPr>
        <w:t>revealed</w:t>
      </w:r>
      <w:r>
        <w:rPr>
          <w:color w:val="231F20"/>
          <w:spacing w:val="17"/>
          <w:sz w:val="16"/>
          <w:vertAlign w:val="baseline"/>
        </w:rPr>
        <w:t> </w:t>
      </w:r>
      <w:r>
        <w:rPr>
          <w:color w:val="231F20"/>
          <w:sz w:val="16"/>
          <w:vertAlign w:val="baseline"/>
        </w:rPr>
        <w:t>normal</w:t>
      </w:r>
      <w:r>
        <w:rPr>
          <w:color w:val="231F20"/>
          <w:spacing w:val="18"/>
          <w:sz w:val="16"/>
          <w:vertAlign w:val="baseline"/>
        </w:rPr>
        <w:t> </w:t>
      </w:r>
      <w:r>
        <w:rPr>
          <w:color w:val="231F20"/>
          <w:sz w:val="16"/>
          <w:vertAlign w:val="baseline"/>
        </w:rPr>
        <w:t>levels</w:t>
      </w:r>
      <w:r>
        <w:rPr>
          <w:color w:val="231F20"/>
          <w:spacing w:val="17"/>
          <w:sz w:val="16"/>
          <w:vertAlign w:val="baseline"/>
        </w:rPr>
        <w:t> </w:t>
      </w:r>
      <w:r>
        <w:rPr>
          <w:color w:val="231F20"/>
          <w:sz w:val="16"/>
          <w:vertAlign w:val="baseline"/>
        </w:rPr>
        <w:t>of</w:t>
      </w:r>
      <w:r>
        <w:rPr>
          <w:color w:val="231F20"/>
          <w:spacing w:val="17"/>
          <w:sz w:val="16"/>
          <w:vertAlign w:val="baseline"/>
        </w:rPr>
        <w:t> </w:t>
      </w:r>
      <w:r>
        <w:rPr>
          <w:color w:val="231F20"/>
          <w:sz w:val="16"/>
          <w:vertAlign w:val="baseline"/>
        </w:rPr>
        <w:t>choline</w:t>
      </w:r>
      <w:r>
        <w:rPr>
          <w:color w:val="231F20"/>
          <w:spacing w:val="18"/>
          <w:sz w:val="16"/>
          <w:vertAlign w:val="baseline"/>
        </w:rPr>
        <w:t> </w:t>
      </w:r>
      <w:r>
        <w:rPr>
          <w:color w:val="231F20"/>
          <w:sz w:val="16"/>
          <w:vertAlign w:val="baseline"/>
        </w:rPr>
        <w:t>and</w:t>
      </w:r>
      <w:r>
        <w:rPr>
          <w:color w:val="231F20"/>
          <w:spacing w:val="17"/>
          <w:sz w:val="16"/>
          <w:vertAlign w:val="baseline"/>
        </w:rPr>
        <w:t> </w:t>
      </w:r>
      <w:r>
        <w:rPr>
          <w:color w:val="231F20"/>
          <w:sz w:val="16"/>
          <w:vertAlign w:val="baseline"/>
        </w:rPr>
        <w:t>creatine,</w:t>
      </w:r>
      <w:r>
        <w:rPr>
          <w:color w:val="231F20"/>
          <w:spacing w:val="40"/>
          <w:sz w:val="16"/>
          <w:vertAlign w:val="baseline"/>
        </w:rPr>
        <w:t> </w:t>
      </w:r>
      <w:r>
        <w:rPr>
          <w:color w:val="231F20"/>
          <w:sz w:val="16"/>
          <w:vertAlign w:val="baseline"/>
        </w:rPr>
        <w:t>but reduced levels of </w:t>
      </w:r>
      <w:r>
        <w:rPr>
          <w:i/>
          <w:color w:val="231F20"/>
          <w:sz w:val="16"/>
          <w:vertAlign w:val="baseline"/>
        </w:rPr>
        <w:t>N</w:t>
      </w:r>
      <w:r>
        <w:rPr>
          <w:color w:val="231F20"/>
          <w:sz w:val="16"/>
          <w:vertAlign w:val="baseline"/>
        </w:rPr>
        <w:t>-acetyl aspartate, indicating chronic neuronal loss (not shown).</w:t>
      </w:r>
    </w:p>
    <w:p>
      <w:pPr>
        <w:pStyle w:val="BodyText"/>
        <w:spacing w:before="8"/>
        <w:rPr>
          <w:sz w:val="17"/>
        </w:rPr>
      </w:pPr>
    </w:p>
    <w:p>
      <w:pPr>
        <w:pStyle w:val="BodyText"/>
        <w:spacing w:after="0"/>
        <w:rPr>
          <w:sz w:val="17"/>
        </w:rPr>
        <w:sectPr>
          <w:pgSz w:w="12240" w:h="16200"/>
          <w:pgMar w:top="1040" w:bottom="280" w:left="1080" w:right="1080"/>
        </w:sectPr>
      </w:pPr>
    </w:p>
    <w:p>
      <w:pPr>
        <w:pStyle w:val="BodyText"/>
        <w:spacing w:line="230" w:lineRule="auto" w:before="78"/>
        <w:ind w:left="256" w:right="38"/>
        <w:jc w:val="both"/>
      </w:pPr>
      <w:r>
        <w:rPr>
          <w:color w:val="231F20"/>
        </w:rPr>
        <w:t>been mentioned as parts of a plethora of </w:t>
      </w:r>
      <w:r>
        <w:rPr>
          <w:i/>
          <w:color w:val="231F20"/>
        </w:rPr>
        <w:t>POLG</w:t>
      </w:r>
      <w:r>
        <w:rPr>
          <w:color w:val="231F20"/>
        </w:rPr>
        <w:t>-</w:t>
      </w:r>
      <w:r>
        <w:rPr>
          <w:color w:val="231F20"/>
        </w:rPr>
        <w:t>associated symptoms,</w:t>
      </w:r>
      <w:r>
        <w:rPr>
          <w:color w:val="231F20"/>
          <w:vertAlign w:val="superscript"/>
        </w:rPr>
        <w:t>2,3</w:t>
      </w:r>
      <w:r>
        <w:rPr>
          <w:color w:val="231F20"/>
          <w:vertAlign w:val="baseline"/>
        </w:rPr>
        <w:t> not as the only presenting symptom. Here we report on two siblings from a consanguineous Sicilian family with a homozygous </w:t>
      </w:r>
      <w:r>
        <w:rPr>
          <w:i/>
          <w:color w:val="231F20"/>
          <w:vertAlign w:val="baseline"/>
        </w:rPr>
        <w:t>POLG </w:t>
      </w:r>
      <w:r>
        <w:rPr>
          <w:color w:val="231F20"/>
          <w:vertAlign w:val="baseline"/>
        </w:rPr>
        <w:t>mutation. The index patient pre- sented with a complex hyperkinetic movement disorder as initial symptom, whereas other common </w:t>
      </w:r>
      <w:r>
        <w:rPr>
          <w:i/>
          <w:color w:val="231F20"/>
          <w:vertAlign w:val="baseline"/>
        </w:rPr>
        <w:t>POLG</w:t>
      </w:r>
      <w:r>
        <w:rPr>
          <w:color w:val="231F20"/>
          <w:vertAlign w:val="baseline"/>
        </w:rPr>
        <w:t>-associated symptoms did not evolve until three years later.</w:t>
      </w:r>
    </w:p>
    <w:p>
      <w:pPr>
        <w:pStyle w:val="BodyText"/>
        <w:spacing w:line="230" w:lineRule="auto" w:before="4"/>
        <w:ind w:left="256" w:right="38" w:firstLine="199"/>
        <w:jc w:val="both"/>
      </w:pPr>
      <w:r>
        <w:rPr>
          <w:color w:val="231F20"/>
        </w:rPr>
        <w:t>The index patient (Patient 1) underwent </w:t>
      </w:r>
      <w:r>
        <w:rPr>
          <w:color w:val="231F20"/>
        </w:rPr>
        <w:t>uncomplicated surgery</w:t>
      </w:r>
      <w:r>
        <w:rPr>
          <w:color w:val="231F20"/>
          <w:spacing w:val="31"/>
        </w:rPr>
        <w:t> </w:t>
      </w:r>
      <w:r>
        <w:rPr>
          <w:color w:val="231F20"/>
        </w:rPr>
        <w:t>of</w:t>
      </w:r>
      <w:r>
        <w:rPr>
          <w:color w:val="231F20"/>
          <w:spacing w:val="30"/>
        </w:rPr>
        <w:t> </w:t>
      </w:r>
      <w:r>
        <w:rPr>
          <w:color w:val="231F20"/>
        </w:rPr>
        <w:t>a</w:t>
      </w:r>
      <w:r>
        <w:rPr>
          <w:color w:val="231F20"/>
          <w:spacing w:val="30"/>
        </w:rPr>
        <w:t> </w:t>
      </w:r>
      <w:r>
        <w:rPr>
          <w:color w:val="231F20"/>
        </w:rPr>
        <w:t>right-sided</w:t>
      </w:r>
      <w:r>
        <w:rPr>
          <w:color w:val="231F20"/>
          <w:spacing w:val="31"/>
        </w:rPr>
        <w:t> </w:t>
      </w:r>
      <w:r>
        <w:rPr>
          <w:color w:val="231F20"/>
        </w:rPr>
        <w:t>carpal</w:t>
      </w:r>
      <w:r>
        <w:rPr>
          <w:color w:val="231F20"/>
          <w:spacing w:val="32"/>
        </w:rPr>
        <w:t> </w:t>
      </w:r>
      <w:r>
        <w:rPr>
          <w:color w:val="231F20"/>
        </w:rPr>
        <w:t>tunnel</w:t>
      </w:r>
      <w:r>
        <w:rPr>
          <w:color w:val="231F20"/>
          <w:spacing w:val="30"/>
        </w:rPr>
        <w:t> </w:t>
      </w:r>
      <w:r>
        <w:rPr>
          <w:color w:val="231F20"/>
        </w:rPr>
        <w:t>syndrome</w:t>
      </w:r>
      <w:r>
        <w:rPr>
          <w:color w:val="231F20"/>
          <w:spacing w:val="31"/>
        </w:rPr>
        <w:t> </w:t>
      </w:r>
      <w:r>
        <w:rPr>
          <w:color w:val="231F20"/>
        </w:rPr>
        <w:t>at</w:t>
      </w:r>
      <w:r>
        <w:rPr>
          <w:color w:val="231F20"/>
          <w:spacing w:val="30"/>
        </w:rPr>
        <w:t> </w:t>
      </w:r>
      <w:r>
        <w:rPr>
          <w:color w:val="231F20"/>
        </w:rPr>
        <w:t>32</w:t>
      </w:r>
      <w:r>
        <w:rPr>
          <w:color w:val="231F20"/>
          <w:spacing w:val="31"/>
        </w:rPr>
        <w:t> </w:t>
      </w:r>
      <w:r>
        <w:rPr>
          <w:color w:val="231F20"/>
        </w:rPr>
        <w:t>years of</w:t>
      </w:r>
      <w:r>
        <w:rPr>
          <w:color w:val="231F20"/>
          <w:spacing w:val="40"/>
        </w:rPr>
        <w:t> </w:t>
      </w:r>
      <w:r>
        <w:rPr>
          <w:color w:val="231F20"/>
        </w:rPr>
        <w:t>age.</w:t>
      </w:r>
      <w:r>
        <w:rPr>
          <w:color w:val="231F20"/>
          <w:spacing w:val="40"/>
        </w:rPr>
        <w:t> </w:t>
      </w:r>
      <w:r>
        <w:rPr>
          <w:color w:val="231F20"/>
        </w:rPr>
        <w:t>Two</w:t>
      </w:r>
      <w:r>
        <w:rPr>
          <w:color w:val="231F20"/>
          <w:spacing w:val="40"/>
        </w:rPr>
        <w:t> </w:t>
      </w:r>
      <w:r>
        <w:rPr>
          <w:color w:val="231F20"/>
        </w:rPr>
        <w:t>weeks</w:t>
      </w:r>
      <w:r>
        <w:rPr>
          <w:color w:val="231F20"/>
          <w:spacing w:val="40"/>
        </w:rPr>
        <w:t> </w:t>
      </w:r>
      <w:r>
        <w:rPr>
          <w:color w:val="231F20"/>
        </w:rPr>
        <w:t>later,</w:t>
      </w:r>
      <w:r>
        <w:rPr>
          <w:color w:val="231F20"/>
          <w:spacing w:val="40"/>
        </w:rPr>
        <w:t> </w:t>
      </w:r>
      <w:r>
        <w:rPr>
          <w:color w:val="231F20"/>
        </w:rPr>
        <w:t>she</w:t>
      </w:r>
      <w:r>
        <w:rPr>
          <w:color w:val="231F20"/>
          <w:spacing w:val="40"/>
        </w:rPr>
        <w:t> </w:t>
      </w:r>
      <w:r>
        <w:rPr>
          <w:color w:val="231F20"/>
        </w:rPr>
        <w:t>developed</w:t>
      </w:r>
      <w:r>
        <w:rPr>
          <w:color w:val="231F20"/>
          <w:spacing w:val="40"/>
        </w:rPr>
        <w:t> </w:t>
      </w:r>
      <w:r>
        <w:rPr>
          <w:color w:val="231F20"/>
        </w:rPr>
        <w:t>complex</w:t>
      </w:r>
      <w:r>
        <w:rPr>
          <w:color w:val="231F20"/>
          <w:spacing w:val="40"/>
        </w:rPr>
        <w:t> </w:t>
      </w:r>
      <w:r>
        <w:rPr>
          <w:color w:val="231F20"/>
        </w:rPr>
        <w:t>regional pain syndrome of the operated limb with severe pain and allodynia. Another two weeks later, dystonic posturing of the right hand with rapid jerky wrist and ﬁnger movements mani- fested. These jerks consisted of a complex mixture of phasic dystonic wrist ﬂexions and small amplitude ﬁnger movements (polymini-myoclonus). In addition, continuous jerky move- ments of her feet at rest were observed (Supporting Informa- tion Video, Segment 1), which were presumably preexisting but unrecognized by the patient herself. These movements</w:t>
      </w:r>
      <w:r>
        <w:rPr>
          <w:color w:val="231F20"/>
          <w:spacing w:val="40"/>
        </w:rPr>
        <w:t> </w:t>
      </w:r>
      <w:r>
        <w:rPr>
          <w:color w:val="231F20"/>
        </w:rPr>
        <w:t>were unpatterned and similar to limb movements seen in patients</w:t>
      </w:r>
      <w:r>
        <w:rPr>
          <w:color w:val="231F20"/>
        </w:rPr>
        <w:t> with benign hereditary chorea.</w:t>
      </w:r>
      <w:r>
        <w:rPr>
          <w:color w:val="231F20"/>
          <w:vertAlign w:val="superscript"/>
        </w:rPr>
        <w:t>1,4</w:t>
      </w:r>
      <w:r>
        <w:rPr>
          <w:color w:val="231F20"/>
          <w:vertAlign w:val="baseline"/>
        </w:rPr>
        <w:t> EEG and SEP recordings showed no cortical correlates of the limb jerks but temporo-parietal focal slowing and intermittent temporal</w:t>
      </w:r>
      <w:r>
        <w:rPr>
          <w:color w:val="231F20"/>
          <w:spacing w:val="40"/>
          <w:vertAlign w:val="baseline"/>
        </w:rPr>
        <w:t> </w:t>
      </w:r>
      <w:r>
        <w:rPr>
          <w:color w:val="231F20"/>
          <w:vertAlign w:val="baseline"/>
        </w:rPr>
        <w:t>sharp-slow waves. As the forceful wrist and ﬁnger move- ments triggered pain attacks, injections to wrist and ﬁnger extensors and ﬂexors were given with a total dose of 800 U botulinum</w:t>
      </w:r>
      <w:r>
        <w:rPr>
          <w:color w:val="231F20"/>
          <w:spacing w:val="23"/>
          <w:vertAlign w:val="baseline"/>
        </w:rPr>
        <w:t> </w:t>
      </w:r>
      <w:r>
        <w:rPr>
          <w:color w:val="231F20"/>
          <w:vertAlign w:val="baseline"/>
        </w:rPr>
        <w:t>neurotoxin</w:t>
      </w:r>
      <w:r>
        <w:rPr>
          <w:color w:val="231F20"/>
          <w:spacing w:val="23"/>
          <w:vertAlign w:val="baseline"/>
        </w:rPr>
        <w:t> </w:t>
      </w:r>
      <w:r>
        <w:rPr>
          <w:color w:val="231F20"/>
          <w:vertAlign w:val="baseline"/>
        </w:rPr>
        <w:t>A</w:t>
      </w:r>
      <w:r>
        <w:rPr>
          <w:color w:val="231F20"/>
          <w:spacing w:val="23"/>
          <w:vertAlign w:val="baseline"/>
        </w:rPr>
        <w:t> </w:t>
      </w:r>
      <w:r>
        <w:rPr>
          <w:color w:val="231F20"/>
          <w:vertAlign w:val="baseline"/>
        </w:rPr>
        <w:t>(BoNTA);</w:t>
      </w:r>
      <w:r>
        <w:rPr>
          <w:color w:val="231F20"/>
          <w:spacing w:val="23"/>
          <w:vertAlign w:val="baseline"/>
        </w:rPr>
        <w:t> </w:t>
      </w:r>
      <w:r>
        <w:rPr>
          <w:color w:val="231F20"/>
          <w:vertAlign w:val="baseline"/>
        </w:rPr>
        <w:t>(Dysport,</w:t>
      </w:r>
      <w:r>
        <w:rPr>
          <w:color w:val="231F20"/>
          <w:spacing w:val="24"/>
          <w:vertAlign w:val="baseline"/>
        </w:rPr>
        <w:t> </w:t>
      </w:r>
      <w:r>
        <w:rPr>
          <w:color w:val="231F20"/>
          <w:vertAlign w:val="baseline"/>
        </w:rPr>
        <w:t>Ipsen</w:t>
      </w:r>
      <w:r>
        <w:rPr>
          <w:color w:val="231F20"/>
          <w:spacing w:val="23"/>
          <w:vertAlign w:val="baseline"/>
        </w:rPr>
        <w:t> </w:t>
      </w:r>
      <w:r>
        <w:rPr>
          <w:color w:val="231F20"/>
          <w:spacing w:val="-2"/>
          <w:vertAlign w:val="baseline"/>
        </w:rPr>
        <w:t>Pharma).</w:t>
      </w:r>
    </w:p>
    <w:p>
      <w:pPr>
        <w:pStyle w:val="BodyText"/>
        <w:spacing w:line="230" w:lineRule="auto" w:before="78"/>
        <w:ind w:left="256" w:right="217"/>
        <w:jc w:val="both"/>
      </w:pPr>
      <w:r>
        <w:rPr/>
        <w:br w:type="column"/>
      </w:r>
      <w:r>
        <w:rPr>
          <w:color w:val="231F20"/>
        </w:rPr>
        <w:t>Injections dramatically reduced movement-induced </w:t>
      </w:r>
      <w:r>
        <w:rPr>
          <w:color w:val="231F20"/>
        </w:rPr>
        <w:t>pain</w:t>
      </w:r>
      <w:r>
        <w:rPr>
          <w:color w:val="231F20"/>
          <w:spacing w:val="40"/>
        </w:rPr>
        <w:t> </w:t>
      </w:r>
      <w:r>
        <w:rPr>
          <w:color w:val="231F20"/>
        </w:rPr>
        <w:t>attacks and were repeated every 3-month since then (Sup- porting Information Video, Segment 2). Severe depression</w:t>
      </w:r>
      <w:r>
        <w:rPr>
          <w:color w:val="231F20"/>
          <w:spacing w:val="40"/>
        </w:rPr>
        <w:t> </w:t>
      </w:r>
      <w:r>
        <w:rPr>
          <w:color w:val="231F20"/>
        </w:rPr>
        <w:t>with recurrent anxiety attacks necessitated admission to the local psychiatric hospital. Secondary generalized seizures and premature amenorrhoea started at the age of 33 years. Com- prehensive neuropsychological testing revealed below-aver- age</w:t>
      </w:r>
      <w:r>
        <w:rPr>
          <w:color w:val="231F20"/>
          <w:spacing w:val="27"/>
        </w:rPr>
        <w:t> </w:t>
      </w:r>
      <w:r>
        <w:rPr>
          <w:color w:val="231F20"/>
        </w:rPr>
        <w:t>cognitive</w:t>
      </w:r>
      <w:r>
        <w:rPr>
          <w:color w:val="231F20"/>
          <w:spacing w:val="28"/>
        </w:rPr>
        <w:t> </w:t>
      </w:r>
      <w:r>
        <w:rPr>
          <w:color w:val="231F20"/>
        </w:rPr>
        <w:t>capacities.</w:t>
      </w:r>
      <w:r>
        <w:rPr>
          <w:color w:val="231F20"/>
          <w:spacing w:val="27"/>
        </w:rPr>
        <w:t> </w:t>
      </w:r>
      <w:r>
        <w:rPr>
          <w:color w:val="231F20"/>
        </w:rPr>
        <w:t>At</w:t>
      </w:r>
      <w:r>
        <w:rPr>
          <w:color w:val="231F20"/>
          <w:spacing w:val="28"/>
        </w:rPr>
        <w:t> </w:t>
      </w:r>
      <w:r>
        <w:rPr>
          <w:color w:val="231F20"/>
        </w:rPr>
        <w:t>the</w:t>
      </w:r>
      <w:r>
        <w:rPr>
          <w:color w:val="231F20"/>
          <w:spacing w:val="27"/>
        </w:rPr>
        <w:t> </w:t>
      </w:r>
      <w:r>
        <w:rPr>
          <w:color w:val="231F20"/>
        </w:rPr>
        <w:t>age</w:t>
      </w:r>
      <w:r>
        <w:rPr>
          <w:color w:val="231F20"/>
          <w:spacing w:val="27"/>
        </w:rPr>
        <w:t> </w:t>
      </w:r>
      <w:r>
        <w:rPr>
          <w:color w:val="231F20"/>
        </w:rPr>
        <w:t>of</w:t>
      </w:r>
      <w:r>
        <w:rPr>
          <w:color w:val="231F20"/>
          <w:spacing w:val="27"/>
        </w:rPr>
        <w:t> </w:t>
      </w:r>
      <w:r>
        <w:rPr>
          <w:color w:val="231F20"/>
        </w:rPr>
        <w:t>35</w:t>
      </w:r>
      <w:r>
        <w:rPr>
          <w:color w:val="231F20"/>
          <w:spacing w:val="26"/>
        </w:rPr>
        <w:t> </w:t>
      </w:r>
      <w:r>
        <w:rPr>
          <w:color w:val="231F20"/>
        </w:rPr>
        <w:t>years,</w:t>
      </w:r>
      <w:r>
        <w:rPr>
          <w:color w:val="231F20"/>
          <w:spacing w:val="28"/>
        </w:rPr>
        <w:t> </w:t>
      </w:r>
      <w:r>
        <w:rPr>
          <w:color w:val="231F20"/>
        </w:rPr>
        <w:t>she</w:t>
      </w:r>
      <w:r>
        <w:rPr>
          <w:color w:val="231F20"/>
          <w:spacing w:val="27"/>
        </w:rPr>
        <w:t> </w:t>
      </w:r>
      <w:r>
        <w:rPr>
          <w:color w:val="231F20"/>
        </w:rPr>
        <w:t>started to develop sensory neuropathy, mild external ophthalmople- gia, and subtle gait ataxia, yet without leading to incapacita- tions in daily life (Supporting Information Video, Segment 3) (for MRI images, see Fig. 1).</w:t>
      </w:r>
    </w:p>
    <w:p>
      <w:pPr>
        <w:pStyle w:val="BodyText"/>
        <w:spacing w:line="230" w:lineRule="auto" w:before="7"/>
        <w:ind w:left="256" w:right="216" w:firstLine="199"/>
        <w:jc w:val="both"/>
      </w:pPr>
      <w:r>
        <w:rPr>
          <w:color w:val="231F20"/>
        </w:rPr>
        <w:t>Patient 2, the index patient’s sister, manifested with </w:t>
      </w:r>
      <w:r>
        <w:rPr>
          <w:color w:val="231F20"/>
        </w:rPr>
        <w:t>slowly progressive</w:t>
      </w:r>
      <w:r>
        <w:rPr>
          <w:color w:val="231F20"/>
          <w:spacing w:val="-4"/>
        </w:rPr>
        <w:t> </w:t>
      </w:r>
      <w:r>
        <w:rPr>
          <w:color w:val="231F20"/>
        </w:rPr>
        <w:t>cognitive</w:t>
      </w:r>
      <w:r>
        <w:rPr>
          <w:color w:val="231F20"/>
          <w:spacing w:val="-5"/>
        </w:rPr>
        <w:t> </w:t>
      </w:r>
      <w:r>
        <w:rPr>
          <w:color w:val="231F20"/>
        </w:rPr>
        <w:t>deﬁcits</w:t>
      </w:r>
      <w:r>
        <w:rPr>
          <w:color w:val="231F20"/>
          <w:spacing w:val="-6"/>
        </w:rPr>
        <w:t> </w:t>
      </w:r>
      <w:r>
        <w:rPr>
          <w:color w:val="231F20"/>
        </w:rPr>
        <w:t>during</w:t>
      </w:r>
      <w:r>
        <w:rPr>
          <w:color w:val="231F20"/>
          <w:spacing w:val="-5"/>
        </w:rPr>
        <w:t> </w:t>
      </w:r>
      <w:r>
        <w:rPr>
          <w:color w:val="231F20"/>
        </w:rPr>
        <w:t>primary</w:t>
      </w:r>
      <w:r>
        <w:rPr>
          <w:color w:val="231F20"/>
          <w:spacing w:val="-5"/>
        </w:rPr>
        <w:t> </w:t>
      </w:r>
      <w:r>
        <w:rPr>
          <w:color w:val="231F20"/>
        </w:rPr>
        <w:t>school,</w:t>
      </w:r>
      <w:r>
        <w:rPr>
          <w:color w:val="231F20"/>
          <w:spacing w:val="-5"/>
        </w:rPr>
        <w:t> </w:t>
      </w:r>
      <w:r>
        <w:rPr>
          <w:color w:val="231F20"/>
        </w:rPr>
        <w:t>leading</w:t>
      </w:r>
      <w:r>
        <w:rPr>
          <w:color w:val="231F20"/>
          <w:spacing w:val="-4"/>
        </w:rPr>
        <w:t> </w:t>
      </w:r>
      <w:r>
        <w:rPr>
          <w:color w:val="231F20"/>
        </w:rPr>
        <w:t>to severe cognitive deﬁcits at the age of 40. At age 13 years, epileptic seizures, recurrent headaches, and mild personality changes</w:t>
      </w:r>
      <w:r>
        <w:rPr>
          <w:color w:val="231F20"/>
          <w:spacing w:val="-2"/>
        </w:rPr>
        <w:t> </w:t>
      </w:r>
      <w:r>
        <w:rPr>
          <w:color w:val="231F20"/>
        </w:rPr>
        <w:t>started.</w:t>
      </w:r>
      <w:r>
        <w:rPr>
          <w:color w:val="231F20"/>
          <w:spacing w:val="-2"/>
        </w:rPr>
        <w:t> </w:t>
      </w:r>
      <w:r>
        <w:rPr>
          <w:color w:val="231F20"/>
        </w:rPr>
        <w:t>The</w:t>
      </w:r>
      <w:r>
        <w:rPr>
          <w:color w:val="231F20"/>
          <w:spacing w:val="-2"/>
        </w:rPr>
        <w:t> </w:t>
      </w:r>
      <w:r>
        <w:rPr>
          <w:color w:val="231F20"/>
        </w:rPr>
        <w:t>movement</w:t>
      </w:r>
      <w:r>
        <w:rPr>
          <w:color w:val="231F20"/>
          <w:spacing w:val="-2"/>
        </w:rPr>
        <w:t> </w:t>
      </w:r>
      <w:r>
        <w:rPr>
          <w:color w:val="231F20"/>
        </w:rPr>
        <w:t>disorder</w:t>
      </w:r>
      <w:r>
        <w:rPr>
          <w:color w:val="231F20"/>
          <w:spacing w:val="-2"/>
        </w:rPr>
        <w:t> </w:t>
      </w:r>
      <w:r>
        <w:rPr>
          <w:color w:val="231F20"/>
        </w:rPr>
        <w:t>was</w:t>
      </w:r>
      <w:r>
        <w:rPr>
          <w:color w:val="231F20"/>
          <w:spacing w:val="-2"/>
        </w:rPr>
        <w:t> </w:t>
      </w:r>
      <w:r>
        <w:rPr>
          <w:color w:val="231F20"/>
        </w:rPr>
        <w:t>similar</w:t>
      </w:r>
      <w:r>
        <w:rPr>
          <w:color w:val="231F20"/>
          <w:spacing w:val="-2"/>
        </w:rPr>
        <w:t> </w:t>
      </w:r>
      <w:r>
        <w:rPr>
          <w:color w:val="231F20"/>
        </w:rPr>
        <w:t>to</w:t>
      </w:r>
      <w:r>
        <w:rPr>
          <w:color w:val="231F20"/>
          <w:spacing w:val="-2"/>
        </w:rPr>
        <w:t> </w:t>
      </w:r>
      <w:r>
        <w:rPr>
          <w:color w:val="231F20"/>
        </w:rPr>
        <w:t>her</w:t>
      </w:r>
      <w:r>
        <w:rPr>
          <w:color w:val="231F20"/>
          <w:spacing w:val="-2"/>
        </w:rPr>
        <w:t> </w:t>
      </w:r>
      <w:r>
        <w:rPr>
          <w:color w:val="231F20"/>
        </w:rPr>
        <w:t>sis- ter’s: action-triggered myoclonus started at the left arm at age 14 years and generalized afterwards, whereas dystonic ulnar deviation</w:t>
      </w:r>
      <w:r>
        <w:rPr>
          <w:color w:val="231F20"/>
          <w:spacing w:val="-5"/>
        </w:rPr>
        <w:t> </w:t>
      </w:r>
      <w:r>
        <w:rPr>
          <w:color w:val="231F20"/>
        </w:rPr>
        <w:t>of</w:t>
      </w:r>
      <w:r>
        <w:rPr>
          <w:color w:val="231F20"/>
          <w:spacing w:val="-6"/>
        </w:rPr>
        <w:t> </w:t>
      </w:r>
      <w:r>
        <w:rPr>
          <w:color w:val="231F20"/>
        </w:rPr>
        <w:t>the</w:t>
      </w:r>
      <w:r>
        <w:rPr>
          <w:color w:val="231F20"/>
          <w:spacing w:val="-6"/>
        </w:rPr>
        <w:t> </w:t>
      </w:r>
      <w:r>
        <w:rPr>
          <w:color w:val="231F20"/>
        </w:rPr>
        <w:t>right</w:t>
      </w:r>
      <w:r>
        <w:rPr>
          <w:color w:val="231F20"/>
          <w:spacing w:val="-5"/>
        </w:rPr>
        <w:t> </w:t>
      </w:r>
      <w:r>
        <w:rPr>
          <w:color w:val="231F20"/>
        </w:rPr>
        <w:t>hand</w:t>
      </w:r>
      <w:r>
        <w:rPr>
          <w:color w:val="231F20"/>
          <w:spacing w:val="-5"/>
        </w:rPr>
        <w:t> </w:t>
      </w:r>
      <w:r>
        <w:rPr>
          <w:color w:val="231F20"/>
        </w:rPr>
        <w:t>with</w:t>
      </w:r>
      <w:r>
        <w:rPr>
          <w:color w:val="231F20"/>
          <w:spacing w:val="-6"/>
        </w:rPr>
        <w:t> </w:t>
      </w:r>
      <w:r>
        <w:rPr>
          <w:color w:val="231F20"/>
        </w:rPr>
        <w:t>ﬂexion</w:t>
      </w:r>
      <w:r>
        <w:rPr>
          <w:color w:val="231F20"/>
          <w:spacing w:val="-6"/>
        </w:rPr>
        <w:t> </w:t>
      </w:r>
      <w:r>
        <w:rPr>
          <w:color w:val="231F20"/>
        </w:rPr>
        <w:t>of</w:t>
      </w:r>
      <w:r>
        <w:rPr>
          <w:color w:val="231F20"/>
          <w:spacing w:val="-5"/>
        </w:rPr>
        <w:t> </w:t>
      </w:r>
      <w:r>
        <w:rPr>
          <w:color w:val="231F20"/>
        </w:rPr>
        <w:t>the</w:t>
      </w:r>
      <w:r>
        <w:rPr>
          <w:color w:val="231F20"/>
          <w:spacing w:val="-6"/>
        </w:rPr>
        <w:t> </w:t>
      </w:r>
      <w:r>
        <w:rPr>
          <w:color w:val="231F20"/>
        </w:rPr>
        <w:t>ﬁngers</w:t>
      </w:r>
      <w:r>
        <w:rPr>
          <w:color w:val="231F20"/>
          <w:spacing w:val="-6"/>
        </w:rPr>
        <w:t> </w:t>
      </w:r>
      <w:r>
        <w:rPr>
          <w:color w:val="231F20"/>
        </w:rPr>
        <w:t>III–V</w:t>
      </w:r>
      <w:r>
        <w:rPr>
          <w:color w:val="231F20"/>
          <w:spacing w:val="-5"/>
        </w:rPr>
        <w:t> </w:t>
      </w:r>
      <w:r>
        <w:rPr>
          <w:color w:val="231F20"/>
        </w:rPr>
        <w:t>was ﬁrst noticed at age 20 years. Since then, she also developed progressive cerebellar ataxia and became wheel-chair bound at the age of 31. At the last examination (age 40 years) incom- plete chronic progressive external ophthalmoplegia (PEO); (Supporting Information Video, Segment 5) and severe axonal sensorimotor</w:t>
      </w:r>
      <w:r>
        <w:rPr>
          <w:color w:val="231F20"/>
          <w:spacing w:val="-4"/>
        </w:rPr>
        <w:t> </w:t>
      </w:r>
      <w:r>
        <w:rPr>
          <w:color w:val="231F20"/>
        </w:rPr>
        <w:t>neuropathy</w:t>
      </w:r>
      <w:r>
        <w:rPr>
          <w:color w:val="231F20"/>
          <w:spacing w:val="-4"/>
        </w:rPr>
        <w:t> </w:t>
      </w:r>
      <w:r>
        <w:rPr>
          <w:color w:val="231F20"/>
        </w:rPr>
        <w:t>were</w:t>
      </w:r>
      <w:r>
        <w:rPr>
          <w:color w:val="231F20"/>
          <w:spacing w:val="-4"/>
        </w:rPr>
        <w:t> </w:t>
      </w:r>
      <w:r>
        <w:rPr>
          <w:color w:val="231F20"/>
        </w:rPr>
        <w:t>detected.</w:t>
      </w:r>
      <w:r>
        <w:rPr>
          <w:color w:val="231F20"/>
          <w:spacing w:val="-3"/>
        </w:rPr>
        <w:t> </w:t>
      </w:r>
      <w:r>
        <w:rPr>
          <w:color w:val="231F20"/>
        </w:rPr>
        <w:t>As</w:t>
      </w:r>
      <w:r>
        <w:rPr>
          <w:color w:val="231F20"/>
          <w:spacing w:val="-4"/>
        </w:rPr>
        <w:t> </w:t>
      </w:r>
      <w:r>
        <w:rPr>
          <w:color w:val="231F20"/>
        </w:rPr>
        <w:t>her</w:t>
      </w:r>
      <w:r>
        <w:rPr>
          <w:color w:val="231F20"/>
          <w:spacing w:val="-4"/>
        </w:rPr>
        <w:t> </w:t>
      </w:r>
      <w:r>
        <w:rPr>
          <w:color w:val="231F20"/>
        </w:rPr>
        <w:t>phenotype</w:t>
      </w:r>
      <w:r>
        <w:rPr>
          <w:color w:val="231F20"/>
          <w:spacing w:val="-4"/>
        </w:rPr>
        <w:t> </w:t>
      </w:r>
      <w:r>
        <w:rPr>
          <w:color w:val="231F20"/>
        </w:rPr>
        <w:t>sug- gested</w:t>
      </w:r>
      <w:r>
        <w:rPr>
          <w:color w:val="231F20"/>
          <w:spacing w:val="50"/>
        </w:rPr>
        <w:t> </w:t>
      </w:r>
      <w:r>
        <w:rPr>
          <w:color w:val="231F20"/>
        </w:rPr>
        <w:t>mitochondrial</w:t>
      </w:r>
      <w:r>
        <w:rPr>
          <w:color w:val="231F20"/>
          <w:spacing w:val="51"/>
        </w:rPr>
        <w:t> </w:t>
      </w:r>
      <w:r>
        <w:rPr>
          <w:color w:val="231F20"/>
        </w:rPr>
        <w:t>recessive</w:t>
      </w:r>
      <w:r>
        <w:rPr>
          <w:color w:val="231F20"/>
          <w:spacing w:val="52"/>
        </w:rPr>
        <w:t> </w:t>
      </w:r>
      <w:r>
        <w:rPr>
          <w:color w:val="231F20"/>
        </w:rPr>
        <w:t>ataxia</w:t>
      </w:r>
      <w:r>
        <w:rPr>
          <w:color w:val="231F20"/>
          <w:spacing w:val="50"/>
        </w:rPr>
        <w:t> </w:t>
      </w:r>
      <w:r>
        <w:rPr>
          <w:color w:val="231F20"/>
        </w:rPr>
        <w:t>syndrome</w:t>
      </w:r>
      <w:r>
        <w:rPr>
          <w:color w:val="231F20"/>
          <w:spacing w:val="50"/>
        </w:rPr>
        <w:t> </w:t>
      </w:r>
      <w:r>
        <w:rPr>
          <w:color w:val="231F20"/>
          <w:spacing w:val="-2"/>
        </w:rPr>
        <w:t>(MIRAS),</w:t>
      </w:r>
      <w:r>
        <w:rPr>
          <w:color w:val="231F20"/>
          <w:spacing w:val="-2"/>
          <w:vertAlign w:val="superscript"/>
        </w:rPr>
        <w:t>6</w:t>
      </w:r>
    </w:p>
    <w:p>
      <w:pPr>
        <w:pStyle w:val="BodyText"/>
        <w:spacing w:after="0" w:line="230" w:lineRule="auto"/>
        <w:jc w:val="both"/>
        <w:sectPr>
          <w:type w:val="continuous"/>
          <w:pgSz w:w="12240" w:h="16200"/>
          <w:pgMar w:top="1060" w:bottom="280" w:left="1080" w:right="1080"/>
          <w:cols w:num="2" w:equalWidth="0">
            <w:col w:w="4861" w:space="181"/>
            <w:col w:w="5038"/>
          </w:cols>
        </w:sectPr>
      </w:pPr>
    </w:p>
    <w:p>
      <w:pPr>
        <w:pStyle w:val="BodyText"/>
        <w:rPr>
          <w:sz w:val="14"/>
        </w:rPr>
      </w:pPr>
      <w:r>
        <w:rPr>
          <w:sz w:val="14"/>
        </w:rPr>
        <mc:AlternateContent>
          <mc:Choice Requires="wps">
            <w:drawing>
              <wp:anchor distT="0" distB="0" distL="0" distR="0" allowOverlap="1" layoutInCell="1" locked="0" behindDoc="0" simplePos="0" relativeHeight="15740416">
                <wp:simplePos x="0" y="0"/>
                <wp:positionH relativeFrom="page">
                  <wp:posOffset>7555927</wp:posOffset>
                </wp:positionH>
                <wp:positionV relativeFrom="page">
                  <wp:posOffset>208819</wp:posOffset>
                </wp:positionV>
                <wp:extent cx="95885" cy="987552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95885" cy="9875520"/>
                        </a:xfrm>
                        <a:prstGeom prst="rect">
                          <a:avLst/>
                        </a:prstGeom>
                      </wps:spPr>
                      <wps:txbx>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wps:txbx>
                      <wps:bodyPr wrap="square" lIns="0" tIns="0" rIns="0" bIns="0" rtlCol="0" vert="vert">
                        <a:noAutofit/>
                      </wps:bodyPr>
                    </wps:wsp>
                  </a:graphicData>
                </a:graphic>
              </wp:anchor>
            </w:drawing>
          </mc:Choice>
          <mc:Fallback>
            <w:pict>
              <v:shape style="position:absolute;margin-left:594.954956pt;margin-top:16.442499pt;width:7.55pt;height:777.6pt;mso-position-horizontal-relative:page;mso-position-vertical-relative:page;z-index:15740416" type="#_x0000_t202" id="docshape20" filled="false" stroked="false">
                <v:textbox inset="0,0,0,0" style="layout-flow:vertical">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v:textbox>
                <w10:wrap type="none"/>
              </v:shape>
            </w:pict>
          </mc:Fallback>
        </mc:AlternateContent>
      </w:r>
    </w:p>
    <w:p>
      <w:pPr>
        <w:pStyle w:val="BodyText"/>
        <w:rPr>
          <w:sz w:val="14"/>
        </w:rPr>
      </w:pPr>
    </w:p>
    <w:p>
      <w:pPr>
        <w:pStyle w:val="BodyText"/>
        <w:rPr>
          <w:sz w:val="14"/>
        </w:rPr>
      </w:pPr>
    </w:p>
    <w:p>
      <w:pPr>
        <w:pStyle w:val="BodyText"/>
        <w:spacing w:before="47"/>
        <w:rPr>
          <w:sz w:val="14"/>
        </w:rPr>
      </w:pPr>
    </w:p>
    <w:p>
      <w:pPr>
        <w:spacing w:before="0"/>
        <w:ind w:left="0" w:right="217" w:firstLine="0"/>
        <w:jc w:val="right"/>
        <w:rPr>
          <w:i/>
          <w:sz w:val="14"/>
        </w:rPr>
      </w:pPr>
      <w:r>
        <w:rPr>
          <w:i/>
          <w:color w:val="231F20"/>
          <w:sz w:val="14"/>
        </w:rPr>
        <w:t>Movement</w:t>
      </w:r>
      <w:r>
        <w:rPr>
          <w:i/>
          <w:color w:val="231F20"/>
          <w:spacing w:val="9"/>
          <w:sz w:val="14"/>
        </w:rPr>
        <w:t> </w:t>
      </w:r>
      <w:r>
        <w:rPr>
          <w:i/>
          <w:color w:val="231F20"/>
          <w:sz w:val="14"/>
        </w:rPr>
        <w:t>Disorders,</w:t>
      </w:r>
      <w:r>
        <w:rPr>
          <w:i/>
          <w:color w:val="231F20"/>
          <w:spacing w:val="9"/>
          <w:sz w:val="14"/>
        </w:rPr>
        <w:t> </w:t>
      </w:r>
      <w:r>
        <w:rPr>
          <w:i/>
          <w:color w:val="231F20"/>
          <w:sz w:val="14"/>
        </w:rPr>
        <w:t>Vol.</w:t>
      </w:r>
      <w:r>
        <w:rPr>
          <w:i/>
          <w:color w:val="231F20"/>
          <w:spacing w:val="8"/>
          <w:sz w:val="14"/>
        </w:rPr>
        <w:t> </w:t>
      </w:r>
      <w:r>
        <w:rPr>
          <w:i/>
          <w:color w:val="231F20"/>
          <w:sz w:val="14"/>
        </w:rPr>
        <w:t>25,</w:t>
      </w:r>
      <w:r>
        <w:rPr>
          <w:i/>
          <w:color w:val="231F20"/>
          <w:spacing w:val="9"/>
          <w:sz w:val="14"/>
        </w:rPr>
        <w:t> </w:t>
      </w:r>
      <w:r>
        <w:rPr>
          <w:i/>
          <w:color w:val="231F20"/>
          <w:sz w:val="14"/>
        </w:rPr>
        <w:t>No.</w:t>
      </w:r>
      <w:r>
        <w:rPr>
          <w:i/>
          <w:color w:val="231F20"/>
          <w:spacing w:val="9"/>
          <w:sz w:val="14"/>
        </w:rPr>
        <w:t> </w:t>
      </w:r>
      <w:r>
        <w:rPr>
          <w:i/>
          <w:color w:val="231F20"/>
          <w:sz w:val="14"/>
        </w:rPr>
        <w:t>14,</w:t>
      </w:r>
      <w:r>
        <w:rPr>
          <w:i/>
          <w:color w:val="231F20"/>
          <w:spacing w:val="8"/>
          <w:sz w:val="14"/>
        </w:rPr>
        <w:t> </w:t>
      </w:r>
      <w:r>
        <w:rPr>
          <w:i/>
          <w:color w:val="231F20"/>
          <w:spacing w:val="-4"/>
          <w:sz w:val="14"/>
        </w:rPr>
        <w:t>2010</w:t>
      </w:r>
    </w:p>
    <w:p>
      <w:pPr>
        <w:spacing w:after="0"/>
        <w:jc w:val="right"/>
        <w:rPr>
          <w:i/>
          <w:sz w:val="14"/>
        </w:rPr>
        <w:sectPr>
          <w:type w:val="continuous"/>
          <w:pgSz w:w="12240" w:h="16200"/>
          <w:pgMar w:top="1060" w:bottom="280" w:left="1080" w:right="1080"/>
        </w:sectPr>
      </w:pPr>
    </w:p>
    <w:p>
      <w:pPr>
        <w:pStyle w:val="Heading3"/>
        <w:tabs>
          <w:tab w:pos="3890" w:val="left" w:leader="none"/>
        </w:tabs>
        <w:ind w:left="256"/>
      </w:pPr>
      <w:r>
        <w:rPr>
          <w:color w:val="231F20"/>
          <w:spacing w:val="-4"/>
        </w:rPr>
        <w:t>2474</w:t>
      </w:r>
      <w:r>
        <w:rPr>
          <w:color w:val="231F20"/>
        </w:rPr>
        <w:tab/>
        <w:t>LETTERS</w:t>
      </w:r>
      <w:r>
        <w:rPr>
          <w:color w:val="231F20"/>
          <w:spacing w:val="12"/>
        </w:rPr>
        <w:t> </w:t>
      </w:r>
      <w:r>
        <w:rPr>
          <w:color w:val="231F20"/>
        </w:rPr>
        <w:t>TO</w:t>
      </w:r>
      <w:r>
        <w:rPr>
          <w:color w:val="231F20"/>
          <w:spacing w:val="10"/>
        </w:rPr>
        <w:t> </w:t>
      </w:r>
      <w:r>
        <w:rPr>
          <w:color w:val="231F20"/>
        </w:rPr>
        <w:t>THE</w:t>
      </w:r>
      <w:r>
        <w:rPr>
          <w:color w:val="231F20"/>
          <w:spacing w:val="11"/>
        </w:rPr>
        <w:t> </w:t>
      </w:r>
      <w:r>
        <w:rPr>
          <w:color w:val="231F20"/>
          <w:spacing w:val="-2"/>
        </w:rPr>
        <w:t>EDITOR</w:t>
      </w:r>
    </w:p>
    <w:p>
      <w:pPr>
        <w:pStyle w:val="BodyText"/>
        <w:spacing w:before="82"/>
        <w:rPr>
          <w:i/>
          <w:sz w:val="20"/>
        </w:rPr>
      </w:pPr>
    </w:p>
    <w:p>
      <w:pPr>
        <w:pStyle w:val="BodyText"/>
        <w:spacing w:after="0"/>
        <w:rPr>
          <w:i/>
          <w:sz w:val="20"/>
        </w:rPr>
        <w:sectPr>
          <w:pgSz w:w="12240" w:h="16200"/>
          <w:pgMar w:top="1040" w:bottom="280" w:left="1080" w:right="1080"/>
        </w:sectPr>
      </w:pPr>
    </w:p>
    <w:p>
      <w:pPr>
        <w:pStyle w:val="BodyText"/>
        <w:spacing w:line="230" w:lineRule="auto" w:before="78"/>
        <w:ind w:left="256" w:right="38"/>
        <w:jc w:val="both"/>
      </w:pPr>
      <w:r>
        <w:rPr>
          <w:color w:val="231F20"/>
        </w:rPr>
        <w:t>genetic analysis of the </w:t>
      </w:r>
      <w:r>
        <w:rPr>
          <w:i/>
          <w:color w:val="231F20"/>
        </w:rPr>
        <w:t>POLG </w:t>
      </w:r>
      <w:r>
        <w:rPr>
          <w:color w:val="231F20"/>
        </w:rPr>
        <w:t>gene was initiated, revealing </w:t>
      </w:r>
      <w:r>
        <w:rPr>
          <w:color w:val="231F20"/>
        </w:rPr>
        <w:t>a homozygous W748S mutation in both patients. Genotyping of intragenic single nucleotide polymorphism (SNPs) rs2072267, rs2307433, rs2246900, rs2302084, and rs2307438 showed a homozygous</w:t>
      </w:r>
      <w:r>
        <w:rPr>
          <w:color w:val="231F20"/>
          <w:spacing w:val="-5"/>
        </w:rPr>
        <w:t> </w:t>
      </w:r>
      <w:r>
        <w:rPr>
          <w:color w:val="231F20"/>
        </w:rPr>
        <w:t>‘‘C-Insertion-G-C-G’’</w:t>
      </w:r>
      <w:r>
        <w:rPr>
          <w:color w:val="231F20"/>
          <w:spacing w:val="-5"/>
        </w:rPr>
        <w:t> </w:t>
      </w:r>
      <w:r>
        <w:rPr>
          <w:color w:val="231F20"/>
        </w:rPr>
        <w:t>haplotype,</w:t>
      </w:r>
      <w:r>
        <w:rPr>
          <w:color w:val="231F20"/>
          <w:spacing w:val="-5"/>
        </w:rPr>
        <w:t> </w:t>
      </w:r>
      <w:r>
        <w:rPr>
          <w:color w:val="231F20"/>
        </w:rPr>
        <w:t>which</w:t>
      </w:r>
      <w:r>
        <w:rPr>
          <w:color w:val="231F20"/>
          <w:spacing w:val="-5"/>
        </w:rPr>
        <w:t> </w:t>
      </w:r>
      <w:r>
        <w:rPr>
          <w:color w:val="231F20"/>
        </w:rPr>
        <w:t>is</w:t>
      </w:r>
      <w:r>
        <w:rPr>
          <w:color w:val="231F20"/>
          <w:spacing w:val="-5"/>
        </w:rPr>
        <w:t> </w:t>
      </w:r>
      <w:r>
        <w:rPr>
          <w:color w:val="231F20"/>
        </w:rPr>
        <w:t>identi- cal to</w:t>
      </w:r>
      <w:r>
        <w:rPr>
          <w:color w:val="231F20"/>
          <w:spacing w:val="-1"/>
        </w:rPr>
        <w:t> </w:t>
      </w:r>
      <w:r>
        <w:rPr>
          <w:color w:val="231F20"/>
        </w:rPr>
        <w:t>the</w:t>
      </w:r>
      <w:r>
        <w:rPr>
          <w:color w:val="231F20"/>
          <w:spacing w:val="-1"/>
        </w:rPr>
        <w:t> </w:t>
      </w:r>
      <w:r>
        <w:rPr>
          <w:color w:val="231F20"/>
        </w:rPr>
        <w:t>haplotype common</w:t>
      </w:r>
      <w:r>
        <w:rPr>
          <w:color w:val="231F20"/>
          <w:spacing w:val="-1"/>
        </w:rPr>
        <w:t> </w:t>
      </w:r>
      <w:r>
        <w:rPr>
          <w:color w:val="231F20"/>
        </w:rPr>
        <w:t>in</w:t>
      </w:r>
      <w:r>
        <w:rPr>
          <w:color w:val="231F20"/>
          <w:spacing w:val="-1"/>
        </w:rPr>
        <w:t> </w:t>
      </w:r>
      <w:r>
        <w:rPr>
          <w:color w:val="231F20"/>
        </w:rPr>
        <w:t>North European</w:t>
      </w:r>
      <w:r>
        <w:rPr>
          <w:color w:val="231F20"/>
          <w:spacing w:val="-1"/>
        </w:rPr>
        <w:t> </w:t>
      </w:r>
      <w:r>
        <w:rPr>
          <w:color w:val="231F20"/>
        </w:rPr>
        <w:t>W748S muta- tion carriers</w:t>
      </w:r>
      <w:r>
        <w:rPr>
          <w:color w:val="231F20"/>
          <w:vertAlign w:val="superscript"/>
        </w:rPr>
        <w:t>6</w:t>
      </w:r>
      <w:r>
        <w:rPr>
          <w:color w:val="231F20"/>
          <w:vertAlign w:val="baseline"/>
        </w:rPr>
        <w:t> and thus suggests a relation between an ancient founder from North Europe and these Sicilian patients.</w:t>
      </w:r>
    </w:p>
    <w:p>
      <w:pPr>
        <w:pStyle w:val="BodyText"/>
        <w:spacing w:line="230" w:lineRule="auto" w:before="5"/>
        <w:ind w:left="256" w:right="38" w:firstLine="199"/>
        <w:jc w:val="both"/>
      </w:pPr>
      <w:r>
        <w:rPr>
          <w:color w:val="231F20"/>
        </w:rPr>
        <w:t>Our ﬁndings demonstrate that </w:t>
      </w:r>
      <w:r>
        <w:rPr>
          <w:i/>
          <w:color w:val="231F20"/>
        </w:rPr>
        <w:t>POLG </w:t>
      </w:r>
      <w:r>
        <w:rPr>
          <w:color w:val="231F20"/>
        </w:rPr>
        <w:t>mutations should </w:t>
      </w:r>
      <w:r>
        <w:rPr>
          <w:color w:val="231F20"/>
        </w:rPr>
        <w:t>be considered in the workup of progressive complex hyperkinetic movement disorders. As of yet, hyperkinetic movements like myoclonus and chorea have been mentioned in </w:t>
      </w:r>
      <w:r>
        <w:rPr>
          <w:i/>
          <w:color w:val="231F20"/>
        </w:rPr>
        <w:t>POLG </w:t>
      </w:r>
      <w:r>
        <w:rPr>
          <w:color w:val="231F20"/>
        </w:rPr>
        <w:t>patients mainly as part of a plethora of </w:t>
      </w:r>
      <w:r>
        <w:rPr>
          <w:i/>
          <w:color w:val="231F20"/>
        </w:rPr>
        <w:t>POLG</w:t>
      </w:r>
      <w:r>
        <w:rPr>
          <w:color w:val="231F20"/>
        </w:rPr>
        <w:t>-associated symptoms.</w:t>
      </w:r>
      <w:r>
        <w:rPr>
          <w:color w:val="231F20"/>
          <w:vertAlign w:val="superscript"/>
        </w:rPr>
        <w:t>2,3</w:t>
      </w:r>
      <w:r>
        <w:rPr>
          <w:color w:val="231F20"/>
          <w:vertAlign w:val="baseline"/>
        </w:rPr>
        <w:t> As shown in Patient 1, complex hyperkinetic movements pre- senting with myoclonus, dystonia, and possibly also choreic elements may be the only feature seen for several years. This ﬁnding moreover demonstrates that not only apraxia of eye lid opening</w:t>
      </w:r>
      <w:r>
        <w:rPr>
          <w:color w:val="231F20"/>
          <w:vertAlign w:val="superscript"/>
        </w:rPr>
        <w:t>7</w:t>
      </w:r>
      <w:r>
        <w:rPr>
          <w:color w:val="231F20"/>
          <w:vertAlign w:val="baseline"/>
        </w:rPr>
        <w:t> and dystonic toe curling,</w:t>
      </w:r>
      <w:r>
        <w:rPr>
          <w:color w:val="231F20"/>
          <w:vertAlign w:val="superscript"/>
        </w:rPr>
        <w:t>8</w:t>
      </w:r>
      <w:r>
        <w:rPr>
          <w:color w:val="231F20"/>
          <w:vertAlign w:val="baseline"/>
        </w:rPr>
        <w:t> but also upper limb dysto- nia is part of the spectrum of </w:t>
      </w:r>
      <w:r>
        <w:rPr>
          <w:i/>
          <w:color w:val="231F20"/>
          <w:vertAlign w:val="baseline"/>
        </w:rPr>
        <w:t>POLG</w:t>
      </w:r>
      <w:r>
        <w:rPr>
          <w:color w:val="231F20"/>
          <w:vertAlign w:val="baseline"/>
        </w:rPr>
        <w:t>-associated dystonia.</w:t>
      </w:r>
    </w:p>
    <w:p>
      <w:pPr>
        <w:pStyle w:val="BodyText"/>
        <w:spacing w:line="230" w:lineRule="auto" w:before="6"/>
        <w:ind w:left="256" w:right="38" w:firstLine="199"/>
        <w:jc w:val="both"/>
      </w:pPr>
      <w:r>
        <w:rPr>
          <w:color w:val="231F20"/>
        </w:rPr>
        <w:t>Interestingly,</w:t>
      </w:r>
      <w:r>
        <w:rPr>
          <w:color w:val="231F20"/>
          <w:spacing w:val="-7"/>
        </w:rPr>
        <w:t> </w:t>
      </w:r>
      <w:r>
        <w:rPr>
          <w:color w:val="231F20"/>
        </w:rPr>
        <w:t>the</w:t>
      </w:r>
      <w:r>
        <w:rPr>
          <w:color w:val="231F20"/>
          <w:spacing w:val="-7"/>
        </w:rPr>
        <w:t> </w:t>
      </w:r>
      <w:r>
        <w:rPr>
          <w:color w:val="231F20"/>
        </w:rPr>
        <w:t>disease</w:t>
      </w:r>
      <w:r>
        <w:rPr>
          <w:color w:val="231F20"/>
          <w:spacing w:val="-7"/>
        </w:rPr>
        <w:t> </w:t>
      </w:r>
      <w:r>
        <w:rPr>
          <w:color w:val="231F20"/>
        </w:rPr>
        <w:t>course</w:t>
      </w:r>
      <w:r>
        <w:rPr>
          <w:color w:val="231F20"/>
          <w:spacing w:val="-6"/>
        </w:rPr>
        <w:t> </w:t>
      </w:r>
      <w:r>
        <w:rPr>
          <w:color w:val="231F20"/>
        </w:rPr>
        <w:t>in</w:t>
      </w:r>
      <w:r>
        <w:rPr>
          <w:color w:val="231F20"/>
          <w:spacing w:val="-6"/>
        </w:rPr>
        <w:t> </w:t>
      </w:r>
      <w:r>
        <w:rPr>
          <w:color w:val="231F20"/>
        </w:rPr>
        <w:t>Patient</w:t>
      </w:r>
      <w:r>
        <w:rPr>
          <w:color w:val="231F20"/>
          <w:spacing w:val="-6"/>
        </w:rPr>
        <w:t> </w:t>
      </w:r>
      <w:r>
        <w:rPr>
          <w:color w:val="231F20"/>
        </w:rPr>
        <w:t>1</w:t>
      </w:r>
      <w:r>
        <w:rPr>
          <w:color w:val="231F20"/>
          <w:spacing w:val="-7"/>
        </w:rPr>
        <w:t> </w:t>
      </w:r>
      <w:r>
        <w:rPr>
          <w:color w:val="231F20"/>
        </w:rPr>
        <w:t>shows</w:t>
      </w:r>
      <w:r>
        <w:rPr>
          <w:color w:val="231F20"/>
          <w:spacing w:val="-7"/>
        </w:rPr>
        <w:t> </w:t>
      </w:r>
      <w:r>
        <w:rPr>
          <w:color w:val="231F20"/>
        </w:rPr>
        <w:t>that</w:t>
      </w:r>
      <w:r>
        <w:rPr>
          <w:color w:val="231F20"/>
          <w:spacing w:val="-6"/>
        </w:rPr>
        <w:t> </w:t>
      </w:r>
      <w:r>
        <w:rPr>
          <w:color w:val="231F20"/>
        </w:rPr>
        <w:t>cere- bellar</w:t>
      </w:r>
      <w:r>
        <w:rPr>
          <w:color w:val="231F20"/>
          <w:spacing w:val="-5"/>
        </w:rPr>
        <w:t> </w:t>
      </w:r>
      <w:r>
        <w:rPr>
          <w:color w:val="231F20"/>
        </w:rPr>
        <w:t>ataxia,</w:t>
      </w:r>
      <w:r>
        <w:rPr>
          <w:color w:val="231F20"/>
          <w:spacing w:val="-5"/>
        </w:rPr>
        <w:t> </w:t>
      </w:r>
      <w:r>
        <w:rPr>
          <w:color w:val="231F20"/>
        </w:rPr>
        <w:t>sensory</w:t>
      </w:r>
      <w:r>
        <w:rPr>
          <w:color w:val="231F20"/>
          <w:spacing w:val="-6"/>
        </w:rPr>
        <w:t> </w:t>
      </w:r>
      <w:r>
        <w:rPr>
          <w:color w:val="231F20"/>
        </w:rPr>
        <w:t>neuropathy,</w:t>
      </w:r>
      <w:r>
        <w:rPr>
          <w:color w:val="231F20"/>
          <w:spacing w:val="-6"/>
        </w:rPr>
        <w:t> </w:t>
      </w:r>
      <w:r>
        <w:rPr>
          <w:color w:val="231F20"/>
        </w:rPr>
        <w:t>and/or</w:t>
      </w:r>
      <w:r>
        <w:rPr>
          <w:color w:val="231F20"/>
          <w:spacing w:val="-5"/>
        </w:rPr>
        <w:t> </w:t>
      </w:r>
      <w:r>
        <w:rPr>
          <w:color w:val="231F20"/>
        </w:rPr>
        <w:t>PEO</w:t>
      </w:r>
      <w:r>
        <w:rPr>
          <w:color w:val="231F20"/>
          <w:spacing w:val="-6"/>
        </w:rPr>
        <w:t> </w:t>
      </w:r>
      <w:r>
        <w:rPr>
          <w:color w:val="231F20"/>
        </w:rPr>
        <w:t>are</w:t>
      </w:r>
      <w:r>
        <w:rPr>
          <w:color w:val="231F20"/>
          <w:spacing w:val="-5"/>
        </w:rPr>
        <w:t> </w:t>
      </w:r>
      <w:r>
        <w:rPr>
          <w:color w:val="231F20"/>
        </w:rPr>
        <w:t>not</w:t>
      </w:r>
      <w:r>
        <w:rPr>
          <w:color w:val="231F20"/>
          <w:spacing w:val="-5"/>
        </w:rPr>
        <w:t> </w:t>
      </w:r>
      <w:r>
        <w:rPr>
          <w:color w:val="231F20"/>
        </w:rPr>
        <w:t>necessar- ily presenting or early features of autosomal-recessive-</w:t>
      </w:r>
      <w:r>
        <w:rPr>
          <w:i/>
          <w:color w:val="231F20"/>
        </w:rPr>
        <w:t>POLG </w:t>
      </w:r>
      <w:r>
        <w:rPr>
          <w:color w:val="231F20"/>
        </w:rPr>
        <w:t>(AR-</w:t>
      </w:r>
      <w:r>
        <w:rPr>
          <w:i/>
          <w:color w:val="231F20"/>
        </w:rPr>
        <w:t>POLG) </w:t>
      </w:r>
      <w:r>
        <w:rPr>
          <w:color w:val="231F20"/>
        </w:rPr>
        <w:t>mutations. A family history with consanguineous marriage and/or recessive inheritance (like in our pedigree) or </w:t>
      </w:r>
      <w:r>
        <w:rPr>
          <w:i/>
          <w:color w:val="231F20"/>
        </w:rPr>
        <w:t>POLG</w:t>
      </w:r>
      <w:r>
        <w:rPr>
          <w:color w:val="231F20"/>
        </w:rPr>
        <w:t>-characteristic features in the disease course (like in Patient 1) may support the decision for </w:t>
      </w:r>
      <w:r>
        <w:rPr>
          <w:i/>
          <w:color w:val="231F20"/>
        </w:rPr>
        <w:t>POLG </w:t>
      </w:r>
      <w:r>
        <w:rPr>
          <w:color w:val="231F20"/>
        </w:rPr>
        <w:t>sequencing in undiagnosed patients with hyperkinetic movement disorders.</w:t>
      </w:r>
    </w:p>
    <w:p>
      <w:pPr>
        <w:pStyle w:val="Heading2"/>
        <w:spacing w:line="420" w:lineRule="atLeast" w:before="179"/>
        <w:ind w:left="2149" w:right="879" w:hanging="531"/>
        <w:jc w:val="left"/>
      </w:pPr>
      <w:r>
        <w:rPr>
          <w:color w:val="231F20"/>
          <w:w w:val="105"/>
        </w:rPr>
        <w:t>Legends to</w:t>
      </w:r>
      <w:r>
        <w:rPr>
          <w:color w:val="231F20"/>
          <w:spacing w:val="-1"/>
          <w:w w:val="105"/>
        </w:rPr>
        <w:t> </w:t>
      </w:r>
      <w:r>
        <w:rPr>
          <w:color w:val="231F20"/>
          <w:w w:val="105"/>
        </w:rPr>
        <w:t>the</w:t>
      </w:r>
      <w:r>
        <w:rPr>
          <w:color w:val="231F20"/>
          <w:spacing w:val="-1"/>
          <w:w w:val="105"/>
        </w:rPr>
        <w:t> </w:t>
      </w:r>
      <w:r>
        <w:rPr>
          <w:color w:val="231F20"/>
          <w:w w:val="105"/>
        </w:rPr>
        <w:t>Video Patient 1</w:t>
      </w:r>
    </w:p>
    <w:p>
      <w:pPr>
        <w:pStyle w:val="BodyText"/>
        <w:spacing w:line="230" w:lineRule="auto" w:before="73"/>
        <w:ind w:left="256" w:right="38" w:firstLine="199"/>
        <w:jc w:val="both"/>
      </w:pPr>
      <w:r>
        <w:rPr>
          <w:color w:val="231F20"/>
        </w:rPr>
        <w:t>Segment 1. At the age of 33 years, Patient 1 showed </w:t>
      </w:r>
      <w:r>
        <w:rPr>
          <w:color w:val="231F20"/>
        </w:rPr>
        <w:t>dys- tonia of both arms, with predominant dystonic ulnar devia-</w:t>
      </w:r>
      <w:r>
        <w:rPr>
          <w:color w:val="231F20"/>
          <w:spacing w:val="40"/>
        </w:rPr>
        <w:t> </w:t>
      </w:r>
      <w:r>
        <w:rPr>
          <w:color w:val="231F20"/>
        </w:rPr>
        <w:t>tion of the right upper limb with jerky wrist and ﬁnger move- ments, which had started four weeks after carpal tunnel sur- gery induced CRPS. Distal ﬁnger movements have smaller amplitudes characteristic of polymini-myoclonus. Also her</w:t>
      </w:r>
      <w:r>
        <w:rPr>
          <w:color w:val="231F20"/>
          <w:spacing w:val="80"/>
        </w:rPr>
        <w:t> </w:t>
      </w:r>
      <w:r>
        <w:rPr>
          <w:color w:val="231F20"/>
        </w:rPr>
        <w:t>feet show unpatterend jerky movements, which may be clas- siﬁed</w:t>
      </w:r>
      <w:r>
        <w:rPr>
          <w:color w:val="231F20"/>
          <w:spacing w:val="27"/>
        </w:rPr>
        <w:t> </w:t>
      </w:r>
      <w:r>
        <w:rPr>
          <w:color w:val="231F20"/>
        </w:rPr>
        <w:t>as</w:t>
      </w:r>
      <w:r>
        <w:rPr>
          <w:color w:val="231F20"/>
          <w:spacing w:val="27"/>
        </w:rPr>
        <w:t> </w:t>
      </w:r>
      <w:r>
        <w:rPr>
          <w:color w:val="231F20"/>
        </w:rPr>
        <w:t>myoclonus</w:t>
      </w:r>
      <w:r>
        <w:rPr>
          <w:color w:val="231F20"/>
          <w:spacing w:val="27"/>
        </w:rPr>
        <w:t> </w:t>
      </w:r>
      <w:r>
        <w:rPr>
          <w:color w:val="231F20"/>
        </w:rPr>
        <w:t>but</w:t>
      </w:r>
      <w:r>
        <w:rPr>
          <w:color w:val="231F20"/>
          <w:spacing w:val="27"/>
        </w:rPr>
        <w:t> </w:t>
      </w:r>
      <w:r>
        <w:rPr>
          <w:color w:val="231F20"/>
        </w:rPr>
        <w:t>are</w:t>
      </w:r>
      <w:r>
        <w:rPr>
          <w:color w:val="231F20"/>
          <w:spacing w:val="28"/>
        </w:rPr>
        <w:t> </w:t>
      </w:r>
      <w:r>
        <w:rPr>
          <w:color w:val="231F20"/>
        </w:rPr>
        <w:t>also</w:t>
      </w:r>
      <w:r>
        <w:rPr>
          <w:color w:val="231F20"/>
          <w:spacing w:val="28"/>
        </w:rPr>
        <w:t> </w:t>
      </w:r>
      <w:r>
        <w:rPr>
          <w:color w:val="231F20"/>
        </w:rPr>
        <w:t>similar</w:t>
      </w:r>
      <w:r>
        <w:rPr>
          <w:color w:val="231F20"/>
          <w:spacing w:val="27"/>
        </w:rPr>
        <w:t> </w:t>
      </w:r>
      <w:r>
        <w:rPr>
          <w:color w:val="231F20"/>
        </w:rPr>
        <w:t>to</w:t>
      </w:r>
      <w:r>
        <w:rPr>
          <w:color w:val="231F20"/>
          <w:spacing w:val="27"/>
        </w:rPr>
        <w:t> </w:t>
      </w:r>
      <w:r>
        <w:rPr>
          <w:color w:val="231F20"/>
        </w:rPr>
        <w:t>limb</w:t>
      </w:r>
      <w:r>
        <w:rPr>
          <w:color w:val="231F20"/>
          <w:spacing w:val="27"/>
        </w:rPr>
        <w:t> </w:t>
      </w:r>
      <w:r>
        <w:rPr>
          <w:color w:val="231F20"/>
        </w:rPr>
        <w:t>movements in benign hereditary chorea.</w:t>
      </w:r>
      <w:r>
        <w:rPr>
          <w:color w:val="231F20"/>
          <w:vertAlign w:val="superscript"/>
        </w:rPr>
        <w:t>1,4</w:t>
      </w:r>
    </w:p>
    <w:p>
      <w:pPr>
        <w:pStyle w:val="BodyText"/>
        <w:spacing w:line="230" w:lineRule="auto" w:before="4"/>
        <w:ind w:left="256" w:right="38" w:firstLine="199"/>
        <w:jc w:val="both"/>
      </w:pPr>
      <w:r>
        <w:rPr>
          <w:color w:val="231F20"/>
        </w:rPr>
        <w:t>Segment 2. Botulinum toxin treatment of extensor </w:t>
      </w:r>
      <w:r>
        <w:rPr>
          <w:color w:val="231F20"/>
        </w:rPr>
        <w:t>and</w:t>
      </w:r>
      <w:r>
        <w:rPr>
          <w:color w:val="231F20"/>
          <w:spacing w:val="40"/>
        </w:rPr>
        <w:t> </w:t>
      </w:r>
      <w:r>
        <w:rPr>
          <w:color w:val="231F20"/>
        </w:rPr>
        <w:t>ﬂexor muscles of the right forearm markedly reduced hyper- kinetic movements. The main therapeutic goal remained pain reduction. Apart from the botulinum toxin effect, also inter- mittent mirror movements can be observed in this segment.</w:t>
      </w:r>
    </w:p>
    <w:p>
      <w:pPr>
        <w:pStyle w:val="BodyText"/>
        <w:spacing w:line="230" w:lineRule="auto" w:before="3"/>
        <w:ind w:left="256" w:right="39" w:firstLine="199"/>
        <w:jc w:val="both"/>
      </w:pPr>
      <w:r>
        <w:rPr>
          <w:color w:val="231F20"/>
        </w:rPr>
        <w:t>Segment 3. At the age of 35 years, external </w:t>
      </w:r>
      <w:r>
        <w:rPr>
          <w:color w:val="231F20"/>
        </w:rPr>
        <w:t>ophthalmople- gia, slowing of voluntary saccades and gait ataxia started.</w:t>
      </w:r>
      <w:r>
        <w:rPr>
          <w:color w:val="231F20"/>
          <w:spacing w:val="40"/>
        </w:rPr>
        <w:t> </w:t>
      </w:r>
      <w:r>
        <w:rPr>
          <w:color w:val="231F20"/>
        </w:rPr>
        <w:t>Also,</w:t>
      </w:r>
      <w:r>
        <w:rPr>
          <w:color w:val="231F20"/>
          <w:spacing w:val="12"/>
        </w:rPr>
        <w:t> </w:t>
      </w:r>
      <w:r>
        <w:rPr>
          <w:color w:val="231F20"/>
        </w:rPr>
        <w:t>a</w:t>
      </w:r>
      <w:r>
        <w:rPr>
          <w:color w:val="231F20"/>
          <w:spacing w:val="11"/>
        </w:rPr>
        <w:t> </w:t>
      </w:r>
      <w:r>
        <w:rPr>
          <w:color w:val="231F20"/>
        </w:rPr>
        <w:t>reduced</w:t>
      </w:r>
      <w:r>
        <w:rPr>
          <w:color w:val="231F20"/>
          <w:spacing w:val="13"/>
        </w:rPr>
        <w:t> </w:t>
      </w:r>
      <w:r>
        <w:rPr>
          <w:color w:val="231F20"/>
        </w:rPr>
        <w:t>arm</w:t>
      </w:r>
      <w:r>
        <w:rPr>
          <w:color w:val="231F20"/>
          <w:spacing w:val="12"/>
        </w:rPr>
        <w:t> </w:t>
      </w:r>
      <w:r>
        <w:rPr>
          <w:color w:val="231F20"/>
        </w:rPr>
        <w:t>swing</w:t>
      </w:r>
      <w:r>
        <w:rPr>
          <w:color w:val="231F20"/>
          <w:spacing w:val="13"/>
        </w:rPr>
        <w:t> </w:t>
      </w:r>
      <w:r>
        <w:rPr>
          <w:color w:val="231F20"/>
        </w:rPr>
        <w:t>on</w:t>
      </w:r>
      <w:r>
        <w:rPr>
          <w:color w:val="231F20"/>
          <w:spacing w:val="11"/>
        </w:rPr>
        <w:t> </w:t>
      </w:r>
      <w:r>
        <w:rPr>
          <w:color w:val="231F20"/>
        </w:rPr>
        <w:t>the</w:t>
      </w:r>
      <w:r>
        <w:rPr>
          <w:color w:val="231F20"/>
          <w:spacing w:val="12"/>
        </w:rPr>
        <w:t> </w:t>
      </w:r>
      <w:r>
        <w:rPr>
          <w:color w:val="231F20"/>
        </w:rPr>
        <w:t>right</w:t>
      </w:r>
      <w:r>
        <w:rPr>
          <w:color w:val="231F20"/>
          <w:spacing w:val="11"/>
        </w:rPr>
        <w:t> </w:t>
      </w:r>
      <w:r>
        <w:rPr>
          <w:color w:val="231F20"/>
        </w:rPr>
        <w:t>side</w:t>
      </w:r>
      <w:r>
        <w:rPr>
          <w:color w:val="231F20"/>
          <w:spacing w:val="12"/>
        </w:rPr>
        <w:t> </w:t>
      </w:r>
      <w:r>
        <w:rPr>
          <w:color w:val="231F20"/>
        </w:rPr>
        <w:t>was</w:t>
      </w:r>
      <w:r>
        <w:rPr>
          <w:color w:val="231F20"/>
          <w:spacing w:val="11"/>
        </w:rPr>
        <w:t> </w:t>
      </w:r>
      <w:r>
        <w:rPr>
          <w:color w:val="231F20"/>
        </w:rPr>
        <w:t>ﬁrst</w:t>
      </w:r>
      <w:r>
        <w:rPr>
          <w:color w:val="231F20"/>
          <w:spacing w:val="13"/>
        </w:rPr>
        <w:t> </w:t>
      </w:r>
      <w:r>
        <w:rPr>
          <w:color w:val="231F20"/>
          <w:spacing w:val="-2"/>
        </w:rPr>
        <w:t>noticed.</w:t>
      </w:r>
    </w:p>
    <w:p>
      <w:pPr>
        <w:pStyle w:val="BodyText"/>
        <w:spacing w:before="61"/>
      </w:pPr>
    </w:p>
    <w:p>
      <w:pPr>
        <w:pStyle w:val="Heading2"/>
        <w:ind w:left="2149"/>
        <w:jc w:val="both"/>
      </w:pPr>
      <w:r>
        <w:rPr>
          <w:color w:val="231F20"/>
          <w:w w:val="105"/>
        </w:rPr>
        <w:t>Patient</w:t>
      </w:r>
      <w:r>
        <w:rPr>
          <w:color w:val="231F20"/>
          <w:spacing w:val="38"/>
          <w:w w:val="105"/>
        </w:rPr>
        <w:t> </w:t>
      </w:r>
      <w:r>
        <w:rPr>
          <w:color w:val="231F20"/>
          <w:spacing w:val="-10"/>
          <w:w w:val="105"/>
        </w:rPr>
        <w:t>2</w:t>
      </w:r>
    </w:p>
    <w:p>
      <w:pPr>
        <w:pStyle w:val="BodyText"/>
        <w:spacing w:line="230" w:lineRule="auto" w:before="64"/>
        <w:ind w:left="256" w:right="38" w:firstLine="199"/>
        <w:jc w:val="both"/>
      </w:pPr>
      <w:r>
        <w:rPr>
          <w:color w:val="231F20"/>
        </w:rPr>
        <w:t>Segment 4. At the age of 40 years, Patient 2 </w:t>
      </w:r>
      <w:r>
        <w:rPr>
          <w:color w:val="231F20"/>
        </w:rPr>
        <w:t>displayed dystonic ulnar deviation of the left upper limb with distal predominance. She showed intermittent facial and jaw open- ing dystonia. At rest, she had marked postural instability</w:t>
      </w:r>
      <w:r>
        <w:rPr>
          <w:color w:val="231F20"/>
          <w:spacing w:val="40"/>
        </w:rPr>
        <w:t> </w:t>
      </w:r>
      <w:r>
        <w:rPr>
          <w:color w:val="231F20"/>
        </w:rPr>
        <w:t>caused by trunk ataxia, which is aggravated by motor actions like e.g. lifting the upper limbs.</w:t>
      </w:r>
    </w:p>
    <w:p>
      <w:pPr>
        <w:pStyle w:val="BodyText"/>
        <w:spacing w:line="230" w:lineRule="auto" w:before="3"/>
        <w:ind w:left="256" w:right="38" w:firstLine="199"/>
        <w:jc w:val="both"/>
      </w:pPr>
      <w:r>
        <w:rPr>
          <w:color w:val="231F20"/>
        </w:rPr>
        <w:t>Segment 5. In Patient 2 severe dysarthria, incomplete </w:t>
      </w:r>
      <w:r>
        <w:rPr>
          <w:color w:val="231F20"/>
        </w:rPr>
        <w:t>hor- izontal and vertical external ophthalmoplegia and ataxia were observed as clinical features of MIRAS. Patient 2 was only</w:t>
      </w:r>
      <w:r>
        <w:rPr>
          <w:color w:val="231F20"/>
          <w:spacing w:val="40"/>
        </w:rPr>
        <w:t> </w:t>
      </w:r>
      <w:r>
        <w:rPr>
          <w:color w:val="231F20"/>
        </w:rPr>
        <w:t>able to stand assisted for a few seconds.</w:t>
      </w:r>
    </w:p>
    <w:p>
      <w:pPr>
        <w:pStyle w:val="BodyText"/>
        <w:spacing w:line="230" w:lineRule="auto" w:before="78"/>
        <w:ind w:left="256" w:right="217" w:firstLine="199"/>
        <w:jc w:val="both"/>
      </w:pPr>
      <w:r>
        <w:rPr/>
        <w:br w:type="column"/>
      </w:r>
      <w:r>
        <w:rPr>
          <w:color w:val="231F20"/>
        </w:rPr>
        <w:t>Author Roles: Synofzik was involved in the </w:t>
      </w:r>
      <w:r>
        <w:rPr>
          <w:color w:val="231F20"/>
        </w:rPr>
        <w:t>Research project: Conception, Organization, Execution; Manuscript: Writing of the ﬁrst draft. Schu¨le was involved in the</w:t>
      </w:r>
      <w:r>
        <w:rPr>
          <w:color w:val="231F20"/>
          <w:spacing w:val="80"/>
          <w:w w:val="150"/>
        </w:rPr>
        <w:t> </w:t>
      </w:r>
      <w:r>
        <w:rPr>
          <w:color w:val="231F20"/>
        </w:rPr>
        <w:t>Research project: Execution; Manuscript: Review and Cri- tique. Schulte was involved in the Research project: Execu- tion; Manuscript: Review and Critique. Lindig was involved</w:t>
      </w:r>
      <w:r>
        <w:rPr>
          <w:color w:val="231F20"/>
          <w:spacing w:val="80"/>
        </w:rPr>
        <w:t> </w:t>
      </w:r>
      <w:r>
        <w:rPr>
          <w:color w:val="231F20"/>
        </w:rPr>
        <w:t>in the Research project: Execution; Manuscript: Review and Critique. Kru¨ger was involved in the Research project: Execution; Manuscript: Review and Critique. Scho¨ls was involved in the Research project: Organization; Manuscript: Review and Critique. Asmus was involved in the Research project: Conception, Organization, Execution; Manuscript: Writing of the ﬁrst draft.</w:t>
      </w:r>
    </w:p>
    <w:p>
      <w:pPr>
        <w:pStyle w:val="BodyText"/>
        <w:spacing w:line="230" w:lineRule="auto" w:before="7"/>
        <w:ind w:left="256" w:right="216" w:firstLine="199"/>
        <w:jc w:val="both"/>
      </w:pPr>
      <w:r>
        <w:rPr>
          <w:color w:val="231F20"/>
        </w:rPr>
        <w:t>Financial Disclosures: Dr. Synofzik received a </w:t>
      </w:r>
      <w:r>
        <w:rPr>
          <w:color w:val="231F20"/>
        </w:rPr>
        <w:t>research grant by the Volkswagen Foundation (European platform pro- ject) and a travel grant by Actelion Pharmaceuticals. Dr. Kru¨ger received research grants of the German Research Council (DFG; KR2119/3-1) and the Federal Ministry for Education and Research [BMBF, NGFNplus; 01GS08134], as well as speakers honoraria and travel grants from UCB</w:t>
      </w:r>
      <w:r>
        <w:rPr>
          <w:color w:val="231F20"/>
          <w:spacing w:val="40"/>
        </w:rPr>
        <w:t> </w:t>
      </w:r>
      <w:r>
        <w:rPr>
          <w:color w:val="231F20"/>
        </w:rPr>
        <w:t>Pharma, Solvay Pharma and Medtronic. Dr. Lindig has received travel grants from Ipsen Pharma, Allergan and Merz Pharmaceuticals. Dr. Scho¨ls served as an editorial board member of Movement Disorders and was a member of the scientiﬁc</w:t>
      </w:r>
      <w:r>
        <w:rPr>
          <w:color w:val="231F20"/>
          <w:spacing w:val="33"/>
        </w:rPr>
        <w:t> </w:t>
      </w:r>
      <w:r>
        <w:rPr>
          <w:color w:val="231F20"/>
        </w:rPr>
        <w:t>advisory</w:t>
      </w:r>
      <w:r>
        <w:rPr>
          <w:color w:val="231F20"/>
          <w:spacing w:val="31"/>
        </w:rPr>
        <w:t> </w:t>
      </w:r>
      <w:r>
        <w:rPr>
          <w:color w:val="231F20"/>
        </w:rPr>
        <w:t>board</w:t>
      </w:r>
      <w:r>
        <w:rPr>
          <w:color w:val="231F20"/>
          <w:spacing w:val="33"/>
        </w:rPr>
        <w:t> </w:t>
      </w:r>
      <w:r>
        <w:rPr>
          <w:color w:val="231F20"/>
        </w:rPr>
        <w:t>for</w:t>
      </w:r>
      <w:r>
        <w:rPr>
          <w:color w:val="231F20"/>
          <w:spacing w:val="31"/>
        </w:rPr>
        <w:t> </w:t>
      </w:r>
      <w:r>
        <w:rPr>
          <w:color w:val="231F20"/>
        </w:rPr>
        <w:t>Takeda</w:t>
      </w:r>
      <w:r>
        <w:rPr>
          <w:color w:val="231F20"/>
          <w:spacing w:val="33"/>
        </w:rPr>
        <w:t> </w:t>
      </w:r>
      <w:r>
        <w:rPr>
          <w:color w:val="231F20"/>
        </w:rPr>
        <w:t>Pharma.</w:t>
      </w:r>
      <w:r>
        <w:rPr>
          <w:color w:val="231F20"/>
          <w:spacing w:val="32"/>
        </w:rPr>
        <w:t> </w:t>
      </w:r>
      <w:r>
        <w:rPr>
          <w:color w:val="231F20"/>
        </w:rPr>
        <w:t>As</w:t>
      </w:r>
      <w:r>
        <w:rPr>
          <w:color w:val="231F20"/>
          <w:spacing w:val="32"/>
        </w:rPr>
        <w:t> </w:t>
      </w:r>
      <w:r>
        <w:rPr>
          <w:color w:val="231F20"/>
        </w:rPr>
        <w:t>participant of the MICONOS trial Dr. Scho¨ls received fees from San- thera Pharmaceuticals. Dr. Scho¨ls received research grants of the Deutsche Forschungsgemeinschaft (SCHO754/3-1 and SCHO754/4-1), grants of the German Research Council (BMBF) to Leukonet (01GM0644) GeNeMove (01GM0603) and mitoNET (01GM0864), funding from the EU for EUROSCA (LSHM-CT-2004-503304) and E-RARE grants to </w:t>
      </w:r>
      <w:r>
        <w:rPr>
          <w:color w:val="231F20"/>
          <w:spacing w:val="-2"/>
        </w:rPr>
        <w:t>EUROSPA</w:t>
      </w:r>
      <w:r>
        <w:rPr>
          <w:color w:val="231F20"/>
          <w:spacing w:val="5"/>
        </w:rPr>
        <w:t> </w:t>
      </w:r>
      <w:r>
        <w:rPr>
          <w:color w:val="231F20"/>
          <w:spacing w:val="-2"/>
        </w:rPr>
        <w:t>(01GM0807)</w:t>
      </w:r>
      <w:r>
        <w:rPr>
          <w:color w:val="231F20"/>
          <w:spacing w:val="5"/>
        </w:rPr>
        <w:t> </w:t>
      </w:r>
      <w:r>
        <w:rPr>
          <w:color w:val="231F20"/>
          <w:spacing w:val="-2"/>
        </w:rPr>
        <w:t>and</w:t>
      </w:r>
      <w:r>
        <w:rPr>
          <w:color w:val="231F20"/>
          <w:spacing w:val="5"/>
        </w:rPr>
        <w:t> </w:t>
      </w:r>
      <w:r>
        <w:rPr>
          <w:color w:val="231F20"/>
          <w:spacing w:val="-2"/>
        </w:rPr>
        <w:t>RISCA</w:t>
      </w:r>
      <w:r>
        <w:rPr>
          <w:color w:val="231F20"/>
          <w:spacing w:val="7"/>
        </w:rPr>
        <w:t> </w:t>
      </w:r>
      <w:r>
        <w:rPr>
          <w:color w:val="231F20"/>
          <w:spacing w:val="-2"/>
        </w:rPr>
        <w:t>(01GM0820)</w:t>
      </w:r>
      <w:r>
        <w:rPr>
          <w:color w:val="231F20"/>
          <w:spacing w:val="6"/>
        </w:rPr>
        <w:t> </w:t>
      </w:r>
      <w:r>
        <w:rPr>
          <w:color w:val="231F20"/>
          <w:spacing w:val="-2"/>
        </w:rPr>
        <w:t>as</w:t>
      </w:r>
      <w:r>
        <w:rPr>
          <w:color w:val="231F20"/>
          <w:spacing w:val="6"/>
        </w:rPr>
        <w:t> </w:t>
      </w:r>
      <w:r>
        <w:rPr>
          <w:color w:val="231F20"/>
          <w:spacing w:val="-2"/>
        </w:rPr>
        <w:t>well</w:t>
      </w:r>
      <w:r>
        <w:rPr>
          <w:color w:val="231F20"/>
          <w:spacing w:val="6"/>
        </w:rPr>
        <w:t> </w:t>
      </w:r>
      <w:r>
        <w:rPr>
          <w:color w:val="231F20"/>
          <w:spacing w:val="-2"/>
        </w:rPr>
        <w:t>as</w:t>
      </w:r>
      <w:r>
        <w:rPr>
          <w:color w:val="231F20"/>
          <w:spacing w:val="6"/>
        </w:rPr>
        <w:t> </w:t>
      </w:r>
      <w:r>
        <w:rPr>
          <w:color w:val="231F20"/>
          <w:spacing w:val="-10"/>
        </w:rPr>
        <w:t>a</w:t>
      </w:r>
    </w:p>
    <w:p>
      <w:pPr>
        <w:pStyle w:val="BodyText"/>
        <w:spacing w:line="230" w:lineRule="auto" w:before="11"/>
        <w:ind w:left="256" w:right="218"/>
        <w:jc w:val="both"/>
      </w:pPr>
      <w:r>
        <w:rPr>
          <w:color w:val="231F20"/>
        </w:rPr>
        <w:t>grant of the Volkswagen Foundation (I/80711). He further received funding from the HSP-Selbsthilfegruppe Deutschland eV. Dr. Asmus has received speakers honoraria and travel grants</w:t>
      </w:r>
      <w:r>
        <w:rPr>
          <w:color w:val="231F20"/>
          <w:spacing w:val="-9"/>
        </w:rPr>
        <w:t> </w:t>
      </w:r>
      <w:r>
        <w:rPr>
          <w:color w:val="231F20"/>
        </w:rPr>
        <w:t>from</w:t>
      </w:r>
      <w:r>
        <w:rPr>
          <w:color w:val="231F20"/>
          <w:spacing w:val="-8"/>
        </w:rPr>
        <w:t> </w:t>
      </w:r>
      <w:r>
        <w:rPr>
          <w:color w:val="231F20"/>
        </w:rPr>
        <w:t>Ipsen</w:t>
      </w:r>
      <w:r>
        <w:rPr>
          <w:color w:val="231F20"/>
          <w:spacing w:val="-9"/>
        </w:rPr>
        <w:t> </w:t>
      </w:r>
      <w:r>
        <w:rPr>
          <w:color w:val="231F20"/>
        </w:rPr>
        <w:t>Pharma,</w:t>
      </w:r>
      <w:r>
        <w:rPr>
          <w:color w:val="231F20"/>
          <w:spacing w:val="-8"/>
        </w:rPr>
        <w:t> </w:t>
      </w:r>
      <w:r>
        <w:rPr>
          <w:color w:val="231F20"/>
        </w:rPr>
        <w:t>Allergan</w:t>
      </w:r>
      <w:r>
        <w:rPr>
          <w:color w:val="231F20"/>
          <w:spacing w:val="-9"/>
        </w:rPr>
        <w:t> </w:t>
      </w:r>
      <w:r>
        <w:rPr>
          <w:color w:val="231F20"/>
        </w:rPr>
        <w:t>and</w:t>
      </w:r>
      <w:r>
        <w:rPr>
          <w:color w:val="231F20"/>
          <w:spacing w:val="-9"/>
        </w:rPr>
        <w:t> </w:t>
      </w:r>
      <w:r>
        <w:rPr>
          <w:color w:val="231F20"/>
        </w:rPr>
        <w:t>Merz</w:t>
      </w:r>
      <w:r>
        <w:rPr>
          <w:color w:val="231F20"/>
          <w:spacing w:val="-9"/>
        </w:rPr>
        <w:t> </w:t>
      </w:r>
      <w:r>
        <w:rPr>
          <w:color w:val="231F20"/>
        </w:rPr>
        <w:t>Pharmaceuticals.</w:t>
      </w:r>
    </w:p>
    <w:p>
      <w:pPr>
        <w:pStyle w:val="BodyText"/>
        <w:spacing w:line="230" w:lineRule="auto" w:before="195"/>
        <w:ind w:left="256" w:right="216" w:firstLine="179"/>
        <w:jc w:val="both"/>
      </w:pPr>
      <w:r>
        <w:rPr>
          <w:color w:val="231F20"/>
        </w:rPr>
        <w:t>Acknowledgments: LS was supported by a grant from </w:t>
      </w:r>
      <w:r>
        <w:rPr>
          <w:color w:val="231F20"/>
        </w:rPr>
        <w:t>the German Ministry for Education and Research (BMBF) to mitoNET (01GM0864). FA and MS were supported by grants of the German center for neurodenerative diseases (DZNE).</w:t>
      </w:r>
    </w:p>
    <w:p>
      <w:pPr>
        <w:pStyle w:val="BodyText"/>
        <w:spacing w:before="54"/>
      </w:pPr>
    </w:p>
    <w:p>
      <w:pPr>
        <w:pStyle w:val="BodyText"/>
        <w:spacing w:line="230" w:lineRule="auto"/>
        <w:ind w:left="3237" w:right="216" w:hanging="67"/>
        <w:jc w:val="right"/>
      </w:pPr>
      <w:r>
        <w:rPr>
          <w:color w:val="231F20"/>
        </w:rPr>
        <w:t>Matthis</w:t>
      </w:r>
      <w:r>
        <w:rPr>
          <w:color w:val="231F20"/>
          <w:spacing w:val="-6"/>
        </w:rPr>
        <w:t> </w:t>
      </w:r>
      <w:r>
        <w:rPr>
          <w:color w:val="231F20"/>
        </w:rPr>
        <w:t>Synofzik,</w:t>
      </w:r>
      <w:r>
        <w:rPr>
          <w:color w:val="231F20"/>
          <w:spacing w:val="-6"/>
        </w:rPr>
        <w:t> </w:t>
      </w:r>
      <w:r>
        <w:rPr>
          <w:color w:val="231F20"/>
        </w:rPr>
        <w:t>MD Rebecca</w:t>
      </w:r>
      <w:r>
        <w:rPr>
          <w:color w:val="231F20"/>
          <w:spacing w:val="-6"/>
        </w:rPr>
        <w:t> </w:t>
      </w:r>
      <w:r>
        <w:rPr>
          <w:color w:val="231F20"/>
        </w:rPr>
        <w:t>Schu¨le,</w:t>
      </w:r>
      <w:r>
        <w:rPr>
          <w:color w:val="231F20"/>
          <w:spacing w:val="-6"/>
        </w:rPr>
        <w:t> </w:t>
      </w:r>
      <w:r>
        <w:rPr>
          <w:color w:val="231F20"/>
        </w:rPr>
        <w:t>MD Claudia</w:t>
      </w:r>
      <w:r>
        <w:rPr>
          <w:color w:val="231F20"/>
          <w:spacing w:val="-5"/>
        </w:rPr>
        <w:t> </w:t>
      </w:r>
      <w:r>
        <w:rPr>
          <w:color w:val="231F20"/>
        </w:rPr>
        <w:t>Schulte,</w:t>
      </w:r>
      <w:r>
        <w:rPr>
          <w:color w:val="231F20"/>
          <w:spacing w:val="-5"/>
        </w:rPr>
        <w:t> </w:t>
      </w:r>
      <w:r>
        <w:rPr>
          <w:color w:val="231F20"/>
        </w:rPr>
        <w:t>PhD Rejko Kru¨ger, MD Tobias Lindig, MD Ludger Scho¨ls, MD</w:t>
      </w:r>
    </w:p>
    <w:p>
      <w:pPr>
        <w:spacing w:line="230" w:lineRule="auto" w:before="4"/>
        <w:ind w:left="1603" w:right="217" w:firstLine="23"/>
        <w:jc w:val="right"/>
        <w:rPr>
          <w:i/>
          <w:sz w:val="18"/>
        </w:rPr>
      </w:pPr>
      <w:r>
        <w:rPr>
          <w:i/>
          <w:color w:val="231F20"/>
          <w:sz w:val="18"/>
        </w:rPr>
        <w:t>Department of</w:t>
      </w:r>
      <w:r>
        <w:rPr>
          <w:i/>
          <w:color w:val="231F20"/>
          <w:spacing w:val="-1"/>
          <w:sz w:val="18"/>
        </w:rPr>
        <w:t> </w:t>
      </w:r>
      <w:r>
        <w:rPr>
          <w:i/>
          <w:color w:val="231F20"/>
          <w:sz w:val="18"/>
        </w:rPr>
        <w:t>Neurodegenerative </w:t>
      </w:r>
      <w:r>
        <w:rPr>
          <w:i/>
          <w:color w:val="231F20"/>
          <w:sz w:val="18"/>
        </w:rPr>
        <w:t>Diseases Hertie-Institute</w:t>
      </w:r>
      <w:r>
        <w:rPr>
          <w:i/>
          <w:color w:val="231F20"/>
          <w:spacing w:val="10"/>
          <w:sz w:val="18"/>
        </w:rPr>
        <w:t> </w:t>
      </w:r>
      <w:r>
        <w:rPr>
          <w:i/>
          <w:color w:val="231F20"/>
          <w:sz w:val="18"/>
        </w:rPr>
        <w:t>for</w:t>
      </w:r>
      <w:r>
        <w:rPr>
          <w:i/>
          <w:color w:val="231F20"/>
          <w:spacing w:val="10"/>
          <w:sz w:val="18"/>
        </w:rPr>
        <w:t> </w:t>
      </w:r>
      <w:r>
        <w:rPr>
          <w:i/>
          <w:color w:val="231F20"/>
          <w:sz w:val="18"/>
        </w:rPr>
        <w:t>Clinical</w:t>
      </w:r>
      <w:r>
        <w:rPr>
          <w:i/>
          <w:color w:val="231F20"/>
          <w:spacing w:val="11"/>
          <w:sz w:val="18"/>
        </w:rPr>
        <w:t> </w:t>
      </w:r>
      <w:r>
        <w:rPr>
          <w:i/>
          <w:color w:val="231F20"/>
          <w:sz w:val="18"/>
        </w:rPr>
        <w:t>Brain</w:t>
      </w:r>
      <w:r>
        <w:rPr>
          <w:i/>
          <w:color w:val="231F20"/>
          <w:spacing w:val="10"/>
          <w:sz w:val="18"/>
        </w:rPr>
        <w:t> </w:t>
      </w:r>
      <w:r>
        <w:rPr>
          <w:i/>
          <w:color w:val="231F20"/>
          <w:spacing w:val="-2"/>
          <w:sz w:val="18"/>
        </w:rPr>
        <w:t>Research</w:t>
      </w:r>
    </w:p>
    <w:p>
      <w:pPr>
        <w:spacing w:line="197" w:lineRule="exact" w:before="0"/>
        <w:ind w:left="0" w:right="217" w:firstLine="0"/>
        <w:jc w:val="right"/>
        <w:rPr>
          <w:i/>
          <w:sz w:val="18"/>
        </w:rPr>
      </w:pPr>
      <w:r>
        <w:rPr>
          <w:i/>
          <w:color w:val="231F20"/>
          <w:sz w:val="18"/>
        </w:rPr>
        <w:t>German</w:t>
      </w:r>
      <w:r>
        <w:rPr>
          <w:i/>
          <w:color w:val="231F20"/>
          <w:spacing w:val="8"/>
          <w:sz w:val="18"/>
        </w:rPr>
        <w:t> </w:t>
      </w:r>
      <w:r>
        <w:rPr>
          <w:i/>
          <w:color w:val="231F20"/>
          <w:sz w:val="18"/>
        </w:rPr>
        <w:t>Research</w:t>
      </w:r>
      <w:r>
        <w:rPr>
          <w:i/>
          <w:color w:val="231F20"/>
          <w:spacing w:val="7"/>
          <w:sz w:val="18"/>
        </w:rPr>
        <w:t> </w:t>
      </w:r>
      <w:r>
        <w:rPr>
          <w:i/>
          <w:color w:val="231F20"/>
          <w:sz w:val="18"/>
        </w:rPr>
        <w:t>Center</w:t>
      </w:r>
      <w:r>
        <w:rPr>
          <w:i/>
          <w:color w:val="231F20"/>
          <w:spacing w:val="8"/>
          <w:sz w:val="18"/>
        </w:rPr>
        <w:t> </w:t>
      </w:r>
      <w:r>
        <w:rPr>
          <w:i/>
          <w:color w:val="231F20"/>
          <w:sz w:val="18"/>
        </w:rPr>
        <w:t>for</w:t>
      </w:r>
      <w:r>
        <w:rPr>
          <w:i/>
          <w:color w:val="231F20"/>
          <w:spacing w:val="7"/>
          <w:sz w:val="18"/>
        </w:rPr>
        <w:t> </w:t>
      </w:r>
      <w:r>
        <w:rPr>
          <w:i/>
          <w:color w:val="231F20"/>
          <w:sz w:val="18"/>
        </w:rPr>
        <w:t>Neurodegenerative</w:t>
      </w:r>
      <w:r>
        <w:rPr>
          <w:i/>
          <w:color w:val="231F20"/>
          <w:spacing w:val="9"/>
          <w:sz w:val="18"/>
        </w:rPr>
        <w:t> </w:t>
      </w:r>
      <w:r>
        <w:rPr>
          <w:i/>
          <w:color w:val="231F20"/>
          <w:spacing w:val="-2"/>
          <w:sz w:val="18"/>
        </w:rPr>
        <w:t>Diseases</w:t>
      </w:r>
    </w:p>
    <w:p>
      <w:pPr>
        <w:spacing w:line="230" w:lineRule="auto" w:before="3"/>
        <w:ind w:left="3289" w:right="216" w:hanging="237"/>
        <w:jc w:val="right"/>
        <w:rPr>
          <w:i/>
          <w:sz w:val="18"/>
        </w:rPr>
      </w:pPr>
      <w:r>
        <w:rPr>
          <w:i/>
          <w:color w:val="231F20"/>
          <w:sz w:val="18"/>
        </w:rPr>
        <w:t>University</w:t>
      </w:r>
      <w:r>
        <w:rPr>
          <w:i/>
          <w:color w:val="231F20"/>
          <w:spacing w:val="-5"/>
          <w:sz w:val="18"/>
        </w:rPr>
        <w:t> </w:t>
      </w:r>
      <w:r>
        <w:rPr>
          <w:i/>
          <w:color w:val="231F20"/>
          <w:sz w:val="18"/>
        </w:rPr>
        <w:t>of</w:t>
      </w:r>
      <w:r>
        <w:rPr>
          <w:i/>
          <w:color w:val="231F20"/>
          <w:spacing w:val="-5"/>
          <w:sz w:val="18"/>
        </w:rPr>
        <w:t> </w:t>
      </w:r>
      <w:r>
        <w:rPr>
          <w:i/>
          <w:color w:val="231F20"/>
          <w:sz w:val="18"/>
        </w:rPr>
        <w:t>Tuebingen Tuebingen,</w:t>
      </w:r>
      <w:r>
        <w:rPr>
          <w:i/>
          <w:color w:val="231F20"/>
          <w:spacing w:val="6"/>
          <w:sz w:val="18"/>
        </w:rPr>
        <w:t> </w:t>
      </w:r>
      <w:r>
        <w:rPr>
          <w:i/>
          <w:color w:val="231F20"/>
          <w:spacing w:val="-2"/>
          <w:sz w:val="18"/>
        </w:rPr>
        <w:t>Germany</w:t>
      </w:r>
    </w:p>
    <w:p>
      <w:pPr>
        <w:pStyle w:val="BodyText"/>
        <w:spacing w:line="203" w:lineRule="exact" w:before="193"/>
        <w:ind w:right="216"/>
        <w:jc w:val="right"/>
      </w:pPr>
      <w:r>
        <w:rPr>
          <w:color w:val="231F20"/>
        </w:rPr>
        <w:t>Friedrich</w:t>
      </w:r>
      <w:r>
        <w:rPr>
          <w:color w:val="231F20"/>
          <w:spacing w:val="8"/>
        </w:rPr>
        <w:t> </w:t>
      </w:r>
      <w:r>
        <w:rPr>
          <w:color w:val="231F20"/>
        </w:rPr>
        <w:t>Asmus,</w:t>
      </w:r>
      <w:r>
        <w:rPr>
          <w:color w:val="231F20"/>
          <w:spacing w:val="9"/>
        </w:rPr>
        <w:t> </w:t>
      </w:r>
      <w:r>
        <w:rPr>
          <w:color w:val="231F20"/>
          <w:spacing w:val="-5"/>
        </w:rPr>
        <w:t>MD*</w:t>
      </w:r>
    </w:p>
    <w:p>
      <w:pPr>
        <w:spacing w:line="230" w:lineRule="auto" w:before="3"/>
        <w:ind w:left="1603" w:right="216" w:firstLine="692"/>
        <w:jc w:val="right"/>
        <w:rPr>
          <w:i/>
          <w:sz w:val="18"/>
        </w:rPr>
      </w:pPr>
      <w:r>
        <w:rPr>
          <w:i/>
          <w:color w:val="231F20"/>
          <w:sz w:val="18"/>
        </w:rPr>
        <w:t>Department of General </w:t>
      </w:r>
      <w:r>
        <w:rPr>
          <w:i/>
          <w:color w:val="231F20"/>
          <w:sz w:val="18"/>
        </w:rPr>
        <w:t>Neurology Hertie-Institute</w:t>
      </w:r>
      <w:r>
        <w:rPr>
          <w:i/>
          <w:color w:val="231F20"/>
          <w:spacing w:val="10"/>
          <w:sz w:val="18"/>
        </w:rPr>
        <w:t> </w:t>
      </w:r>
      <w:r>
        <w:rPr>
          <w:i/>
          <w:color w:val="231F20"/>
          <w:sz w:val="18"/>
        </w:rPr>
        <w:t>for</w:t>
      </w:r>
      <w:r>
        <w:rPr>
          <w:i/>
          <w:color w:val="231F20"/>
          <w:spacing w:val="10"/>
          <w:sz w:val="18"/>
        </w:rPr>
        <w:t> </w:t>
      </w:r>
      <w:r>
        <w:rPr>
          <w:i/>
          <w:color w:val="231F20"/>
          <w:sz w:val="18"/>
        </w:rPr>
        <w:t>Clinical</w:t>
      </w:r>
      <w:r>
        <w:rPr>
          <w:i/>
          <w:color w:val="231F20"/>
          <w:spacing w:val="11"/>
          <w:sz w:val="18"/>
        </w:rPr>
        <w:t> </w:t>
      </w:r>
      <w:r>
        <w:rPr>
          <w:i/>
          <w:color w:val="231F20"/>
          <w:sz w:val="18"/>
        </w:rPr>
        <w:t>Brain</w:t>
      </w:r>
      <w:r>
        <w:rPr>
          <w:i/>
          <w:color w:val="231F20"/>
          <w:spacing w:val="10"/>
          <w:sz w:val="18"/>
        </w:rPr>
        <w:t> </w:t>
      </w:r>
      <w:r>
        <w:rPr>
          <w:i/>
          <w:color w:val="231F20"/>
          <w:spacing w:val="-2"/>
          <w:sz w:val="18"/>
        </w:rPr>
        <w:t>Research</w:t>
      </w:r>
    </w:p>
    <w:p>
      <w:pPr>
        <w:spacing w:line="197" w:lineRule="exact" w:before="0"/>
        <w:ind w:left="0" w:right="217" w:firstLine="0"/>
        <w:jc w:val="right"/>
        <w:rPr>
          <w:i/>
          <w:sz w:val="18"/>
        </w:rPr>
      </w:pPr>
      <w:r>
        <w:rPr>
          <w:i/>
          <w:color w:val="231F20"/>
          <w:sz w:val="18"/>
        </w:rPr>
        <w:t>German</w:t>
      </w:r>
      <w:r>
        <w:rPr>
          <w:i/>
          <w:color w:val="231F20"/>
          <w:spacing w:val="8"/>
          <w:sz w:val="18"/>
        </w:rPr>
        <w:t> </w:t>
      </w:r>
      <w:r>
        <w:rPr>
          <w:i/>
          <w:color w:val="231F20"/>
          <w:sz w:val="18"/>
        </w:rPr>
        <w:t>Research</w:t>
      </w:r>
      <w:r>
        <w:rPr>
          <w:i/>
          <w:color w:val="231F20"/>
          <w:spacing w:val="7"/>
          <w:sz w:val="18"/>
        </w:rPr>
        <w:t> </w:t>
      </w:r>
      <w:r>
        <w:rPr>
          <w:i/>
          <w:color w:val="231F20"/>
          <w:sz w:val="18"/>
        </w:rPr>
        <w:t>Center</w:t>
      </w:r>
      <w:r>
        <w:rPr>
          <w:i/>
          <w:color w:val="231F20"/>
          <w:spacing w:val="8"/>
          <w:sz w:val="18"/>
        </w:rPr>
        <w:t> </w:t>
      </w:r>
      <w:r>
        <w:rPr>
          <w:i/>
          <w:color w:val="231F20"/>
          <w:sz w:val="18"/>
        </w:rPr>
        <w:t>for</w:t>
      </w:r>
      <w:r>
        <w:rPr>
          <w:i/>
          <w:color w:val="231F20"/>
          <w:spacing w:val="7"/>
          <w:sz w:val="18"/>
        </w:rPr>
        <w:t> </w:t>
      </w:r>
      <w:r>
        <w:rPr>
          <w:i/>
          <w:color w:val="231F20"/>
          <w:sz w:val="18"/>
        </w:rPr>
        <w:t>Neurodegenerative</w:t>
      </w:r>
      <w:r>
        <w:rPr>
          <w:i/>
          <w:color w:val="231F20"/>
          <w:spacing w:val="9"/>
          <w:sz w:val="18"/>
        </w:rPr>
        <w:t> </w:t>
      </w:r>
      <w:r>
        <w:rPr>
          <w:i/>
          <w:color w:val="231F20"/>
          <w:spacing w:val="-2"/>
          <w:sz w:val="18"/>
        </w:rPr>
        <w:t>Diseases</w:t>
      </w:r>
    </w:p>
    <w:p>
      <w:pPr>
        <w:spacing w:line="230" w:lineRule="auto" w:before="3"/>
        <w:ind w:left="3289" w:right="216" w:hanging="237"/>
        <w:jc w:val="right"/>
        <w:rPr>
          <w:i/>
          <w:sz w:val="18"/>
        </w:rPr>
      </w:pPr>
      <w:r>
        <w:rPr>
          <w:i/>
          <w:color w:val="231F20"/>
          <w:sz w:val="18"/>
        </w:rPr>
        <w:t>University</w:t>
      </w:r>
      <w:r>
        <w:rPr>
          <w:i/>
          <w:color w:val="231F20"/>
          <w:spacing w:val="-5"/>
          <w:sz w:val="18"/>
        </w:rPr>
        <w:t> </w:t>
      </w:r>
      <w:r>
        <w:rPr>
          <w:i/>
          <w:color w:val="231F20"/>
          <w:sz w:val="18"/>
        </w:rPr>
        <w:t>of</w:t>
      </w:r>
      <w:r>
        <w:rPr>
          <w:i/>
          <w:color w:val="231F20"/>
          <w:spacing w:val="-5"/>
          <w:sz w:val="18"/>
        </w:rPr>
        <w:t> </w:t>
      </w:r>
      <w:r>
        <w:rPr>
          <w:i/>
          <w:color w:val="231F20"/>
          <w:sz w:val="18"/>
        </w:rPr>
        <w:t>Tuebingen Tuebingen,</w:t>
      </w:r>
      <w:r>
        <w:rPr>
          <w:i/>
          <w:color w:val="231F20"/>
          <w:spacing w:val="6"/>
          <w:sz w:val="18"/>
        </w:rPr>
        <w:t> </w:t>
      </w:r>
      <w:r>
        <w:rPr>
          <w:i/>
          <w:color w:val="231F20"/>
          <w:spacing w:val="-2"/>
          <w:sz w:val="18"/>
        </w:rPr>
        <w:t>Germany</w:t>
      </w:r>
    </w:p>
    <w:p>
      <w:pPr>
        <w:spacing w:line="201" w:lineRule="exact" w:before="0"/>
        <w:ind w:left="0" w:right="218" w:firstLine="0"/>
        <w:jc w:val="right"/>
        <w:rPr>
          <w:i/>
          <w:sz w:val="18"/>
        </w:rPr>
      </w:pPr>
      <w:r>
        <w:rPr>
          <w:i/>
          <w:color w:val="231F20"/>
          <w:spacing w:val="-2"/>
          <w:sz w:val="18"/>
        </w:rPr>
        <w:t>*E-mail:</w:t>
      </w:r>
      <w:r>
        <w:rPr>
          <w:i/>
          <w:color w:val="231F20"/>
          <w:spacing w:val="53"/>
          <w:sz w:val="18"/>
        </w:rPr>
        <w:t> </w:t>
      </w:r>
      <w:hyperlink r:id="rId19">
        <w:r>
          <w:rPr>
            <w:i/>
            <w:color w:val="231F20"/>
            <w:spacing w:val="-2"/>
            <w:sz w:val="18"/>
          </w:rPr>
          <w:t>friedrich.asmus@dystonia-genetics.com</w:t>
        </w:r>
      </w:hyperlink>
    </w:p>
    <w:p>
      <w:pPr>
        <w:spacing w:after="0" w:line="201" w:lineRule="exact"/>
        <w:jc w:val="right"/>
        <w:rPr>
          <w:i/>
          <w:sz w:val="18"/>
        </w:rPr>
        <w:sectPr>
          <w:type w:val="continuous"/>
          <w:pgSz w:w="12240" w:h="16200"/>
          <w:pgMar w:top="1060" w:bottom="280" w:left="1080" w:right="1080"/>
          <w:cols w:num="2" w:equalWidth="0">
            <w:col w:w="4861" w:space="180"/>
            <w:col w:w="5039"/>
          </w:cols>
        </w:sectPr>
      </w:pPr>
    </w:p>
    <w:p>
      <w:pPr>
        <w:pStyle w:val="BodyText"/>
        <w:rPr>
          <w:i/>
          <w:sz w:val="14"/>
        </w:rPr>
      </w:pPr>
      <w:r>
        <w:rPr>
          <w:i/>
          <w:sz w:val="14"/>
        </w:rPr>
        <mc:AlternateContent>
          <mc:Choice Requires="wps">
            <w:drawing>
              <wp:anchor distT="0" distB="0" distL="0" distR="0" allowOverlap="1" layoutInCell="1" locked="0" behindDoc="0" simplePos="0" relativeHeight="15740928">
                <wp:simplePos x="0" y="0"/>
                <wp:positionH relativeFrom="page">
                  <wp:posOffset>7555927</wp:posOffset>
                </wp:positionH>
                <wp:positionV relativeFrom="page">
                  <wp:posOffset>208819</wp:posOffset>
                </wp:positionV>
                <wp:extent cx="95885" cy="987552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95885" cy="9875520"/>
                        </a:xfrm>
                        <a:prstGeom prst="rect">
                          <a:avLst/>
                        </a:prstGeom>
                      </wps:spPr>
                      <wps:txbx>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wps:txbx>
                      <wps:bodyPr wrap="square" lIns="0" tIns="0" rIns="0" bIns="0" rtlCol="0" vert="vert">
                        <a:noAutofit/>
                      </wps:bodyPr>
                    </wps:wsp>
                  </a:graphicData>
                </a:graphic>
              </wp:anchor>
            </w:drawing>
          </mc:Choice>
          <mc:Fallback>
            <w:pict>
              <v:shape style="position:absolute;margin-left:594.954956pt;margin-top:16.442499pt;width:7.55pt;height:777.6pt;mso-position-horizontal-relative:page;mso-position-vertical-relative:page;z-index:15740928" type="#_x0000_t202" id="docshape21" filled="false" stroked="false">
                <v:textbox inset="0,0,0,0" style="layout-flow:vertical">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v:textbox>
                <w10:wrap type="none"/>
              </v:shape>
            </w:pict>
          </mc:Fallback>
        </mc:AlternateContent>
      </w:r>
    </w:p>
    <w:p>
      <w:pPr>
        <w:pStyle w:val="BodyText"/>
        <w:rPr>
          <w:i/>
          <w:sz w:val="14"/>
        </w:rPr>
      </w:pPr>
    </w:p>
    <w:p>
      <w:pPr>
        <w:pStyle w:val="BodyText"/>
        <w:rPr>
          <w:i/>
          <w:sz w:val="14"/>
        </w:rPr>
      </w:pPr>
    </w:p>
    <w:p>
      <w:pPr>
        <w:pStyle w:val="BodyText"/>
        <w:spacing w:before="34"/>
        <w:rPr>
          <w:i/>
          <w:sz w:val="14"/>
        </w:rPr>
      </w:pPr>
    </w:p>
    <w:p>
      <w:pPr>
        <w:spacing w:before="0"/>
        <w:ind w:left="256" w:right="0" w:firstLine="0"/>
        <w:jc w:val="left"/>
        <w:rPr>
          <w:i/>
          <w:sz w:val="14"/>
        </w:rPr>
      </w:pPr>
      <w:r>
        <w:rPr>
          <w:i/>
          <w:color w:val="231F20"/>
          <w:sz w:val="14"/>
        </w:rPr>
        <w:t>Movement</w:t>
      </w:r>
      <w:r>
        <w:rPr>
          <w:i/>
          <w:color w:val="231F20"/>
          <w:spacing w:val="8"/>
          <w:sz w:val="14"/>
        </w:rPr>
        <w:t> </w:t>
      </w:r>
      <w:r>
        <w:rPr>
          <w:i/>
          <w:color w:val="231F20"/>
          <w:sz w:val="14"/>
        </w:rPr>
        <w:t>Disorders,</w:t>
      </w:r>
      <w:r>
        <w:rPr>
          <w:i/>
          <w:color w:val="231F20"/>
          <w:spacing w:val="10"/>
          <w:sz w:val="14"/>
        </w:rPr>
        <w:t> </w:t>
      </w:r>
      <w:r>
        <w:rPr>
          <w:i/>
          <w:color w:val="231F20"/>
          <w:sz w:val="14"/>
        </w:rPr>
        <w:t>Vol.</w:t>
      </w:r>
      <w:r>
        <w:rPr>
          <w:i/>
          <w:color w:val="231F20"/>
          <w:spacing w:val="9"/>
          <w:sz w:val="14"/>
        </w:rPr>
        <w:t> </w:t>
      </w:r>
      <w:r>
        <w:rPr>
          <w:i/>
          <w:color w:val="231F20"/>
          <w:sz w:val="14"/>
        </w:rPr>
        <w:t>25,</w:t>
      </w:r>
      <w:r>
        <w:rPr>
          <w:i/>
          <w:color w:val="231F20"/>
          <w:spacing w:val="9"/>
          <w:sz w:val="14"/>
        </w:rPr>
        <w:t> </w:t>
      </w:r>
      <w:r>
        <w:rPr>
          <w:i/>
          <w:color w:val="231F20"/>
          <w:sz w:val="14"/>
        </w:rPr>
        <w:t>No.</w:t>
      </w:r>
      <w:r>
        <w:rPr>
          <w:i/>
          <w:color w:val="231F20"/>
          <w:spacing w:val="8"/>
          <w:sz w:val="14"/>
        </w:rPr>
        <w:t> </w:t>
      </w:r>
      <w:r>
        <w:rPr>
          <w:i/>
          <w:color w:val="231F20"/>
          <w:sz w:val="14"/>
        </w:rPr>
        <w:t>14,</w:t>
      </w:r>
      <w:r>
        <w:rPr>
          <w:i/>
          <w:color w:val="231F20"/>
          <w:spacing w:val="9"/>
          <w:sz w:val="14"/>
        </w:rPr>
        <w:t> </w:t>
      </w:r>
      <w:r>
        <w:rPr>
          <w:i/>
          <w:color w:val="231F20"/>
          <w:spacing w:val="-4"/>
          <w:sz w:val="14"/>
        </w:rPr>
        <w:t>2010</w:t>
      </w:r>
    </w:p>
    <w:p>
      <w:pPr>
        <w:spacing w:after="0"/>
        <w:jc w:val="left"/>
        <w:rPr>
          <w:i/>
          <w:sz w:val="14"/>
        </w:rPr>
        <w:sectPr>
          <w:type w:val="continuous"/>
          <w:pgSz w:w="12240" w:h="16200"/>
          <w:pgMar w:top="1060" w:bottom="280" w:left="1080" w:right="1080"/>
        </w:sectPr>
      </w:pPr>
    </w:p>
    <w:p>
      <w:pPr>
        <w:tabs>
          <w:tab w:pos="9859" w:val="right" w:leader="none"/>
        </w:tabs>
        <w:spacing w:before="45"/>
        <w:ind w:left="3890" w:right="0" w:firstLine="0"/>
        <w:jc w:val="left"/>
        <w:rPr>
          <w:i/>
          <w:sz w:val="20"/>
        </w:rPr>
      </w:pPr>
      <w:r>
        <w:rPr>
          <w:i/>
          <w:color w:val="231F20"/>
          <w:sz w:val="20"/>
        </w:rPr>
        <w:t>LETTERS</w:t>
      </w:r>
      <w:r>
        <w:rPr>
          <w:i/>
          <w:color w:val="231F20"/>
          <w:spacing w:val="12"/>
          <w:sz w:val="20"/>
        </w:rPr>
        <w:t> </w:t>
      </w:r>
      <w:r>
        <w:rPr>
          <w:i/>
          <w:color w:val="231F20"/>
          <w:sz w:val="20"/>
        </w:rPr>
        <w:t>TO</w:t>
      </w:r>
      <w:r>
        <w:rPr>
          <w:i/>
          <w:color w:val="231F20"/>
          <w:spacing w:val="10"/>
          <w:sz w:val="20"/>
        </w:rPr>
        <w:t> </w:t>
      </w:r>
      <w:r>
        <w:rPr>
          <w:i/>
          <w:color w:val="231F20"/>
          <w:sz w:val="20"/>
        </w:rPr>
        <w:t>THE</w:t>
      </w:r>
      <w:r>
        <w:rPr>
          <w:i/>
          <w:color w:val="231F20"/>
          <w:spacing w:val="11"/>
          <w:sz w:val="20"/>
        </w:rPr>
        <w:t> </w:t>
      </w:r>
      <w:r>
        <w:rPr>
          <w:i/>
          <w:color w:val="231F20"/>
          <w:spacing w:val="-2"/>
          <w:sz w:val="20"/>
        </w:rPr>
        <w:t>EDITOR</w:t>
      </w:r>
      <w:r>
        <w:rPr>
          <w:color w:val="231F20"/>
          <w:sz w:val="20"/>
        </w:rPr>
        <w:tab/>
      </w:r>
      <w:r>
        <w:rPr>
          <w:i/>
          <w:color w:val="231F20"/>
          <w:spacing w:val="-4"/>
          <w:sz w:val="20"/>
        </w:rPr>
        <w:t>2475</w:t>
      </w:r>
    </w:p>
    <w:p>
      <w:pPr>
        <w:spacing w:after="0"/>
        <w:jc w:val="left"/>
        <w:rPr>
          <w:i/>
          <w:sz w:val="20"/>
        </w:rPr>
        <w:sectPr>
          <w:pgSz w:w="12240" w:h="16200"/>
          <w:pgMar w:top="1040" w:bottom="280" w:left="1080" w:right="1080"/>
        </w:sectPr>
      </w:pPr>
    </w:p>
    <w:p>
      <w:pPr>
        <w:pStyle w:val="BodyText"/>
        <w:spacing w:before="148"/>
        <w:rPr>
          <w:i/>
          <w:sz w:val="20"/>
        </w:rPr>
      </w:pPr>
    </w:p>
    <w:p>
      <w:pPr>
        <w:pStyle w:val="Heading2"/>
        <w:spacing w:before="1"/>
        <w:ind w:left="216" w:right="4"/>
      </w:pPr>
      <w:r>
        <w:rPr>
          <w:color w:val="231F20"/>
          <w:spacing w:val="-2"/>
          <w:w w:val="105"/>
        </w:rPr>
        <w:t>References</w:t>
      </w:r>
    </w:p>
    <w:p>
      <w:pPr>
        <w:pStyle w:val="ListParagraph"/>
        <w:numPr>
          <w:ilvl w:val="0"/>
          <w:numId w:val="10"/>
        </w:numPr>
        <w:tabs>
          <w:tab w:pos="502" w:val="left" w:leader="none"/>
          <w:tab w:pos="504" w:val="left" w:leader="none"/>
        </w:tabs>
        <w:spacing w:line="235" w:lineRule="auto" w:before="131" w:after="0"/>
        <w:ind w:left="504" w:right="39" w:hanging="248"/>
        <w:jc w:val="both"/>
        <w:rPr>
          <w:sz w:val="16"/>
        </w:rPr>
      </w:pPr>
      <w:r>
        <w:rPr>
          <w:color w:val="231F20"/>
          <w:sz w:val="16"/>
        </w:rPr>
        <w:t>Asmus F, Langseth A, Doherty E, et al. ‘‘Jerky’’ dystonia in chil-</w:t>
      </w:r>
      <w:r>
        <w:rPr>
          <w:color w:val="231F20"/>
          <w:spacing w:val="40"/>
          <w:sz w:val="16"/>
        </w:rPr>
        <w:t> </w:t>
      </w:r>
      <w:r>
        <w:rPr>
          <w:color w:val="231F20"/>
          <w:sz w:val="16"/>
        </w:rPr>
        <w:t>dren: spectrum of phenotypes and genetic testing. Mov </w:t>
      </w:r>
      <w:r>
        <w:rPr>
          <w:color w:val="231F20"/>
          <w:sz w:val="16"/>
        </w:rPr>
        <w:t>Disord</w:t>
      </w:r>
      <w:r>
        <w:rPr>
          <w:color w:val="231F20"/>
          <w:spacing w:val="40"/>
          <w:sz w:val="16"/>
        </w:rPr>
        <w:t> </w:t>
      </w:r>
      <w:r>
        <w:rPr>
          <w:color w:val="231F20"/>
          <w:spacing w:val="-2"/>
          <w:sz w:val="16"/>
        </w:rPr>
        <w:t>2009;24:702–709.</w:t>
      </w:r>
    </w:p>
    <w:p>
      <w:pPr>
        <w:pStyle w:val="ListParagraph"/>
        <w:numPr>
          <w:ilvl w:val="0"/>
          <w:numId w:val="10"/>
        </w:numPr>
        <w:tabs>
          <w:tab w:pos="502" w:val="left" w:leader="none"/>
          <w:tab w:pos="504" w:val="left" w:leader="none"/>
        </w:tabs>
        <w:spacing w:line="232" w:lineRule="auto" w:before="0" w:after="0"/>
        <w:ind w:left="504" w:right="39" w:hanging="248"/>
        <w:jc w:val="both"/>
        <w:rPr>
          <w:sz w:val="16"/>
        </w:rPr>
      </w:pPr>
      <w:r>
        <w:rPr>
          <w:color w:val="231F20"/>
          <w:sz w:val="16"/>
        </w:rPr>
        <w:t>Blok MJ, Van den Bosch BJ, Jongen E, et al. The unfolding clini-</w:t>
      </w:r>
      <w:r>
        <w:rPr>
          <w:color w:val="231F20"/>
          <w:spacing w:val="40"/>
          <w:sz w:val="16"/>
        </w:rPr>
        <w:t> </w:t>
      </w:r>
      <w:r>
        <w:rPr>
          <w:color w:val="231F20"/>
          <w:sz w:val="16"/>
        </w:rPr>
        <w:t>cal spectrum of POLG mutations. J Med Genet 2009;46:776–785.</w:t>
      </w:r>
    </w:p>
    <w:p>
      <w:pPr>
        <w:pStyle w:val="ListParagraph"/>
        <w:numPr>
          <w:ilvl w:val="0"/>
          <w:numId w:val="10"/>
        </w:numPr>
        <w:tabs>
          <w:tab w:pos="502" w:val="left" w:leader="none"/>
          <w:tab w:pos="504" w:val="left" w:leader="none"/>
        </w:tabs>
        <w:spacing w:line="235" w:lineRule="auto" w:before="0" w:after="0"/>
        <w:ind w:left="504" w:right="40" w:hanging="248"/>
        <w:jc w:val="both"/>
        <w:rPr>
          <w:sz w:val="16"/>
        </w:rPr>
      </w:pPr>
      <w:r>
        <w:rPr>
          <w:color w:val="231F20"/>
          <w:sz w:val="16"/>
        </w:rPr>
        <w:t>Tzoulis C, Engelsen BA, Telstad W, et al. The spectrum of </w:t>
      </w:r>
      <w:r>
        <w:rPr>
          <w:color w:val="231F20"/>
          <w:sz w:val="16"/>
        </w:rPr>
        <w:t>clini-</w:t>
      </w:r>
      <w:r>
        <w:rPr>
          <w:color w:val="231F20"/>
          <w:spacing w:val="40"/>
          <w:sz w:val="16"/>
        </w:rPr>
        <w:t> </w:t>
      </w:r>
      <w:r>
        <w:rPr>
          <w:color w:val="231F20"/>
          <w:sz w:val="16"/>
        </w:rPr>
        <w:t>cal disease caused by the A467T and W748S POLG mutations: a</w:t>
      </w:r>
      <w:r>
        <w:rPr>
          <w:color w:val="231F20"/>
          <w:spacing w:val="40"/>
          <w:sz w:val="16"/>
        </w:rPr>
        <w:t> </w:t>
      </w:r>
      <w:r>
        <w:rPr>
          <w:color w:val="231F20"/>
          <w:sz w:val="16"/>
        </w:rPr>
        <w:t>study of 26 cases. Brain 2006;129 (Part 7):1685–1692.</w:t>
      </w:r>
    </w:p>
    <w:p>
      <w:pPr>
        <w:pStyle w:val="ListParagraph"/>
        <w:numPr>
          <w:ilvl w:val="0"/>
          <w:numId w:val="10"/>
        </w:numPr>
        <w:tabs>
          <w:tab w:pos="502" w:val="left" w:leader="none"/>
          <w:tab w:pos="504" w:val="left" w:leader="none"/>
        </w:tabs>
        <w:spacing w:line="232" w:lineRule="auto" w:before="0" w:after="0"/>
        <w:ind w:left="504" w:right="39" w:hanging="248"/>
        <w:jc w:val="both"/>
        <w:rPr>
          <w:sz w:val="16"/>
        </w:rPr>
      </w:pPr>
      <w:r>
        <w:rPr>
          <w:color w:val="231F20"/>
          <w:sz w:val="16"/>
        </w:rPr>
        <w:t>Schrag A, Quinn NP, Bhatia KP, Marsden CD. Benign </w:t>
      </w:r>
      <w:r>
        <w:rPr>
          <w:color w:val="231F20"/>
          <w:sz w:val="16"/>
        </w:rPr>
        <w:t>hereditary</w:t>
      </w:r>
      <w:r>
        <w:rPr>
          <w:color w:val="231F20"/>
          <w:spacing w:val="40"/>
          <w:sz w:val="16"/>
        </w:rPr>
        <w:t> </w:t>
      </w:r>
      <w:r>
        <w:rPr>
          <w:color w:val="231F20"/>
          <w:sz w:val="16"/>
        </w:rPr>
        <w:t>chorea—entity or syndrome? Mov Disord 2000;15:280–288.</w:t>
      </w:r>
    </w:p>
    <w:p>
      <w:pPr>
        <w:pStyle w:val="ListParagraph"/>
        <w:numPr>
          <w:ilvl w:val="0"/>
          <w:numId w:val="10"/>
        </w:numPr>
        <w:tabs>
          <w:tab w:pos="502" w:val="left" w:leader="none"/>
          <w:tab w:pos="504" w:val="left" w:leader="none"/>
        </w:tabs>
        <w:spacing w:line="232" w:lineRule="auto" w:before="0" w:after="0"/>
        <w:ind w:left="504" w:right="39" w:hanging="248"/>
        <w:jc w:val="both"/>
        <w:rPr>
          <w:sz w:val="16"/>
        </w:rPr>
      </w:pPr>
      <w:r>
        <w:rPr>
          <w:color w:val="231F20"/>
          <w:sz w:val="16"/>
        </w:rPr>
        <w:t>Engelsen</w:t>
      </w:r>
      <w:r>
        <w:rPr>
          <w:color w:val="231F20"/>
          <w:spacing w:val="40"/>
          <w:sz w:val="16"/>
        </w:rPr>
        <w:t> </w:t>
      </w:r>
      <w:r>
        <w:rPr>
          <w:color w:val="231F20"/>
          <w:sz w:val="16"/>
        </w:rPr>
        <w:t>BA,</w:t>
      </w:r>
      <w:r>
        <w:rPr>
          <w:color w:val="231F20"/>
          <w:spacing w:val="40"/>
          <w:sz w:val="16"/>
        </w:rPr>
        <w:t> </w:t>
      </w:r>
      <w:r>
        <w:rPr>
          <w:color w:val="231F20"/>
          <w:sz w:val="16"/>
        </w:rPr>
        <w:t>Tzoulis</w:t>
      </w:r>
      <w:r>
        <w:rPr>
          <w:color w:val="231F20"/>
          <w:spacing w:val="40"/>
          <w:sz w:val="16"/>
        </w:rPr>
        <w:t> </w:t>
      </w:r>
      <w:r>
        <w:rPr>
          <w:color w:val="231F20"/>
          <w:sz w:val="16"/>
        </w:rPr>
        <w:t>C,</w:t>
      </w:r>
      <w:r>
        <w:rPr>
          <w:color w:val="231F20"/>
          <w:spacing w:val="40"/>
          <w:sz w:val="16"/>
        </w:rPr>
        <w:t> </w:t>
      </w:r>
      <w:r>
        <w:rPr>
          <w:color w:val="231F20"/>
          <w:sz w:val="16"/>
        </w:rPr>
        <w:t>Karlsen</w:t>
      </w:r>
      <w:r>
        <w:rPr>
          <w:color w:val="231F20"/>
          <w:spacing w:val="40"/>
          <w:sz w:val="16"/>
        </w:rPr>
        <w:t> </w:t>
      </w:r>
      <w:r>
        <w:rPr>
          <w:color w:val="231F20"/>
          <w:sz w:val="16"/>
        </w:rPr>
        <w:t>B,</w:t>
      </w:r>
      <w:r>
        <w:rPr>
          <w:color w:val="231F20"/>
          <w:spacing w:val="40"/>
          <w:sz w:val="16"/>
        </w:rPr>
        <w:t> </w:t>
      </w:r>
      <w:r>
        <w:rPr>
          <w:color w:val="231F20"/>
          <w:sz w:val="16"/>
        </w:rPr>
        <w:t>et</w:t>
      </w:r>
      <w:r>
        <w:rPr>
          <w:color w:val="231F20"/>
          <w:spacing w:val="40"/>
          <w:sz w:val="16"/>
        </w:rPr>
        <w:t> </w:t>
      </w:r>
      <w:r>
        <w:rPr>
          <w:color w:val="231F20"/>
          <w:sz w:val="16"/>
        </w:rPr>
        <w:t>al.</w:t>
      </w:r>
      <w:r>
        <w:rPr>
          <w:color w:val="231F20"/>
          <w:spacing w:val="40"/>
          <w:sz w:val="16"/>
        </w:rPr>
        <w:t> </w:t>
      </w:r>
      <w:r>
        <w:rPr>
          <w:color w:val="231F20"/>
          <w:sz w:val="16"/>
        </w:rPr>
        <w:t>POLG1</w:t>
      </w:r>
      <w:r>
        <w:rPr>
          <w:color w:val="231F20"/>
          <w:spacing w:val="40"/>
          <w:sz w:val="16"/>
        </w:rPr>
        <w:t> </w:t>
      </w:r>
      <w:r>
        <w:rPr>
          <w:color w:val="231F20"/>
          <w:sz w:val="16"/>
        </w:rPr>
        <w:t>mutations</w:t>
      </w:r>
      <w:r>
        <w:rPr>
          <w:color w:val="231F20"/>
          <w:spacing w:val="40"/>
          <w:sz w:val="16"/>
        </w:rPr>
        <w:t> </w:t>
      </w:r>
      <w:r>
        <w:rPr>
          <w:color w:val="231F20"/>
          <w:sz w:val="16"/>
        </w:rPr>
        <w:t>cause a syndromic epilepsy with occipital lobe predilection. Brain</w:t>
      </w:r>
      <w:r>
        <w:rPr>
          <w:color w:val="231F20"/>
          <w:spacing w:val="40"/>
          <w:sz w:val="16"/>
        </w:rPr>
        <w:t> </w:t>
      </w:r>
      <w:r>
        <w:rPr>
          <w:color w:val="231F20"/>
          <w:sz w:val="16"/>
        </w:rPr>
        <w:t>2008;131 (Part 3):818–828.</w:t>
      </w:r>
    </w:p>
    <w:p>
      <w:pPr>
        <w:pStyle w:val="ListParagraph"/>
        <w:numPr>
          <w:ilvl w:val="0"/>
          <w:numId w:val="10"/>
        </w:numPr>
        <w:tabs>
          <w:tab w:pos="502" w:val="left" w:leader="none"/>
          <w:tab w:pos="504" w:val="left" w:leader="none"/>
        </w:tabs>
        <w:spacing w:line="235" w:lineRule="auto" w:before="0" w:after="0"/>
        <w:ind w:left="504" w:right="40" w:hanging="248"/>
        <w:jc w:val="both"/>
        <w:rPr>
          <w:sz w:val="16"/>
        </w:rPr>
      </w:pPr>
      <w:r>
        <w:rPr>
          <w:color w:val="231F20"/>
          <w:sz w:val="16"/>
        </w:rPr>
        <w:t>Hakonen AH, Davidzon G, Salemi R, et al. Abundance of </w:t>
      </w:r>
      <w:r>
        <w:rPr>
          <w:color w:val="231F20"/>
          <w:sz w:val="16"/>
        </w:rPr>
        <w:t>the</w:t>
      </w:r>
      <w:r>
        <w:rPr>
          <w:color w:val="231F20"/>
          <w:spacing w:val="40"/>
          <w:sz w:val="16"/>
        </w:rPr>
        <w:t> </w:t>
      </w:r>
      <w:r>
        <w:rPr>
          <w:color w:val="231F20"/>
          <w:sz w:val="16"/>
        </w:rPr>
        <w:t>POLG disease mutations in Europe, Australia, New Zealand, and</w:t>
      </w:r>
      <w:r>
        <w:rPr>
          <w:color w:val="231F20"/>
          <w:spacing w:val="40"/>
          <w:sz w:val="16"/>
        </w:rPr>
        <w:t> </w:t>
      </w:r>
      <w:r>
        <w:rPr>
          <w:color w:val="231F20"/>
          <w:sz w:val="16"/>
        </w:rPr>
        <w:t>the United States explained by single ancient European founders.</w:t>
      </w:r>
      <w:r>
        <w:rPr>
          <w:color w:val="231F20"/>
          <w:spacing w:val="40"/>
          <w:sz w:val="16"/>
        </w:rPr>
        <w:t> </w:t>
      </w:r>
      <w:r>
        <w:rPr>
          <w:color w:val="231F20"/>
          <w:sz w:val="16"/>
        </w:rPr>
        <w:t>Eur J Hum Genet 2007;15:779–783.</w:t>
      </w:r>
    </w:p>
    <w:p>
      <w:pPr>
        <w:pStyle w:val="ListParagraph"/>
        <w:numPr>
          <w:ilvl w:val="0"/>
          <w:numId w:val="10"/>
        </w:numPr>
        <w:tabs>
          <w:tab w:pos="502" w:val="left" w:leader="none"/>
          <w:tab w:pos="504" w:val="left" w:leader="none"/>
        </w:tabs>
        <w:spacing w:line="232" w:lineRule="auto" w:before="0" w:after="0"/>
        <w:ind w:left="504" w:right="39" w:hanging="248"/>
        <w:jc w:val="both"/>
        <w:rPr>
          <w:sz w:val="16"/>
        </w:rPr>
      </w:pPr>
      <w:r>
        <w:rPr>
          <w:color w:val="231F20"/>
          <w:sz w:val="16"/>
        </w:rPr>
        <w:t>Paus S, Zsurka G, Baron M, et al. Apraxia of lid opening </w:t>
      </w:r>
      <w:r>
        <w:rPr>
          <w:color w:val="231F20"/>
          <w:sz w:val="16"/>
        </w:rPr>
        <w:t>mim-</w:t>
      </w:r>
      <w:r>
        <w:rPr>
          <w:color w:val="231F20"/>
          <w:spacing w:val="40"/>
          <w:sz w:val="16"/>
        </w:rPr>
        <w:t> </w:t>
      </w:r>
      <w:r>
        <w:rPr>
          <w:color w:val="231F20"/>
          <w:sz w:val="16"/>
        </w:rPr>
        <w:t>icking ptosis in compound heterozygosity for A467T and W748S</w:t>
      </w:r>
      <w:r>
        <w:rPr>
          <w:color w:val="231F20"/>
          <w:spacing w:val="40"/>
          <w:sz w:val="16"/>
        </w:rPr>
        <w:t> </w:t>
      </w:r>
      <w:r>
        <w:rPr>
          <w:color w:val="231F20"/>
          <w:sz w:val="16"/>
        </w:rPr>
        <w:t>POLG1 mutations. Mov Disord 2008;23:1286–1288.</w:t>
      </w:r>
    </w:p>
    <w:p>
      <w:pPr>
        <w:pStyle w:val="ListParagraph"/>
        <w:numPr>
          <w:ilvl w:val="0"/>
          <w:numId w:val="10"/>
        </w:numPr>
        <w:tabs>
          <w:tab w:pos="502" w:val="left" w:leader="none"/>
          <w:tab w:pos="504" w:val="left" w:leader="none"/>
        </w:tabs>
        <w:spacing w:line="232" w:lineRule="auto" w:before="1" w:after="0"/>
        <w:ind w:left="504" w:right="38" w:hanging="248"/>
        <w:jc w:val="both"/>
        <w:rPr>
          <w:sz w:val="16"/>
        </w:rPr>
      </w:pPr>
      <w:r>
        <w:rPr>
          <w:color w:val="231F20"/>
          <w:sz w:val="16"/>
        </w:rPr>
        <w:t>Davidzon</w:t>
      </w:r>
      <w:r>
        <w:rPr>
          <w:color w:val="231F20"/>
          <w:spacing w:val="-2"/>
          <w:sz w:val="16"/>
        </w:rPr>
        <w:t> </w:t>
      </w:r>
      <w:r>
        <w:rPr>
          <w:color w:val="231F20"/>
          <w:sz w:val="16"/>
        </w:rPr>
        <w:t>G,</w:t>
      </w:r>
      <w:r>
        <w:rPr>
          <w:color w:val="231F20"/>
          <w:spacing w:val="-3"/>
          <w:sz w:val="16"/>
        </w:rPr>
        <w:t> </w:t>
      </w:r>
      <w:r>
        <w:rPr>
          <w:color w:val="231F20"/>
          <w:sz w:val="16"/>
        </w:rPr>
        <w:t>Greene</w:t>
      </w:r>
      <w:r>
        <w:rPr>
          <w:color w:val="231F20"/>
          <w:spacing w:val="-1"/>
          <w:sz w:val="16"/>
        </w:rPr>
        <w:t> </w:t>
      </w:r>
      <w:r>
        <w:rPr>
          <w:color w:val="231F20"/>
          <w:sz w:val="16"/>
        </w:rPr>
        <w:t>P,</w:t>
      </w:r>
      <w:r>
        <w:rPr>
          <w:color w:val="231F20"/>
          <w:spacing w:val="-4"/>
          <w:sz w:val="16"/>
        </w:rPr>
        <w:t> </w:t>
      </w:r>
      <w:r>
        <w:rPr>
          <w:color w:val="231F20"/>
          <w:sz w:val="16"/>
        </w:rPr>
        <w:t>Mancuso</w:t>
      </w:r>
      <w:r>
        <w:rPr>
          <w:color w:val="231F20"/>
          <w:spacing w:val="-2"/>
          <w:sz w:val="16"/>
        </w:rPr>
        <w:t> </w:t>
      </w:r>
      <w:r>
        <w:rPr>
          <w:color w:val="231F20"/>
          <w:sz w:val="16"/>
        </w:rPr>
        <w:t>M,</w:t>
      </w:r>
      <w:r>
        <w:rPr>
          <w:color w:val="231F20"/>
          <w:spacing w:val="-1"/>
          <w:sz w:val="16"/>
        </w:rPr>
        <w:t> </w:t>
      </w:r>
      <w:r>
        <w:rPr>
          <w:color w:val="231F20"/>
          <w:sz w:val="16"/>
        </w:rPr>
        <w:t>et</w:t>
      </w:r>
      <w:r>
        <w:rPr>
          <w:color w:val="231F20"/>
          <w:spacing w:val="-3"/>
          <w:sz w:val="16"/>
        </w:rPr>
        <w:t> </w:t>
      </w:r>
      <w:r>
        <w:rPr>
          <w:color w:val="231F20"/>
          <w:sz w:val="16"/>
        </w:rPr>
        <w:t>al.</w:t>
      </w:r>
      <w:r>
        <w:rPr>
          <w:color w:val="231F20"/>
          <w:spacing w:val="-2"/>
          <w:sz w:val="16"/>
        </w:rPr>
        <w:t> </w:t>
      </w:r>
      <w:r>
        <w:rPr>
          <w:color w:val="231F20"/>
          <w:sz w:val="16"/>
        </w:rPr>
        <w:t>Early-onset</w:t>
      </w:r>
      <w:r>
        <w:rPr>
          <w:color w:val="231F20"/>
          <w:spacing w:val="-3"/>
          <w:sz w:val="16"/>
        </w:rPr>
        <w:t> </w:t>
      </w:r>
      <w:r>
        <w:rPr>
          <w:color w:val="231F20"/>
          <w:sz w:val="16"/>
        </w:rPr>
        <w:t>familial</w:t>
      </w:r>
      <w:r>
        <w:rPr>
          <w:color w:val="231F20"/>
          <w:spacing w:val="-3"/>
          <w:sz w:val="16"/>
        </w:rPr>
        <w:t> </w:t>
      </w:r>
      <w:r>
        <w:rPr>
          <w:color w:val="231F20"/>
          <w:sz w:val="16"/>
        </w:rPr>
        <w:t>par-</w:t>
      </w:r>
      <w:r>
        <w:rPr>
          <w:color w:val="231F20"/>
          <w:spacing w:val="40"/>
          <w:sz w:val="16"/>
        </w:rPr>
        <w:t> </w:t>
      </w:r>
      <w:r>
        <w:rPr>
          <w:color w:val="231F20"/>
          <w:sz w:val="16"/>
        </w:rPr>
        <w:t>kinsonism due to POLG mutations. Ann Neurol 2006;59:859–862.</w:t>
      </w:r>
    </w:p>
    <w:p>
      <w:pPr>
        <w:pStyle w:val="BodyText"/>
        <w:rPr>
          <w:sz w:val="16"/>
        </w:rPr>
      </w:pPr>
    </w:p>
    <w:p>
      <w:pPr>
        <w:pStyle w:val="BodyText"/>
        <w:spacing w:before="160"/>
        <w:rPr>
          <w:sz w:val="16"/>
        </w:rPr>
      </w:pPr>
    </w:p>
    <w:p>
      <w:pPr>
        <w:pStyle w:val="Heading1"/>
        <w:spacing w:line="244" w:lineRule="auto"/>
        <w:ind w:left="216"/>
      </w:pPr>
      <w:r>
        <w:rPr>
          <w:color w:val="231F20"/>
          <w:w w:val="105"/>
        </w:rPr>
        <w:t>Neuroleptic Malignant Syndrome </w:t>
      </w:r>
      <w:r>
        <w:rPr>
          <w:color w:val="231F20"/>
          <w:w w:val="105"/>
        </w:rPr>
        <w:t>with Aripiprazole in Huntington’s Disease</w:t>
      </w:r>
    </w:p>
    <w:p>
      <w:pPr>
        <w:pStyle w:val="BodyText"/>
        <w:spacing w:before="9"/>
        <w:rPr>
          <w:sz w:val="22"/>
        </w:rPr>
      </w:pPr>
    </w:p>
    <w:p>
      <w:pPr>
        <w:pStyle w:val="BodyText"/>
        <w:spacing w:line="230" w:lineRule="auto"/>
        <w:ind w:left="256" w:right="40" w:firstLine="199"/>
        <w:jc w:val="both"/>
      </w:pPr>
      <w:r>
        <w:rPr>
          <w:color w:val="231F20"/>
        </w:rPr>
        <w:t>The atypical antipsychotic drug aripiprazole is a </w:t>
      </w:r>
      <w:r>
        <w:rPr>
          <w:color w:val="231F20"/>
        </w:rPr>
        <w:t>partial dopamine D2 and serotonin 5-HT</w:t>
      </w:r>
      <w:r>
        <w:rPr>
          <w:color w:val="231F20"/>
          <w:vertAlign w:val="subscript"/>
        </w:rPr>
        <w:t>1A</w:t>
      </w:r>
      <w:r>
        <w:rPr>
          <w:color w:val="231F20"/>
          <w:vertAlign w:val="baseline"/>
        </w:rPr>
        <w:t> receptor agonist and an antagonist at serotonin 5-HT</w:t>
      </w:r>
      <w:r>
        <w:rPr>
          <w:color w:val="231F20"/>
          <w:vertAlign w:val="subscript"/>
        </w:rPr>
        <w:t>2A</w:t>
      </w:r>
      <w:r>
        <w:rPr>
          <w:color w:val="231F20"/>
          <w:vertAlign w:val="baseline"/>
        </w:rPr>
        <w:t> receptors. It is a promising agent for patients with schizophrenia but also for those with Huntington’s disease (HD), who may suffer from psychosis, aggression, cognitive decline, and movement disorder. Recent reports</w:t>
      </w:r>
      <w:r>
        <w:rPr>
          <w:color w:val="231F20"/>
          <w:vertAlign w:val="superscript"/>
        </w:rPr>
        <w:t>1,2</w:t>
      </w:r>
      <w:r>
        <w:rPr>
          <w:color w:val="231F20"/>
          <w:vertAlign w:val="baseline"/>
        </w:rPr>
        <w:t> and clinical observations suggest that aripiprazole improves chorea and functional disability with an effect com- parable with tetrabenazine but with less sedation and better tolerability. Thus, aripiprazole may be an attractive treatment option in HD, in particular for patients with psychosis and chorea or those not responding to other chorea treatments. In schizophrenia, however, aripiprazole was associated with neuroleptic malignant syndrome (NMS).</w:t>
      </w:r>
      <w:r>
        <w:rPr>
          <w:color w:val="231F20"/>
          <w:vertAlign w:val="superscript"/>
        </w:rPr>
        <w:t>3,4</w:t>
      </w:r>
      <w:r>
        <w:rPr>
          <w:color w:val="231F20"/>
          <w:vertAlign w:val="baseline"/>
        </w:rPr>
        <w:t> Patients with HD may have an increased risk for developing NMS although the occurrence of NMS in HD is rarely reported.</w:t>
      </w:r>
      <w:r>
        <w:rPr>
          <w:color w:val="231F20"/>
          <w:vertAlign w:val="superscript"/>
        </w:rPr>
        <w:t>5</w:t>
      </w:r>
      <w:r>
        <w:rPr>
          <w:color w:val="231F20"/>
          <w:vertAlign w:val="baseline"/>
        </w:rPr>
        <w:t> Here, we pres- ent a case of MNS in a HD patient treated with aripiprazole.</w:t>
      </w:r>
    </w:p>
    <w:p>
      <w:pPr>
        <w:pStyle w:val="BodyText"/>
        <w:spacing w:line="230" w:lineRule="auto" w:before="10"/>
        <w:ind w:left="256" w:right="40" w:firstLine="199"/>
        <w:jc w:val="both"/>
      </w:pPr>
      <w:r>
        <w:rPr>
          <w:color w:val="231F20"/>
        </w:rPr>
        <w:t>The patient, a 55-year-old retired engineering </w:t>
      </w:r>
      <w:r>
        <w:rPr>
          <w:color w:val="231F20"/>
        </w:rPr>
        <w:t>technician, presented with increasingly severe behavioral disorders including irritability and violent behavior. Unequivocal motor signs of HD (chorea) had been observed for the ﬁrst time 10 years</w:t>
      </w:r>
      <w:r>
        <w:rPr>
          <w:color w:val="231F20"/>
          <w:spacing w:val="21"/>
        </w:rPr>
        <w:t> </w:t>
      </w:r>
      <w:r>
        <w:rPr>
          <w:color w:val="231F20"/>
        </w:rPr>
        <w:t>before.</w:t>
      </w:r>
      <w:r>
        <w:rPr>
          <w:color w:val="231F20"/>
          <w:spacing w:val="21"/>
        </w:rPr>
        <w:t> </w:t>
      </w:r>
      <w:r>
        <w:rPr>
          <w:color w:val="231F20"/>
        </w:rPr>
        <w:t>The</w:t>
      </w:r>
      <w:r>
        <w:rPr>
          <w:color w:val="231F20"/>
          <w:spacing w:val="21"/>
        </w:rPr>
        <w:t> </w:t>
      </w:r>
      <w:r>
        <w:rPr>
          <w:color w:val="231F20"/>
        </w:rPr>
        <w:t>father</w:t>
      </w:r>
      <w:r>
        <w:rPr>
          <w:color w:val="231F20"/>
          <w:spacing w:val="21"/>
        </w:rPr>
        <w:t> </w:t>
      </w:r>
      <w:r>
        <w:rPr>
          <w:color w:val="231F20"/>
        </w:rPr>
        <w:t>and</w:t>
      </w:r>
      <w:r>
        <w:rPr>
          <w:color w:val="231F20"/>
          <w:spacing w:val="21"/>
        </w:rPr>
        <w:t> </w:t>
      </w:r>
      <w:r>
        <w:rPr>
          <w:color w:val="231F20"/>
        </w:rPr>
        <w:t>brother</w:t>
      </w:r>
      <w:r>
        <w:rPr>
          <w:color w:val="231F20"/>
          <w:spacing w:val="20"/>
        </w:rPr>
        <w:t> </w:t>
      </w:r>
      <w:r>
        <w:rPr>
          <w:color w:val="231F20"/>
        </w:rPr>
        <w:t>of</w:t>
      </w:r>
      <w:r>
        <w:rPr>
          <w:color w:val="231F20"/>
          <w:spacing w:val="21"/>
        </w:rPr>
        <w:t> </w:t>
      </w:r>
      <w:r>
        <w:rPr>
          <w:color w:val="231F20"/>
        </w:rPr>
        <w:t>the</w:t>
      </w:r>
      <w:r>
        <w:rPr>
          <w:color w:val="231F20"/>
          <w:spacing w:val="21"/>
        </w:rPr>
        <w:t> </w:t>
      </w:r>
      <w:r>
        <w:rPr>
          <w:color w:val="231F20"/>
        </w:rPr>
        <w:t>patients</w:t>
      </w:r>
      <w:r>
        <w:rPr>
          <w:color w:val="231F20"/>
          <w:spacing w:val="21"/>
        </w:rPr>
        <w:t> </w:t>
      </w:r>
      <w:r>
        <w:rPr>
          <w:color w:val="231F20"/>
        </w:rPr>
        <w:t>had</w:t>
      </w:r>
      <w:r>
        <w:rPr>
          <w:color w:val="231F20"/>
          <w:spacing w:val="21"/>
        </w:rPr>
        <w:t> </w:t>
      </w:r>
      <w:r>
        <w:rPr>
          <w:color w:val="231F20"/>
        </w:rPr>
        <w:t>died of HD. The clinical diagnosis of HD was conﬁrmed with mo- lecular genetic testing (CAG repeat expansion with 43 trip- lets). An MRI scan of the brain at the time of diagnosis</w:t>
      </w:r>
      <w:r>
        <w:rPr>
          <w:color w:val="231F20"/>
          <w:spacing w:val="80"/>
        </w:rPr>
        <w:t> </w:t>
      </w:r>
      <w:r>
        <w:rPr>
          <w:color w:val="231F20"/>
        </w:rPr>
        <w:t>showed normal cerebral morphology. Recent MRI scans revealed HD typical morphological alterations (symmetric at- rophy of the striatum and widening of the lateral ventricles). Subsequently, the</w:t>
      </w:r>
      <w:r>
        <w:rPr>
          <w:color w:val="231F20"/>
          <w:spacing w:val="40"/>
        </w:rPr>
        <w:t> </w:t>
      </w:r>
      <w:r>
        <w:rPr>
          <w:color w:val="231F20"/>
        </w:rPr>
        <w:t>patient developed</w:t>
      </w:r>
      <w:r>
        <w:rPr>
          <w:color w:val="231F20"/>
          <w:spacing w:val="40"/>
        </w:rPr>
        <w:t> </w:t>
      </w:r>
      <w:r>
        <w:rPr>
          <w:color w:val="231F20"/>
        </w:rPr>
        <w:t>severe</w:t>
      </w:r>
      <w:r>
        <w:rPr>
          <w:color w:val="231F20"/>
          <w:spacing w:val="40"/>
        </w:rPr>
        <w:t> </w:t>
      </w:r>
      <w:r>
        <w:rPr>
          <w:color w:val="231F20"/>
        </w:rPr>
        <w:t>chorea of arms and</w:t>
      </w:r>
      <w:r>
        <w:rPr>
          <w:color w:val="231F20"/>
          <w:spacing w:val="45"/>
        </w:rPr>
        <w:t> </w:t>
      </w:r>
      <w:r>
        <w:rPr>
          <w:color w:val="231F20"/>
        </w:rPr>
        <w:t>legs,</w:t>
      </w:r>
      <w:r>
        <w:rPr>
          <w:color w:val="231F20"/>
          <w:spacing w:val="45"/>
        </w:rPr>
        <w:t> </w:t>
      </w:r>
      <w:r>
        <w:rPr>
          <w:color w:val="231F20"/>
        </w:rPr>
        <w:t>head</w:t>
      </w:r>
      <w:r>
        <w:rPr>
          <w:color w:val="231F20"/>
          <w:spacing w:val="44"/>
        </w:rPr>
        <w:t> </w:t>
      </w:r>
      <w:r>
        <w:rPr>
          <w:color w:val="231F20"/>
        </w:rPr>
        <w:t>and</w:t>
      </w:r>
      <w:r>
        <w:rPr>
          <w:color w:val="231F20"/>
          <w:spacing w:val="46"/>
        </w:rPr>
        <w:t> </w:t>
      </w:r>
      <w:r>
        <w:rPr>
          <w:color w:val="231F20"/>
        </w:rPr>
        <w:t>trunk</w:t>
      </w:r>
      <w:r>
        <w:rPr>
          <w:color w:val="231F20"/>
          <w:spacing w:val="45"/>
        </w:rPr>
        <w:t> </w:t>
      </w:r>
      <w:r>
        <w:rPr>
          <w:color w:val="231F20"/>
        </w:rPr>
        <w:t>together</w:t>
      </w:r>
      <w:r>
        <w:rPr>
          <w:color w:val="231F20"/>
          <w:spacing w:val="44"/>
        </w:rPr>
        <w:t> </w:t>
      </w:r>
      <w:r>
        <w:rPr>
          <w:color w:val="231F20"/>
        </w:rPr>
        <w:t>with</w:t>
      </w:r>
      <w:r>
        <w:rPr>
          <w:color w:val="231F20"/>
          <w:spacing w:val="45"/>
        </w:rPr>
        <w:t> </w:t>
      </w:r>
      <w:r>
        <w:rPr>
          <w:color w:val="231F20"/>
        </w:rPr>
        <w:t>moderate</w:t>
      </w:r>
      <w:r>
        <w:rPr>
          <w:color w:val="231F20"/>
          <w:spacing w:val="46"/>
        </w:rPr>
        <w:t> </w:t>
      </w:r>
      <w:r>
        <w:rPr>
          <w:color w:val="231F20"/>
          <w:spacing w:val="-2"/>
        </w:rPr>
        <w:t>cognitive</w:t>
      </w:r>
    </w:p>
    <w:p>
      <w:pPr>
        <w:pStyle w:val="BodyText"/>
        <w:spacing w:before="4"/>
        <w:rPr>
          <w:sz w:val="17"/>
        </w:rPr>
      </w:pPr>
      <w:r>
        <w:rPr>
          <w:sz w:val="17"/>
        </w:rPr>
        <mc:AlternateContent>
          <mc:Choice Requires="wps">
            <w:drawing>
              <wp:anchor distT="0" distB="0" distL="0" distR="0" allowOverlap="1" layoutInCell="1" locked="0" behindDoc="1" simplePos="0" relativeHeight="487600640">
                <wp:simplePos x="0" y="0"/>
                <wp:positionH relativeFrom="page">
                  <wp:posOffset>848880</wp:posOffset>
                </wp:positionH>
                <wp:positionV relativeFrom="paragraph">
                  <wp:posOffset>142072</wp:posOffset>
                </wp:positionV>
                <wp:extent cx="2897505" cy="3175"/>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2897505" cy="3175"/>
                        </a:xfrm>
                        <a:custGeom>
                          <a:avLst/>
                          <a:gdLst/>
                          <a:ahLst/>
                          <a:cxnLst/>
                          <a:rect l="l" t="t" r="r" b="b"/>
                          <a:pathLst>
                            <a:path w="2897505" h="3175">
                              <a:moveTo>
                                <a:pt x="0" y="0"/>
                              </a:moveTo>
                              <a:lnTo>
                                <a:pt x="0" y="2882"/>
                              </a:lnTo>
                              <a:lnTo>
                                <a:pt x="2897276" y="2882"/>
                              </a:lnTo>
                              <a:lnTo>
                                <a:pt x="2897276" y="0"/>
                              </a:lnTo>
                              <a:lnTo>
                                <a:pt x="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66.841003pt;margin-top:11.18682pt;width:228.132pt;height:.227pt;mso-position-horizontal-relative:page;mso-position-vertical-relative:paragraph;z-index:-15715840;mso-wrap-distance-left:0;mso-wrap-distance-right:0" id="docshape22" filled="true" fillcolor="#231f20" stroked="false">
                <v:fill type="solid"/>
                <w10:wrap type="topAndBottom"/>
              </v:rect>
            </w:pict>
          </mc:Fallback>
        </mc:AlternateContent>
      </w:r>
    </w:p>
    <w:p>
      <w:pPr>
        <w:spacing w:line="184" w:lineRule="exact" w:before="56"/>
        <w:ind w:left="416" w:right="0" w:firstLine="0"/>
        <w:jc w:val="left"/>
        <w:rPr>
          <w:sz w:val="16"/>
        </w:rPr>
      </w:pPr>
      <w:r>
        <w:rPr>
          <w:color w:val="231F20"/>
          <w:sz w:val="16"/>
        </w:rPr>
        <w:t>Potential</w:t>
      </w:r>
      <w:r>
        <w:rPr>
          <w:color w:val="231F20"/>
          <w:spacing w:val="9"/>
          <w:sz w:val="16"/>
        </w:rPr>
        <w:t> </w:t>
      </w:r>
      <w:r>
        <w:rPr>
          <w:color w:val="231F20"/>
          <w:sz w:val="16"/>
        </w:rPr>
        <w:t>conﬂict</w:t>
      </w:r>
      <w:r>
        <w:rPr>
          <w:color w:val="231F20"/>
          <w:spacing w:val="10"/>
          <w:sz w:val="16"/>
        </w:rPr>
        <w:t> </w:t>
      </w:r>
      <w:r>
        <w:rPr>
          <w:color w:val="231F20"/>
          <w:sz w:val="16"/>
        </w:rPr>
        <w:t>of</w:t>
      </w:r>
      <w:r>
        <w:rPr>
          <w:color w:val="231F20"/>
          <w:spacing w:val="11"/>
          <w:sz w:val="16"/>
        </w:rPr>
        <w:t> </w:t>
      </w:r>
      <w:r>
        <w:rPr>
          <w:color w:val="231F20"/>
          <w:sz w:val="16"/>
        </w:rPr>
        <w:t>interest:</w:t>
      </w:r>
      <w:r>
        <w:rPr>
          <w:color w:val="231F20"/>
          <w:spacing w:val="10"/>
          <w:sz w:val="16"/>
        </w:rPr>
        <w:t> </w:t>
      </w:r>
      <w:r>
        <w:rPr>
          <w:color w:val="231F20"/>
          <w:sz w:val="16"/>
        </w:rPr>
        <w:t>Nothing</w:t>
      </w:r>
      <w:r>
        <w:rPr>
          <w:color w:val="231F20"/>
          <w:spacing w:val="10"/>
          <w:sz w:val="16"/>
        </w:rPr>
        <w:t> </w:t>
      </w:r>
      <w:r>
        <w:rPr>
          <w:color w:val="231F20"/>
          <w:sz w:val="16"/>
        </w:rPr>
        <w:t>to</w:t>
      </w:r>
      <w:r>
        <w:rPr>
          <w:color w:val="231F20"/>
          <w:spacing w:val="10"/>
          <w:sz w:val="16"/>
        </w:rPr>
        <w:t> </w:t>
      </w:r>
      <w:r>
        <w:rPr>
          <w:color w:val="231F20"/>
          <w:spacing w:val="-2"/>
          <w:sz w:val="16"/>
        </w:rPr>
        <w:t>report.</w:t>
      </w:r>
    </w:p>
    <w:p>
      <w:pPr>
        <w:spacing w:line="232" w:lineRule="auto" w:before="4"/>
        <w:ind w:left="256" w:right="39" w:firstLine="159"/>
        <w:jc w:val="both"/>
        <w:rPr>
          <w:sz w:val="16"/>
        </w:rPr>
      </w:pPr>
      <w:r>
        <w:rPr>
          <w:color w:val="231F20"/>
          <w:w w:val="105"/>
          <w:sz w:val="16"/>
        </w:rPr>
        <w:t>Published</w:t>
      </w:r>
      <w:r>
        <w:rPr>
          <w:color w:val="231F20"/>
          <w:w w:val="105"/>
          <w:sz w:val="16"/>
        </w:rPr>
        <w:t> online</w:t>
      </w:r>
      <w:r>
        <w:rPr>
          <w:color w:val="231F20"/>
          <w:w w:val="105"/>
          <w:sz w:val="16"/>
        </w:rPr>
        <w:t> 28</w:t>
      </w:r>
      <w:r>
        <w:rPr>
          <w:color w:val="231F20"/>
          <w:w w:val="105"/>
          <w:sz w:val="16"/>
        </w:rPr>
        <w:t> July</w:t>
      </w:r>
      <w:r>
        <w:rPr>
          <w:color w:val="231F20"/>
          <w:w w:val="105"/>
          <w:sz w:val="16"/>
        </w:rPr>
        <w:t> 2010</w:t>
      </w:r>
      <w:r>
        <w:rPr>
          <w:color w:val="231F20"/>
          <w:w w:val="105"/>
          <w:sz w:val="16"/>
        </w:rPr>
        <w:t> in</w:t>
      </w:r>
      <w:r>
        <w:rPr>
          <w:color w:val="231F20"/>
          <w:w w:val="105"/>
          <w:sz w:val="16"/>
        </w:rPr>
        <w:t> Wiley</w:t>
      </w:r>
      <w:r>
        <w:rPr>
          <w:color w:val="231F20"/>
          <w:w w:val="105"/>
          <w:sz w:val="16"/>
        </w:rPr>
        <w:t> Online</w:t>
      </w:r>
      <w:r>
        <w:rPr>
          <w:color w:val="231F20"/>
          <w:w w:val="105"/>
          <w:sz w:val="16"/>
        </w:rPr>
        <w:t> </w:t>
      </w:r>
      <w:r>
        <w:rPr>
          <w:color w:val="231F20"/>
          <w:w w:val="105"/>
          <w:sz w:val="16"/>
        </w:rPr>
        <w:t>Library (wileyonlinelibrary.com).</w:t>
      </w:r>
      <w:r>
        <w:rPr>
          <w:color w:val="231F20"/>
          <w:spacing w:val="40"/>
          <w:w w:val="105"/>
          <w:sz w:val="16"/>
        </w:rPr>
        <w:t> </w:t>
      </w:r>
      <w:r>
        <w:rPr>
          <w:color w:val="231F20"/>
          <w:w w:val="105"/>
          <w:sz w:val="16"/>
        </w:rPr>
        <w:t>DOI: 10.1002/mds.23332</w:t>
      </w:r>
    </w:p>
    <w:p>
      <w:pPr>
        <w:spacing w:line="240" w:lineRule="auto" w:before="183"/>
        <w:rPr>
          <w:sz w:val="18"/>
        </w:rPr>
      </w:pPr>
      <w:r>
        <w:rPr/>
        <w:br w:type="column"/>
      </w:r>
      <w:r>
        <w:rPr>
          <w:sz w:val="18"/>
        </w:rPr>
      </w:r>
    </w:p>
    <w:p>
      <w:pPr>
        <w:pStyle w:val="BodyText"/>
        <w:spacing w:line="230" w:lineRule="auto"/>
        <w:ind w:left="256" w:right="216"/>
        <w:jc w:val="both"/>
      </w:pPr>
      <w:r>
        <w:rPr>
          <w:color w:val="231F20"/>
        </w:rPr>
        <w:t>impairment. He lost 25 kg of weight because of chorea- induced difﬁculties with eating. On admission, he </w:t>
      </w:r>
      <w:r>
        <w:rPr>
          <w:color w:val="231F20"/>
        </w:rPr>
        <w:t>presented with severe dysarthria, generalized chorea, slowing of sacca- dic eye movements, severely unsteady gait and postural insta- bility. Cognitive deﬁcits comprised several domains including attention, memory, and executive functions.</w:t>
      </w:r>
    </w:p>
    <w:p>
      <w:pPr>
        <w:pStyle w:val="BodyText"/>
        <w:spacing w:line="230" w:lineRule="auto" w:before="3"/>
        <w:ind w:left="256" w:right="216" w:firstLine="199"/>
        <w:jc w:val="both"/>
      </w:pPr>
      <w:r>
        <w:rPr>
          <w:color w:val="231F20"/>
        </w:rPr>
        <w:t>Initially, the patient had been treated for chorea with per- phenazine and tiapride; because of increasingly </w:t>
      </w:r>
      <w:r>
        <w:rPr>
          <w:color w:val="231F20"/>
        </w:rPr>
        <w:t>aggressive behavior, risperidone was initiated and considered effective over 4 years. Sertraline was added to treat depressive symp- toms. Upon admission, the patient was treated with risperi- done (3 mg/d), sertraline (50 mg/d), and tiapride (700 mg/d). Trimipramine (50 mg) and melperone (50 mg) had been tried unsuccessfully to ameliorate insomnia. We considered a con- nection between risperidone and aggravated agitation and restlessness in terms of an extrapyramidal side effect. With- drawing risperidone, we added aripiprazole (10 mg) to tiapr- ide and melperone to treat the patient’s aggressive behavior because aripiprazole is known to reduce aggressive symptoms in other psychiatric disorders.</w:t>
      </w:r>
      <w:r>
        <w:rPr>
          <w:color w:val="231F20"/>
          <w:vertAlign w:val="superscript"/>
        </w:rPr>
        <w:t>6</w:t>
      </w:r>
      <w:r>
        <w:rPr>
          <w:color w:val="231F20"/>
          <w:vertAlign w:val="baseline"/>
        </w:rPr>
        <w:t> Within 2 days, the patient attracted attention because of apathy, muscular rigidity, and fever together with tachycardia and tachypnea. Peak creatine kinase</w:t>
      </w:r>
      <w:r>
        <w:rPr>
          <w:color w:val="231F20"/>
          <w:spacing w:val="17"/>
          <w:vertAlign w:val="baseline"/>
        </w:rPr>
        <w:t> </w:t>
      </w:r>
      <w:r>
        <w:rPr>
          <w:color w:val="231F20"/>
          <w:vertAlign w:val="baseline"/>
        </w:rPr>
        <w:t>levels</w:t>
      </w:r>
      <w:r>
        <w:rPr>
          <w:color w:val="231F20"/>
          <w:spacing w:val="17"/>
          <w:vertAlign w:val="baseline"/>
        </w:rPr>
        <w:t> </w:t>
      </w:r>
      <w:r>
        <w:rPr>
          <w:color w:val="231F20"/>
          <w:vertAlign w:val="baseline"/>
        </w:rPr>
        <w:t>were</w:t>
      </w:r>
      <w:r>
        <w:rPr>
          <w:color w:val="231F20"/>
          <w:spacing w:val="18"/>
          <w:vertAlign w:val="baseline"/>
        </w:rPr>
        <w:t> </w:t>
      </w:r>
      <w:r>
        <w:rPr>
          <w:color w:val="231F20"/>
          <w:vertAlign w:val="baseline"/>
        </w:rPr>
        <w:t>33980</w:t>
      </w:r>
      <w:r>
        <w:rPr>
          <w:color w:val="231F20"/>
          <w:spacing w:val="17"/>
          <w:vertAlign w:val="baseline"/>
        </w:rPr>
        <w:t> </w:t>
      </w:r>
      <w:r>
        <w:rPr>
          <w:color w:val="231F20"/>
          <w:vertAlign w:val="baseline"/>
        </w:rPr>
        <w:t>U/L,</w:t>
      </w:r>
      <w:r>
        <w:rPr>
          <w:color w:val="231F20"/>
          <w:spacing w:val="17"/>
          <w:vertAlign w:val="baseline"/>
        </w:rPr>
        <w:t> </w:t>
      </w:r>
      <w:r>
        <w:rPr>
          <w:color w:val="231F20"/>
          <w:vertAlign w:val="baseline"/>
        </w:rPr>
        <w:t>leucocytosis</w:t>
      </w:r>
      <w:r>
        <w:rPr>
          <w:color w:val="231F20"/>
          <w:spacing w:val="18"/>
          <w:vertAlign w:val="baseline"/>
        </w:rPr>
        <w:t> </w:t>
      </w:r>
      <w:r>
        <w:rPr>
          <w:color w:val="231F20"/>
          <w:vertAlign w:val="baseline"/>
        </w:rPr>
        <w:t>reached</w:t>
      </w:r>
      <w:r>
        <w:rPr>
          <w:color w:val="231F20"/>
          <w:spacing w:val="17"/>
          <w:vertAlign w:val="baseline"/>
        </w:rPr>
        <w:t> </w:t>
      </w:r>
      <w:r>
        <w:rPr>
          <w:color w:val="231F20"/>
          <w:vertAlign w:val="baseline"/>
        </w:rPr>
        <w:t>levels</w:t>
      </w:r>
      <w:r>
        <w:rPr>
          <w:color w:val="231F20"/>
          <w:spacing w:val="17"/>
          <w:vertAlign w:val="baseline"/>
        </w:rPr>
        <w:t> </w:t>
      </w:r>
      <w:r>
        <w:rPr>
          <w:color w:val="231F20"/>
          <w:spacing w:val="-5"/>
          <w:vertAlign w:val="baseline"/>
        </w:rPr>
        <w:t>of</w:t>
      </w:r>
    </w:p>
    <w:p>
      <w:pPr>
        <w:pStyle w:val="BodyText"/>
        <w:spacing w:line="230" w:lineRule="auto" w:before="10"/>
        <w:ind w:left="256" w:right="216"/>
        <w:jc w:val="both"/>
      </w:pPr>
      <w:r>
        <w:rPr>
          <w:color w:val="231F20"/>
        </w:rPr>
        <w:t>19.5 G/L. Upon immediate withdrawal of all </w:t>
      </w:r>
      <w:r>
        <w:rPr>
          <w:color w:val="231F20"/>
        </w:rPr>
        <w:t>dopamine antagonists (tiapride, melperone, aripiprazole), parenteral hydration</w:t>
      </w:r>
      <w:r>
        <w:rPr>
          <w:color w:val="231F20"/>
          <w:spacing w:val="40"/>
        </w:rPr>
        <w:t> </w:t>
      </w:r>
      <w:r>
        <w:rPr>
          <w:color w:val="231F20"/>
        </w:rPr>
        <w:t>and</w:t>
      </w:r>
      <w:r>
        <w:rPr>
          <w:color w:val="231F20"/>
          <w:spacing w:val="40"/>
        </w:rPr>
        <w:t> </w:t>
      </w:r>
      <w:r>
        <w:rPr>
          <w:color w:val="231F20"/>
        </w:rPr>
        <w:t>treatment</w:t>
      </w:r>
      <w:r>
        <w:rPr>
          <w:color w:val="231F20"/>
          <w:spacing w:val="40"/>
        </w:rPr>
        <w:t> </w:t>
      </w:r>
      <w:r>
        <w:rPr>
          <w:color w:val="231F20"/>
        </w:rPr>
        <w:t>with</w:t>
      </w:r>
      <w:r>
        <w:rPr>
          <w:color w:val="231F20"/>
          <w:spacing w:val="40"/>
        </w:rPr>
        <w:t> </w:t>
      </w:r>
      <w:r>
        <w:rPr>
          <w:color w:val="231F20"/>
        </w:rPr>
        <w:t>diuretics,</w:t>
      </w:r>
      <w:r>
        <w:rPr>
          <w:color w:val="231F20"/>
          <w:spacing w:val="40"/>
        </w:rPr>
        <w:t> </w:t>
      </w:r>
      <w:r>
        <w:rPr>
          <w:color w:val="231F20"/>
        </w:rPr>
        <w:t>clinical</w:t>
      </w:r>
      <w:r>
        <w:rPr>
          <w:color w:val="231F20"/>
          <w:spacing w:val="40"/>
        </w:rPr>
        <w:t> </w:t>
      </w:r>
      <w:r>
        <w:rPr>
          <w:color w:val="231F20"/>
        </w:rPr>
        <w:t>symptoms, and laboratory abnormalities resolved within 2 weeks.</w:t>
      </w:r>
      <w:r>
        <w:rPr>
          <w:color w:val="231F20"/>
          <w:spacing w:val="80"/>
        </w:rPr>
        <w:t> </w:t>
      </w:r>
      <w:r>
        <w:rPr>
          <w:color w:val="231F20"/>
        </w:rPr>
        <w:t>Because of recurrent symptoms of chorea, irritability, and disturbed sleep, we initiated tetrabenazine (up to 112.5 mg)</w:t>
      </w:r>
      <w:r>
        <w:rPr>
          <w:color w:val="231F20"/>
          <w:spacing w:val="40"/>
        </w:rPr>
        <w:t> </w:t>
      </w:r>
      <w:r>
        <w:rPr>
          <w:color w:val="231F20"/>
        </w:rPr>
        <w:t>and quetiapine (50 mg) together with sertraline (150 mg) and mirtazapine (45 mg), resulting in adequate symptom control without recurrence of NMS.</w:t>
      </w:r>
    </w:p>
    <w:p>
      <w:pPr>
        <w:pStyle w:val="BodyText"/>
        <w:spacing w:line="237" w:lineRule="auto"/>
        <w:ind w:left="256" w:right="216" w:firstLine="199"/>
        <w:jc w:val="both"/>
      </w:pPr>
      <w:r>
        <w:rPr>
          <w:color w:val="231F20"/>
        </w:rPr>
        <w:t>To the</w:t>
      </w:r>
      <w:r>
        <w:rPr>
          <w:color w:val="231F20"/>
          <w:spacing w:val="40"/>
        </w:rPr>
        <w:t> </w:t>
      </w:r>
      <w:r>
        <w:rPr>
          <w:color w:val="231F20"/>
        </w:rPr>
        <w:t>best of our knowledge,</w:t>
      </w:r>
      <w:r>
        <w:rPr>
          <w:color w:val="231F20"/>
          <w:spacing w:val="40"/>
        </w:rPr>
        <w:t> </w:t>
      </w:r>
      <w:r>
        <w:rPr>
          <w:color w:val="231F20"/>
        </w:rPr>
        <w:t>this is</w:t>
      </w:r>
      <w:r>
        <w:rPr>
          <w:color w:val="231F20"/>
          <w:spacing w:val="40"/>
        </w:rPr>
        <w:t> </w:t>
      </w:r>
      <w:r>
        <w:rPr>
          <w:color w:val="231F20"/>
        </w:rPr>
        <w:t>the</w:t>
      </w:r>
      <w:r>
        <w:rPr>
          <w:color w:val="231F20"/>
          <w:spacing w:val="40"/>
        </w:rPr>
        <w:t> </w:t>
      </w:r>
      <w:r>
        <w:rPr>
          <w:color w:val="231F20"/>
        </w:rPr>
        <w:t>ﬁrst report </w:t>
      </w:r>
      <w:r>
        <w:rPr>
          <w:color w:val="231F20"/>
        </w:rPr>
        <w:t>of NMS in HD with aripiprazole treatment. The application of conventional</w:t>
      </w:r>
      <w:r>
        <w:rPr>
          <w:color w:val="231F20"/>
        </w:rPr>
        <w:t> clinical doses of aripiprazole, such as in our</w:t>
      </w:r>
      <w:r>
        <w:rPr>
          <w:color w:val="231F20"/>
          <w:spacing w:val="80"/>
        </w:rPr>
        <w:t> </w:t>
      </w:r>
      <w:r>
        <w:rPr>
          <w:color w:val="231F20"/>
        </w:rPr>
        <w:t>case, leads to a nearly complete saturation of D2-like dopa- mine</w:t>
      </w:r>
      <w:r>
        <w:rPr>
          <w:color w:val="231F20"/>
          <w:spacing w:val="40"/>
        </w:rPr>
        <w:t> </w:t>
      </w:r>
      <w:r>
        <w:rPr>
          <w:color w:val="231F20"/>
        </w:rPr>
        <w:t>receptors.</w:t>
      </w:r>
      <w:r>
        <w:rPr>
          <w:color w:val="231F20"/>
          <w:vertAlign w:val="superscript"/>
        </w:rPr>
        <w:t>7</w:t>
      </w:r>
      <w:r>
        <w:rPr>
          <w:color w:val="231F20"/>
          <w:spacing w:val="40"/>
          <w:vertAlign w:val="baseline"/>
        </w:rPr>
        <w:t> </w:t>
      </w:r>
      <w:r>
        <w:rPr>
          <w:color w:val="231F20"/>
          <w:vertAlign w:val="baseline"/>
        </w:rPr>
        <w:t>High</w:t>
      </w:r>
      <w:r>
        <w:rPr>
          <w:color w:val="231F20"/>
          <w:spacing w:val="40"/>
          <w:vertAlign w:val="baseline"/>
        </w:rPr>
        <w:t> </w:t>
      </w:r>
      <w:r>
        <w:rPr>
          <w:color w:val="231F20"/>
          <w:vertAlign w:val="baseline"/>
        </w:rPr>
        <w:t>dopamine</w:t>
      </w:r>
      <w:r>
        <w:rPr>
          <w:color w:val="231F20"/>
          <w:spacing w:val="40"/>
          <w:vertAlign w:val="baseline"/>
        </w:rPr>
        <w:t> </w:t>
      </w:r>
      <w:r>
        <w:rPr>
          <w:color w:val="231F20"/>
          <w:vertAlign w:val="baseline"/>
        </w:rPr>
        <w:t>D2</w:t>
      </w:r>
      <w:r>
        <w:rPr>
          <w:color w:val="231F20"/>
          <w:spacing w:val="40"/>
          <w:vertAlign w:val="baseline"/>
        </w:rPr>
        <w:t> </w:t>
      </w:r>
      <w:r>
        <w:rPr>
          <w:color w:val="231F20"/>
          <w:vertAlign w:val="baseline"/>
        </w:rPr>
        <w:t>receptor</w:t>
      </w:r>
      <w:r>
        <w:rPr>
          <w:color w:val="231F20"/>
          <w:spacing w:val="40"/>
          <w:vertAlign w:val="baseline"/>
        </w:rPr>
        <w:t> </w:t>
      </w:r>
      <w:r>
        <w:rPr>
          <w:color w:val="231F20"/>
          <w:vertAlign w:val="baseline"/>
        </w:rPr>
        <w:t>afﬁnity</w:t>
      </w:r>
      <w:r>
        <w:rPr>
          <w:color w:val="231F20"/>
          <w:spacing w:val="40"/>
          <w:vertAlign w:val="baseline"/>
        </w:rPr>
        <w:t> </w:t>
      </w:r>
      <w:r>
        <w:rPr>
          <w:color w:val="231F20"/>
          <w:vertAlign w:val="baseline"/>
        </w:rPr>
        <w:t>has been suggested as one of the bases of NMS, particularly of</w:t>
      </w:r>
      <w:r>
        <w:rPr>
          <w:color w:val="231F20"/>
          <w:spacing w:val="40"/>
          <w:vertAlign w:val="baseline"/>
        </w:rPr>
        <w:t> </w:t>
      </w:r>
      <w:r>
        <w:rPr>
          <w:color w:val="231F20"/>
          <w:vertAlign w:val="baseline"/>
        </w:rPr>
        <w:t>note</w:t>
      </w:r>
      <w:r>
        <w:rPr>
          <w:color w:val="231F20"/>
          <w:vertAlign w:val="baseline"/>
        </w:rPr>
        <w:t> when adding aripiprazole to other dopamine-receptor antagonists</w:t>
      </w:r>
      <w:r>
        <w:rPr>
          <w:color w:val="231F20"/>
          <w:vertAlign w:val="superscript"/>
        </w:rPr>
        <w:t>3</w:t>
      </w:r>
      <w:r>
        <w:rPr>
          <w:color w:val="231F20"/>
          <w:vertAlign w:val="baseline"/>
        </w:rPr>
        <w:t> as in our case. Blocking striatal and hypothala- mic dopamine transmission may have contributed to muscu-</w:t>
      </w:r>
      <w:r>
        <w:rPr>
          <w:color w:val="231F20"/>
          <w:spacing w:val="40"/>
          <w:vertAlign w:val="baseline"/>
        </w:rPr>
        <w:t> </w:t>
      </w:r>
      <w:r>
        <w:rPr>
          <w:color w:val="231F20"/>
          <w:vertAlign w:val="baseline"/>
        </w:rPr>
        <w:t>lar rigidity and dysfunctional thermoregulation.</w:t>
      </w:r>
      <w:r>
        <w:rPr>
          <w:color w:val="231F20"/>
          <w:vertAlign w:val="superscript"/>
        </w:rPr>
        <w:t>7</w:t>
      </w:r>
      <w:r>
        <w:rPr>
          <w:color w:val="231F20"/>
          <w:vertAlign w:val="baseline"/>
        </w:rPr>
        <w:t> Although a polypharmacologic</w:t>
      </w:r>
      <w:r>
        <w:rPr>
          <w:color w:val="231F20"/>
          <w:spacing w:val="40"/>
          <w:vertAlign w:val="baseline"/>
        </w:rPr>
        <w:t> </w:t>
      </w:r>
      <w:r>
        <w:rPr>
          <w:color w:val="231F20"/>
          <w:vertAlign w:val="baseline"/>
        </w:rPr>
        <w:t>cause</w:t>
      </w:r>
      <w:r>
        <w:rPr>
          <w:color w:val="231F20"/>
          <w:spacing w:val="40"/>
          <w:vertAlign w:val="baseline"/>
        </w:rPr>
        <w:t> </w:t>
      </w:r>
      <w:r>
        <w:rPr>
          <w:color w:val="231F20"/>
          <w:vertAlign w:val="baseline"/>
        </w:rPr>
        <w:t>of</w:t>
      </w:r>
      <w:r>
        <w:rPr>
          <w:color w:val="231F20"/>
          <w:spacing w:val="40"/>
          <w:vertAlign w:val="baseline"/>
        </w:rPr>
        <w:t> </w:t>
      </w:r>
      <w:r>
        <w:rPr>
          <w:color w:val="231F20"/>
          <w:vertAlign w:val="baseline"/>
        </w:rPr>
        <w:t>NMS</w:t>
      </w:r>
      <w:r>
        <w:rPr>
          <w:color w:val="231F20"/>
          <w:spacing w:val="40"/>
          <w:vertAlign w:val="baseline"/>
        </w:rPr>
        <w:t> </w:t>
      </w:r>
      <w:r>
        <w:rPr>
          <w:color w:val="231F20"/>
          <w:vertAlign w:val="baseline"/>
        </w:rPr>
        <w:t>has</w:t>
      </w:r>
      <w:r>
        <w:rPr>
          <w:color w:val="231F20"/>
          <w:spacing w:val="40"/>
          <w:vertAlign w:val="baseline"/>
        </w:rPr>
        <w:t> </w:t>
      </w:r>
      <w:r>
        <w:rPr>
          <w:color w:val="231F20"/>
          <w:vertAlign w:val="baseline"/>
        </w:rPr>
        <w:t>to</w:t>
      </w:r>
      <w:r>
        <w:rPr>
          <w:color w:val="231F20"/>
          <w:spacing w:val="40"/>
          <w:vertAlign w:val="baseline"/>
        </w:rPr>
        <w:t> </w:t>
      </w:r>
      <w:r>
        <w:rPr>
          <w:color w:val="231F20"/>
          <w:vertAlign w:val="baseline"/>
        </w:rPr>
        <w:t>be</w:t>
      </w:r>
      <w:r>
        <w:rPr>
          <w:color w:val="231F20"/>
          <w:spacing w:val="40"/>
          <w:vertAlign w:val="baseline"/>
        </w:rPr>
        <w:t> </w:t>
      </w:r>
      <w:r>
        <w:rPr>
          <w:color w:val="231F20"/>
          <w:vertAlign w:val="baseline"/>
        </w:rPr>
        <w:t>considered</w:t>
      </w:r>
      <w:r>
        <w:rPr>
          <w:color w:val="231F20"/>
          <w:spacing w:val="40"/>
          <w:vertAlign w:val="baseline"/>
        </w:rPr>
        <w:t> </w:t>
      </w:r>
      <w:r>
        <w:rPr>
          <w:color w:val="231F20"/>
          <w:vertAlign w:val="baseline"/>
        </w:rPr>
        <w:t>in our patient, the proportionally low afﬁnity of tiapride and melperone</w:t>
      </w:r>
      <w:r>
        <w:rPr>
          <w:color w:val="231F20"/>
          <w:vertAlign w:val="baseline"/>
        </w:rPr>
        <w:t> to D2-like dopamine receptors suggests that aripi- prazole may have been the main culprit. In conclusion, when using</w:t>
      </w:r>
      <w:r>
        <w:rPr>
          <w:color w:val="231F20"/>
          <w:spacing w:val="29"/>
          <w:vertAlign w:val="baseline"/>
        </w:rPr>
        <w:t> </w:t>
      </w:r>
      <w:r>
        <w:rPr>
          <w:color w:val="231F20"/>
          <w:vertAlign w:val="baseline"/>
        </w:rPr>
        <w:t>aripiprazole</w:t>
      </w:r>
      <w:r>
        <w:rPr>
          <w:color w:val="231F20"/>
          <w:spacing w:val="30"/>
          <w:vertAlign w:val="baseline"/>
        </w:rPr>
        <w:t> </w:t>
      </w:r>
      <w:r>
        <w:rPr>
          <w:color w:val="231F20"/>
          <w:vertAlign w:val="baseline"/>
        </w:rPr>
        <w:t>in</w:t>
      </w:r>
      <w:r>
        <w:rPr>
          <w:color w:val="231F20"/>
          <w:spacing w:val="29"/>
          <w:vertAlign w:val="baseline"/>
        </w:rPr>
        <w:t> </w:t>
      </w:r>
      <w:r>
        <w:rPr>
          <w:color w:val="231F20"/>
          <w:vertAlign w:val="baseline"/>
        </w:rPr>
        <w:t>HD</w:t>
      </w:r>
      <w:r>
        <w:rPr>
          <w:color w:val="231F20"/>
          <w:spacing w:val="30"/>
          <w:vertAlign w:val="baseline"/>
        </w:rPr>
        <w:t> </w:t>
      </w:r>
      <w:r>
        <w:rPr>
          <w:color w:val="231F20"/>
          <w:vertAlign w:val="baseline"/>
        </w:rPr>
        <w:t>one</w:t>
      </w:r>
      <w:r>
        <w:rPr>
          <w:color w:val="231F20"/>
          <w:spacing w:val="30"/>
          <w:vertAlign w:val="baseline"/>
        </w:rPr>
        <w:t> </w:t>
      </w:r>
      <w:r>
        <w:rPr>
          <w:color w:val="231F20"/>
          <w:vertAlign w:val="baseline"/>
        </w:rPr>
        <w:t>needs</w:t>
      </w:r>
      <w:r>
        <w:rPr>
          <w:color w:val="231F20"/>
          <w:spacing w:val="29"/>
          <w:vertAlign w:val="baseline"/>
        </w:rPr>
        <w:t> </w:t>
      </w:r>
      <w:r>
        <w:rPr>
          <w:color w:val="231F20"/>
          <w:vertAlign w:val="baseline"/>
        </w:rPr>
        <w:t>to</w:t>
      </w:r>
      <w:r>
        <w:rPr>
          <w:color w:val="231F20"/>
          <w:spacing w:val="30"/>
          <w:vertAlign w:val="baseline"/>
        </w:rPr>
        <w:t> </w:t>
      </w:r>
      <w:r>
        <w:rPr>
          <w:color w:val="231F20"/>
          <w:vertAlign w:val="baseline"/>
        </w:rPr>
        <w:t>be</w:t>
      </w:r>
      <w:r>
        <w:rPr>
          <w:color w:val="231F20"/>
          <w:spacing w:val="29"/>
          <w:vertAlign w:val="baseline"/>
        </w:rPr>
        <w:t> </w:t>
      </w:r>
      <w:r>
        <w:rPr>
          <w:color w:val="231F20"/>
          <w:vertAlign w:val="baseline"/>
        </w:rPr>
        <w:t>aware</w:t>
      </w:r>
      <w:r>
        <w:rPr>
          <w:color w:val="231F20"/>
          <w:spacing w:val="30"/>
          <w:vertAlign w:val="baseline"/>
        </w:rPr>
        <w:t> </w:t>
      </w:r>
      <w:r>
        <w:rPr>
          <w:color w:val="231F20"/>
          <w:vertAlign w:val="baseline"/>
        </w:rPr>
        <w:t>of</w:t>
      </w:r>
      <w:r>
        <w:rPr>
          <w:color w:val="231F20"/>
          <w:spacing w:val="30"/>
          <w:vertAlign w:val="baseline"/>
        </w:rPr>
        <w:t> </w:t>
      </w:r>
      <w:r>
        <w:rPr>
          <w:color w:val="231F20"/>
          <w:vertAlign w:val="baseline"/>
        </w:rPr>
        <w:t>the</w:t>
      </w:r>
      <w:r>
        <w:rPr>
          <w:color w:val="231F20"/>
          <w:spacing w:val="30"/>
          <w:vertAlign w:val="baseline"/>
        </w:rPr>
        <w:t> </w:t>
      </w:r>
      <w:r>
        <w:rPr>
          <w:color w:val="231F20"/>
          <w:vertAlign w:val="baseline"/>
        </w:rPr>
        <w:t>risk for NMS, in particular, if patients take other dopamine-recep- tor antagonists.</w:t>
      </w:r>
    </w:p>
    <w:p>
      <w:pPr>
        <w:pStyle w:val="BodyText"/>
        <w:spacing w:line="230" w:lineRule="auto" w:before="105"/>
        <w:ind w:left="256" w:right="217" w:firstLine="199"/>
        <w:jc w:val="both"/>
      </w:pPr>
      <w:r>
        <w:rPr>
          <w:color w:val="231F20"/>
        </w:rPr>
        <w:t>Author Roles: B. Abler was involved in clinical </w:t>
      </w:r>
      <w:r>
        <w:rPr>
          <w:color w:val="231F20"/>
        </w:rPr>
        <w:t>manage- ment of the patient, including diagnostics and treatment, and review and critique of the manuscript. M. Gahr was involved</w:t>
      </w:r>
      <w:r>
        <w:rPr>
          <w:color w:val="231F20"/>
          <w:spacing w:val="40"/>
        </w:rPr>
        <w:t> </w:t>
      </w:r>
      <w:r>
        <w:rPr>
          <w:color w:val="231F20"/>
        </w:rPr>
        <w:t>in writing of the ﬁrst draft of the manuscript. M. Orth was involved in review and critique of the manuscript.</w:t>
      </w:r>
    </w:p>
    <w:p>
      <w:pPr>
        <w:pStyle w:val="BodyText"/>
        <w:spacing w:before="29"/>
      </w:pPr>
    </w:p>
    <w:p>
      <w:pPr>
        <w:pStyle w:val="BodyText"/>
        <w:spacing w:line="203" w:lineRule="exact"/>
        <w:ind w:right="217"/>
        <w:jc w:val="right"/>
      </w:pPr>
      <w:r>
        <w:rPr>
          <w:color w:val="231F20"/>
        </w:rPr>
        <w:t>Maximilian</w:t>
      </w:r>
      <w:r>
        <w:rPr>
          <w:color w:val="231F20"/>
          <w:spacing w:val="12"/>
        </w:rPr>
        <w:t> </w:t>
      </w:r>
      <w:r>
        <w:rPr>
          <w:color w:val="231F20"/>
        </w:rPr>
        <w:t>Gahr,</w:t>
      </w:r>
      <w:r>
        <w:rPr>
          <w:color w:val="231F20"/>
          <w:spacing w:val="12"/>
        </w:rPr>
        <w:t> </w:t>
      </w:r>
      <w:r>
        <w:rPr>
          <w:color w:val="231F20"/>
          <w:spacing w:val="-4"/>
        </w:rPr>
        <w:t>PhD*</w:t>
      </w:r>
    </w:p>
    <w:p>
      <w:pPr>
        <w:spacing w:line="199" w:lineRule="exact" w:before="0"/>
        <w:ind w:left="0" w:right="217" w:firstLine="0"/>
        <w:jc w:val="right"/>
        <w:rPr>
          <w:i/>
          <w:sz w:val="18"/>
        </w:rPr>
      </w:pPr>
      <w:r>
        <w:rPr>
          <w:i/>
          <w:color w:val="231F20"/>
          <w:sz w:val="18"/>
        </w:rPr>
        <w:t>Department</w:t>
      </w:r>
      <w:r>
        <w:rPr>
          <w:i/>
          <w:color w:val="231F20"/>
          <w:spacing w:val="9"/>
          <w:sz w:val="18"/>
        </w:rPr>
        <w:t> </w:t>
      </w:r>
      <w:r>
        <w:rPr>
          <w:i/>
          <w:color w:val="231F20"/>
          <w:sz w:val="18"/>
        </w:rPr>
        <w:t>of</w:t>
      </w:r>
      <w:r>
        <w:rPr>
          <w:i/>
          <w:color w:val="231F20"/>
          <w:spacing w:val="11"/>
          <w:sz w:val="18"/>
        </w:rPr>
        <w:t> </w:t>
      </w:r>
      <w:r>
        <w:rPr>
          <w:i/>
          <w:color w:val="231F20"/>
          <w:spacing w:val="-2"/>
          <w:sz w:val="18"/>
        </w:rPr>
        <w:t>Psychiatry</w:t>
      </w:r>
    </w:p>
    <w:p>
      <w:pPr>
        <w:spacing w:line="230" w:lineRule="auto" w:before="2"/>
        <w:ind w:left="3185" w:right="216" w:firstLine="317"/>
        <w:jc w:val="right"/>
        <w:rPr>
          <w:i/>
          <w:sz w:val="18"/>
        </w:rPr>
      </w:pPr>
      <w:r>
        <w:rPr>
          <w:i/>
          <w:color w:val="231F20"/>
          <w:sz w:val="18"/>
        </w:rPr>
        <w:t>University</w:t>
      </w:r>
      <w:r>
        <w:rPr>
          <w:i/>
          <w:color w:val="231F20"/>
          <w:spacing w:val="-5"/>
          <w:sz w:val="18"/>
        </w:rPr>
        <w:t> </w:t>
      </w:r>
      <w:r>
        <w:rPr>
          <w:i/>
          <w:color w:val="231F20"/>
          <w:sz w:val="18"/>
        </w:rPr>
        <w:t>of</w:t>
      </w:r>
      <w:r>
        <w:rPr>
          <w:i/>
          <w:color w:val="231F20"/>
          <w:spacing w:val="-5"/>
          <w:sz w:val="18"/>
        </w:rPr>
        <w:t> </w:t>
      </w:r>
      <w:r>
        <w:rPr>
          <w:i/>
          <w:color w:val="231F20"/>
          <w:sz w:val="18"/>
        </w:rPr>
        <w:t>Ulm Leimgrubenweg</w:t>
      </w:r>
      <w:r>
        <w:rPr>
          <w:i/>
          <w:color w:val="231F20"/>
          <w:spacing w:val="1"/>
          <w:sz w:val="18"/>
        </w:rPr>
        <w:t> </w:t>
      </w:r>
      <w:r>
        <w:rPr>
          <w:i/>
          <w:color w:val="231F20"/>
          <w:sz w:val="18"/>
        </w:rPr>
        <w:t>12-</w:t>
      </w:r>
      <w:r>
        <w:rPr>
          <w:i/>
          <w:color w:val="231F20"/>
          <w:spacing w:val="-5"/>
          <w:sz w:val="18"/>
        </w:rPr>
        <w:t>14</w:t>
      </w:r>
    </w:p>
    <w:p>
      <w:pPr>
        <w:spacing w:line="198" w:lineRule="exact" w:before="0"/>
        <w:ind w:left="0" w:right="217" w:firstLine="0"/>
        <w:jc w:val="right"/>
        <w:rPr>
          <w:i/>
          <w:sz w:val="18"/>
        </w:rPr>
      </w:pPr>
      <w:r>
        <w:rPr>
          <w:i/>
          <w:color w:val="231F20"/>
          <w:sz w:val="18"/>
        </w:rPr>
        <w:t>Ulm</w:t>
      </w:r>
      <w:r>
        <w:rPr>
          <w:i/>
          <w:color w:val="231F20"/>
          <w:spacing w:val="10"/>
          <w:sz w:val="18"/>
        </w:rPr>
        <w:t> </w:t>
      </w:r>
      <w:r>
        <w:rPr>
          <w:i/>
          <w:color w:val="231F20"/>
          <w:sz w:val="18"/>
        </w:rPr>
        <w:t>89075,</w:t>
      </w:r>
      <w:r>
        <w:rPr>
          <w:i/>
          <w:color w:val="231F20"/>
          <w:spacing w:val="10"/>
          <w:sz w:val="18"/>
        </w:rPr>
        <w:t> </w:t>
      </w:r>
      <w:r>
        <w:rPr>
          <w:i/>
          <w:color w:val="231F20"/>
          <w:spacing w:val="-2"/>
          <w:sz w:val="18"/>
        </w:rPr>
        <w:t>Germany</w:t>
      </w:r>
    </w:p>
    <w:p>
      <w:pPr>
        <w:spacing w:line="203" w:lineRule="exact" w:before="0"/>
        <w:ind w:left="0" w:right="217" w:firstLine="0"/>
        <w:jc w:val="right"/>
        <w:rPr>
          <w:i/>
          <w:sz w:val="18"/>
        </w:rPr>
      </w:pPr>
      <w:r>
        <w:rPr>
          <w:i/>
          <w:color w:val="231F20"/>
          <w:spacing w:val="-2"/>
          <w:sz w:val="18"/>
        </w:rPr>
        <w:t>*E-mail:</w:t>
      </w:r>
      <w:r>
        <w:rPr>
          <w:i/>
          <w:color w:val="231F20"/>
          <w:spacing w:val="48"/>
          <w:sz w:val="18"/>
        </w:rPr>
        <w:t> </w:t>
      </w:r>
      <w:hyperlink r:id="rId20">
        <w:r>
          <w:rPr>
            <w:i/>
            <w:color w:val="231F20"/>
            <w:spacing w:val="-2"/>
            <w:sz w:val="18"/>
          </w:rPr>
          <w:t>maximilian.gahr@uni-ulm.de</w:t>
        </w:r>
      </w:hyperlink>
    </w:p>
    <w:p>
      <w:pPr>
        <w:spacing w:after="0" w:line="203" w:lineRule="exact"/>
        <w:jc w:val="right"/>
        <w:rPr>
          <w:i/>
          <w:sz w:val="18"/>
        </w:rPr>
        <w:sectPr>
          <w:type w:val="continuous"/>
          <w:pgSz w:w="12240" w:h="16200"/>
          <w:pgMar w:top="1060" w:bottom="280" w:left="1080" w:right="1080"/>
          <w:cols w:num="2" w:equalWidth="0">
            <w:col w:w="4863" w:space="178"/>
            <w:col w:w="5039"/>
          </w:cols>
        </w:sectPr>
      </w:pPr>
    </w:p>
    <w:p>
      <w:pPr>
        <w:pStyle w:val="BodyText"/>
        <w:rPr>
          <w:i/>
          <w:sz w:val="14"/>
        </w:rPr>
      </w:pPr>
      <w:r>
        <w:rPr>
          <w:i/>
          <w:sz w:val="14"/>
        </w:rPr>
        <mc:AlternateContent>
          <mc:Choice Requires="wps">
            <w:drawing>
              <wp:anchor distT="0" distB="0" distL="0" distR="0" allowOverlap="1" layoutInCell="1" locked="0" behindDoc="0" simplePos="0" relativeHeight="15741952">
                <wp:simplePos x="0" y="0"/>
                <wp:positionH relativeFrom="page">
                  <wp:posOffset>7555927</wp:posOffset>
                </wp:positionH>
                <wp:positionV relativeFrom="page">
                  <wp:posOffset>208819</wp:posOffset>
                </wp:positionV>
                <wp:extent cx="95885" cy="987552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95885" cy="9875520"/>
                        </a:xfrm>
                        <a:prstGeom prst="rect">
                          <a:avLst/>
                        </a:prstGeom>
                      </wps:spPr>
                      <wps:txbx>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wps:txbx>
                      <wps:bodyPr wrap="square" lIns="0" tIns="0" rIns="0" bIns="0" rtlCol="0" vert="vert">
                        <a:noAutofit/>
                      </wps:bodyPr>
                    </wps:wsp>
                  </a:graphicData>
                </a:graphic>
              </wp:anchor>
            </w:drawing>
          </mc:Choice>
          <mc:Fallback>
            <w:pict>
              <v:shape style="position:absolute;margin-left:594.954956pt;margin-top:16.442499pt;width:7.55pt;height:777.6pt;mso-position-horizontal-relative:page;mso-position-vertical-relative:page;z-index:15741952" type="#_x0000_t202" id="docshape23" filled="false" stroked="false">
                <v:textbox inset="0,0,0,0" style="layout-flow:vertical">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v:textbox>
                <w10:wrap type="none"/>
              </v:shape>
            </w:pict>
          </mc:Fallback>
        </mc:AlternateContent>
      </w:r>
    </w:p>
    <w:p>
      <w:pPr>
        <w:pStyle w:val="BodyText"/>
        <w:rPr>
          <w:i/>
          <w:sz w:val="14"/>
        </w:rPr>
      </w:pPr>
    </w:p>
    <w:p>
      <w:pPr>
        <w:pStyle w:val="BodyText"/>
        <w:rPr>
          <w:i/>
          <w:sz w:val="14"/>
        </w:rPr>
      </w:pPr>
    </w:p>
    <w:p>
      <w:pPr>
        <w:pStyle w:val="BodyText"/>
        <w:spacing w:before="39"/>
        <w:rPr>
          <w:i/>
          <w:sz w:val="14"/>
        </w:rPr>
      </w:pPr>
    </w:p>
    <w:p>
      <w:pPr>
        <w:spacing w:before="0"/>
        <w:ind w:left="0" w:right="217" w:firstLine="0"/>
        <w:jc w:val="right"/>
        <w:rPr>
          <w:i/>
          <w:sz w:val="14"/>
        </w:rPr>
      </w:pPr>
      <w:r>
        <w:rPr>
          <w:i/>
          <w:color w:val="231F20"/>
          <w:sz w:val="14"/>
        </w:rPr>
        <w:t>Movement</w:t>
      </w:r>
      <w:r>
        <w:rPr>
          <w:i/>
          <w:color w:val="231F20"/>
          <w:spacing w:val="9"/>
          <w:sz w:val="14"/>
        </w:rPr>
        <w:t> </w:t>
      </w:r>
      <w:r>
        <w:rPr>
          <w:i/>
          <w:color w:val="231F20"/>
          <w:sz w:val="14"/>
        </w:rPr>
        <w:t>Disorders,</w:t>
      </w:r>
      <w:r>
        <w:rPr>
          <w:i/>
          <w:color w:val="231F20"/>
          <w:spacing w:val="9"/>
          <w:sz w:val="14"/>
        </w:rPr>
        <w:t> </w:t>
      </w:r>
      <w:r>
        <w:rPr>
          <w:i/>
          <w:color w:val="231F20"/>
          <w:sz w:val="14"/>
        </w:rPr>
        <w:t>Vol.</w:t>
      </w:r>
      <w:r>
        <w:rPr>
          <w:i/>
          <w:color w:val="231F20"/>
          <w:spacing w:val="8"/>
          <w:sz w:val="14"/>
        </w:rPr>
        <w:t> </w:t>
      </w:r>
      <w:r>
        <w:rPr>
          <w:i/>
          <w:color w:val="231F20"/>
          <w:sz w:val="14"/>
        </w:rPr>
        <w:t>25,</w:t>
      </w:r>
      <w:r>
        <w:rPr>
          <w:i/>
          <w:color w:val="231F20"/>
          <w:spacing w:val="9"/>
          <w:sz w:val="14"/>
        </w:rPr>
        <w:t> </w:t>
      </w:r>
      <w:r>
        <w:rPr>
          <w:i/>
          <w:color w:val="231F20"/>
          <w:sz w:val="14"/>
        </w:rPr>
        <w:t>No.</w:t>
      </w:r>
      <w:r>
        <w:rPr>
          <w:i/>
          <w:color w:val="231F20"/>
          <w:spacing w:val="9"/>
          <w:sz w:val="14"/>
        </w:rPr>
        <w:t> </w:t>
      </w:r>
      <w:r>
        <w:rPr>
          <w:i/>
          <w:color w:val="231F20"/>
          <w:sz w:val="14"/>
        </w:rPr>
        <w:t>14,</w:t>
      </w:r>
      <w:r>
        <w:rPr>
          <w:i/>
          <w:color w:val="231F20"/>
          <w:spacing w:val="8"/>
          <w:sz w:val="14"/>
        </w:rPr>
        <w:t> </w:t>
      </w:r>
      <w:r>
        <w:rPr>
          <w:i/>
          <w:color w:val="231F20"/>
          <w:spacing w:val="-4"/>
          <w:sz w:val="14"/>
        </w:rPr>
        <w:t>2010</w:t>
      </w:r>
    </w:p>
    <w:p>
      <w:pPr>
        <w:spacing w:after="0"/>
        <w:jc w:val="right"/>
        <w:rPr>
          <w:i/>
          <w:sz w:val="14"/>
        </w:rPr>
        <w:sectPr>
          <w:type w:val="continuous"/>
          <w:pgSz w:w="12240" w:h="16200"/>
          <w:pgMar w:top="1060" w:bottom="280" w:left="1080" w:right="1080"/>
        </w:sectPr>
      </w:pPr>
    </w:p>
    <w:p>
      <w:pPr>
        <w:pStyle w:val="Heading3"/>
        <w:tabs>
          <w:tab w:pos="3890" w:val="left" w:leader="none"/>
        </w:tabs>
        <w:ind w:left="256"/>
      </w:pPr>
      <w:r>
        <w:rPr>
          <w:color w:val="231F20"/>
          <w:spacing w:val="-4"/>
        </w:rPr>
        <w:t>2476</w:t>
      </w:r>
      <w:r>
        <w:rPr>
          <w:color w:val="231F20"/>
        </w:rPr>
        <w:tab/>
        <w:t>LETTERS</w:t>
      </w:r>
      <w:r>
        <w:rPr>
          <w:color w:val="231F20"/>
          <w:spacing w:val="12"/>
        </w:rPr>
        <w:t> </w:t>
      </w:r>
      <w:r>
        <w:rPr>
          <w:color w:val="231F20"/>
        </w:rPr>
        <w:t>TO</w:t>
      </w:r>
      <w:r>
        <w:rPr>
          <w:color w:val="231F20"/>
          <w:spacing w:val="10"/>
        </w:rPr>
        <w:t> </w:t>
      </w:r>
      <w:r>
        <w:rPr>
          <w:color w:val="231F20"/>
        </w:rPr>
        <w:t>THE</w:t>
      </w:r>
      <w:r>
        <w:rPr>
          <w:color w:val="231F20"/>
          <w:spacing w:val="11"/>
        </w:rPr>
        <w:t> </w:t>
      </w:r>
      <w:r>
        <w:rPr>
          <w:color w:val="231F20"/>
          <w:spacing w:val="-2"/>
        </w:rPr>
        <w:t>EDITOR</w:t>
      </w:r>
    </w:p>
    <w:p>
      <w:pPr>
        <w:pStyle w:val="BodyText"/>
        <w:spacing w:before="82"/>
        <w:rPr>
          <w:i/>
          <w:sz w:val="20"/>
        </w:rPr>
      </w:pPr>
    </w:p>
    <w:p>
      <w:pPr>
        <w:pStyle w:val="BodyText"/>
        <w:spacing w:after="0"/>
        <w:rPr>
          <w:i/>
          <w:sz w:val="20"/>
        </w:rPr>
        <w:sectPr>
          <w:pgSz w:w="12240" w:h="16200"/>
          <w:pgMar w:top="1040" w:bottom="280" w:left="1080" w:right="1080"/>
        </w:sectPr>
      </w:pPr>
    </w:p>
    <w:p>
      <w:pPr>
        <w:spacing w:line="230" w:lineRule="auto" w:before="78"/>
        <w:ind w:left="2945" w:right="41" w:firstLine="473"/>
        <w:jc w:val="right"/>
        <w:rPr>
          <w:i/>
          <w:sz w:val="18"/>
        </w:rPr>
      </w:pPr>
      <w:r>
        <w:rPr>
          <w:color w:val="231F20"/>
          <w:sz w:val="18"/>
        </w:rPr>
        <w:t>Michael</w:t>
      </w:r>
      <w:r>
        <w:rPr>
          <w:color w:val="231F20"/>
          <w:spacing w:val="-5"/>
          <w:sz w:val="18"/>
        </w:rPr>
        <w:t> </w:t>
      </w:r>
      <w:r>
        <w:rPr>
          <w:color w:val="231F20"/>
          <w:sz w:val="18"/>
        </w:rPr>
        <w:t>Orth,</w:t>
      </w:r>
      <w:r>
        <w:rPr>
          <w:color w:val="231F20"/>
          <w:spacing w:val="-6"/>
          <w:sz w:val="18"/>
        </w:rPr>
        <w:t> </w:t>
      </w:r>
      <w:r>
        <w:rPr>
          <w:color w:val="231F20"/>
          <w:sz w:val="18"/>
        </w:rPr>
        <w:t>PhD </w:t>
      </w:r>
      <w:r>
        <w:rPr>
          <w:i/>
          <w:color w:val="231F20"/>
          <w:sz w:val="18"/>
        </w:rPr>
        <w:t>Department</w:t>
      </w:r>
      <w:r>
        <w:rPr>
          <w:i/>
          <w:color w:val="231F20"/>
          <w:spacing w:val="-7"/>
          <w:sz w:val="18"/>
        </w:rPr>
        <w:t> </w:t>
      </w:r>
      <w:r>
        <w:rPr>
          <w:i/>
          <w:color w:val="231F20"/>
          <w:sz w:val="18"/>
        </w:rPr>
        <w:t>of</w:t>
      </w:r>
      <w:r>
        <w:rPr>
          <w:i/>
          <w:color w:val="231F20"/>
          <w:spacing w:val="-6"/>
          <w:sz w:val="18"/>
        </w:rPr>
        <w:t> </w:t>
      </w:r>
      <w:r>
        <w:rPr>
          <w:i/>
          <w:color w:val="231F20"/>
          <w:sz w:val="18"/>
        </w:rPr>
        <w:t>Neurology University of Ulm Leimgrubenweg 12-14</w:t>
      </w:r>
    </w:p>
    <w:p>
      <w:pPr>
        <w:spacing w:line="203" w:lineRule="exact" w:before="0"/>
        <w:ind w:left="0" w:right="42" w:firstLine="0"/>
        <w:jc w:val="right"/>
        <w:rPr>
          <w:i/>
          <w:sz w:val="18"/>
        </w:rPr>
      </w:pPr>
      <w:r>
        <w:rPr>
          <w:i/>
          <w:color w:val="231F20"/>
          <w:sz w:val="18"/>
        </w:rPr>
        <w:t>Ulm</w:t>
      </w:r>
      <w:r>
        <w:rPr>
          <w:i/>
          <w:color w:val="231F20"/>
          <w:spacing w:val="10"/>
          <w:sz w:val="18"/>
        </w:rPr>
        <w:t> </w:t>
      </w:r>
      <w:r>
        <w:rPr>
          <w:i/>
          <w:color w:val="231F20"/>
          <w:sz w:val="18"/>
        </w:rPr>
        <w:t>89075,</w:t>
      </w:r>
      <w:r>
        <w:rPr>
          <w:i/>
          <w:color w:val="231F20"/>
          <w:spacing w:val="10"/>
          <w:sz w:val="18"/>
        </w:rPr>
        <w:t> </w:t>
      </w:r>
      <w:r>
        <w:rPr>
          <w:i/>
          <w:color w:val="231F20"/>
          <w:spacing w:val="-2"/>
          <w:sz w:val="18"/>
        </w:rPr>
        <w:t>Germany</w:t>
      </w:r>
    </w:p>
    <w:p>
      <w:pPr>
        <w:pStyle w:val="BodyText"/>
        <w:spacing w:line="203" w:lineRule="exact" w:before="191"/>
        <w:ind w:right="42"/>
        <w:jc w:val="right"/>
      </w:pPr>
      <w:r>
        <w:rPr>
          <w:color w:val="231F20"/>
        </w:rPr>
        <w:t>Birgit</w:t>
      </w:r>
      <w:r>
        <w:rPr>
          <w:color w:val="231F20"/>
          <w:spacing w:val="9"/>
        </w:rPr>
        <w:t> </w:t>
      </w:r>
      <w:r>
        <w:rPr>
          <w:color w:val="231F20"/>
        </w:rPr>
        <w:t>Abler,</w:t>
      </w:r>
      <w:r>
        <w:rPr>
          <w:color w:val="231F20"/>
          <w:spacing w:val="11"/>
        </w:rPr>
        <w:t> </w:t>
      </w:r>
      <w:r>
        <w:rPr>
          <w:color w:val="231F20"/>
          <w:spacing w:val="-5"/>
        </w:rPr>
        <w:t>PhD</w:t>
      </w:r>
    </w:p>
    <w:p>
      <w:pPr>
        <w:spacing w:line="200" w:lineRule="exact" w:before="0"/>
        <w:ind w:left="0" w:right="42" w:firstLine="0"/>
        <w:jc w:val="right"/>
        <w:rPr>
          <w:i/>
          <w:sz w:val="18"/>
        </w:rPr>
      </w:pPr>
      <w:r>
        <w:rPr>
          <w:i/>
          <w:color w:val="231F20"/>
          <w:sz w:val="18"/>
        </w:rPr>
        <w:t>Department</w:t>
      </w:r>
      <w:r>
        <w:rPr>
          <w:i/>
          <w:color w:val="231F20"/>
          <w:spacing w:val="9"/>
          <w:sz w:val="18"/>
        </w:rPr>
        <w:t> </w:t>
      </w:r>
      <w:r>
        <w:rPr>
          <w:i/>
          <w:color w:val="231F20"/>
          <w:sz w:val="18"/>
        </w:rPr>
        <w:t>of</w:t>
      </w:r>
      <w:r>
        <w:rPr>
          <w:i/>
          <w:color w:val="231F20"/>
          <w:spacing w:val="11"/>
          <w:sz w:val="18"/>
        </w:rPr>
        <w:t> </w:t>
      </w:r>
      <w:r>
        <w:rPr>
          <w:i/>
          <w:color w:val="231F20"/>
          <w:spacing w:val="-2"/>
          <w:sz w:val="18"/>
        </w:rPr>
        <w:t>Psychiatry</w:t>
      </w:r>
    </w:p>
    <w:p>
      <w:pPr>
        <w:spacing w:line="230" w:lineRule="auto" w:before="3"/>
        <w:ind w:left="3185" w:right="41" w:firstLine="317"/>
        <w:jc w:val="right"/>
        <w:rPr>
          <w:i/>
          <w:sz w:val="18"/>
        </w:rPr>
      </w:pPr>
      <w:r>
        <w:rPr>
          <w:i/>
          <w:color w:val="231F20"/>
          <w:sz w:val="18"/>
        </w:rPr>
        <w:t>University</w:t>
      </w:r>
      <w:r>
        <w:rPr>
          <w:i/>
          <w:color w:val="231F20"/>
          <w:spacing w:val="-5"/>
          <w:sz w:val="18"/>
        </w:rPr>
        <w:t> </w:t>
      </w:r>
      <w:r>
        <w:rPr>
          <w:i/>
          <w:color w:val="231F20"/>
          <w:sz w:val="18"/>
        </w:rPr>
        <w:t>of</w:t>
      </w:r>
      <w:r>
        <w:rPr>
          <w:i/>
          <w:color w:val="231F20"/>
          <w:spacing w:val="-5"/>
          <w:sz w:val="18"/>
        </w:rPr>
        <w:t> </w:t>
      </w:r>
      <w:r>
        <w:rPr>
          <w:i/>
          <w:color w:val="231F20"/>
          <w:sz w:val="18"/>
        </w:rPr>
        <w:t>Ulm Leimgrubenweg</w:t>
      </w:r>
      <w:r>
        <w:rPr>
          <w:i/>
          <w:color w:val="231F20"/>
          <w:spacing w:val="1"/>
          <w:sz w:val="18"/>
        </w:rPr>
        <w:t> </w:t>
      </w:r>
      <w:r>
        <w:rPr>
          <w:i/>
          <w:color w:val="231F20"/>
          <w:sz w:val="18"/>
        </w:rPr>
        <w:t>12-</w:t>
      </w:r>
      <w:r>
        <w:rPr>
          <w:i/>
          <w:color w:val="231F20"/>
          <w:spacing w:val="-5"/>
          <w:sz w:val="18"/>
        </w:rPr>
        <w:t>14</w:t>
      </w:r>
    </w:p>
    <w:p>
      <w:pPr>
        <w:spacing w:line="201" w:lineRule="exact" w:before="0"/>
        <w:ind w:left="0" w:right="42" w:firstLine="0"/>
        <w:jc w:val="right"/>
        <w:rPr>
          <w:i/>
          <w:sz w:val="18"/>
        </w:rPr>
      </w:pPr>
      <w:r>
        <w:rPr>
          <w:i/>
          <w:color w:val="231F20"/>
          <w:sz w:val="18"/>
        </w:rPr>
        <w:t>Ulm</w:t>
      </w:r>
      <w:r>
        <w:rPr>
          <w:i/>
          <w:color w:val="231F20"/>
          <w:spacing w:val="10"/>
          <w:sz w:val="18"/>
        </w:rPr>
        <w:t> </w:t>
      </w:r>
      <w:r>
        <w:rPr>
          <w:i/>
          <w:color w:val="231F20"/>
          <w:sz w:val="18"/>
        </w:rPr>
        <w:t>89075,</w:t>
      </w:r>
      <w:r>
        <w:rPr>
          <w:i/>
          <w:color w:val="231F20"/>
          <w:spacing w:val="10"/>
          <w:sz w:val="18"/>
        </w:rPr>
        <w:t> </w:t>
      </w:r>
      <w:r>
        <w:rPr>
          <w:i/>
          <w:color w:val="231F20"/>
          <w:spacing w:val="-2"/>
          <w:sz w:val="18"/>
        </w:rPr>
        <w:t>Germany</w:t>
      </w:r>
    </w:p>
    <w:p>
      <w:pPr>
        <w:pStyle w:val="BodyText"/>
        <w:spacing w:before="96"/>
        <w:rPr>
          <w:i/>
        </w:rPr>
      </w:pPr>
    </w:p>
    <w:p>
      <w:pPr>
        <w:pStyle w:val="Heading2"/>
        <w:ind w:left="260" w:right="49"/>
      </w:pPr>
      <w:r>
        <w:rPr>
          <w:color w:val="231F20"/>
          <w:spacing w:val="-2"/>
          <w:w w:val="105"/>
        </w:rPr>
        <w:t>References</w:t>
      </w:r>
    </w:p>
    <w:p>
      <w:pPr>
        <w:pStyle w:val="ListParagraph"/>
        <w:numPr>
          <w:ilvl w:val="0"/>
          <w:numId w:val="11"/>
        </w:numPr>
        <w:tabs>
          <w:tab w:pos="502" w:val="left" w:leader="none"/>
          <w:tab w:pos="504" w:val="left" w:leader="none"/>
        </w:tabs>
        <w:spacing w:line="235" w:lineRule="auto" w:before="131" w:after="0"/>
        <w:ind w:left="504" w:right="40" w:hanging="248"/>
        <w:jc w:val="both"/>
        <w:rPr>
          <w:sz w:val="16"/>
        </w:rPr>
      </w:pPr>
      <w:r>
        <w:rPr>
          <w:color w:val="231F20"/>
          <w:sz w:val="16"/>
        </w:rPr>
        <w:t>Brusa L, Orlacchio A, Moschella V, Iani C, Bernardi G, </w:t>
      </w:r>
      <w:r>
        <w:rPr>
          <w:color w:val="231F20"/>
          <w:sz w:val="16"/>
        </w:rPr>
        <w:t>Mercuri</w:t>
      </w:r>
      <w:r>
        <w:rPr>
          <w:color w:val="231F20"/>
          <w:spacing w:val="40"/>
          <w:sz w:val="16"/>
        </w:rPr>
        <w:t> </w:t>
      </w:r>
      <w:r>
        <w:rPr>
          <w:color w:val="231F20"/>
          <w:sz w:val="16"/>
        </w:rPr>
        <w:t>NB. Treatment of the symptoms of Huntington’s disease: prelimi-</w:t>
      </w:r>
      <w:r>
        <w:rPr>
          <w:color w:val="231F20"/>
          <w:spacing w:val="40"/>
          <w:sz w:val="16"/>
        </w:rPr>
        <w:t> </w:t>
      </w:r>
      <w:r>
        <w:rPr>
          <w:color w:val="231F20"/>
          <w:sz w:val="16"/>
        </w:rPr>
        <w:t>nary results comparing aripiprazole and tetrabenazine. Mov Dis-</w:t>
      </w:r>
      <w:r>
        <w:rPr>
          <w:color w:val="231F20"/>
          <w:spacing w:val="40"/>
          <w:sz w:val="16"/>
        </w:rPr>
        <w:t> </w:t>
      </w:r>
      <w:r>
        <w:rPr>
          <w:color w:val="231F20"/>
          <w:sz w:val="16"/>
        </w:rPr>
        <w:t>ord 2009;24:126–129.</w:t>
      </w:r>
    </w:p>
    <w:p>
      <w:pPr>
        <w:pStyle w:val="ListParagraph"/>
        <w:numPr>
          <w:ilvl w:val="0"/>
          <w:numId w:val="11"/>
        </w:numPr>
        <w:tabs>
          <w:tab w:pos="502" w:val="left" w:leader="none"/>
          <w:tab w:pos="504" w:val="left" w:leader="none"/>
        </w:tabs>
        <w:spacing w:line="232" w:lineRule="auto" w:before="0" w:after="0"/>
        <w:ind w:left="504" w:right="41" w:hanging="248"/>
        <w:jc w:val="both"/>
        <w:rPr>
          <w:sz w:val="16"/>
        </w:rPr>
      </w:pPr>
      <w:r>
        <w:rPr>
          <w:color w:val="231F20"/>
          <w:sz w:val="16"/>
        </w:rPr>
        <w:t>Lin WC, Chou YH. Aripiprazole effects on psychosis and </w:t>
      </w:r>
      <w:r>
        <w:rPr>
          <w:color w:val="231F20"/>
          <w:sz w:val="16"/>
        </w:rPr>
        <w:t>chorea</w:t>
      </w:r>
      <w:r>
        <w:rPr>
          <w:color w:val="231F20"/>
          <w:spacing w:val="40"/>
          <w:sz w:val="16"/>
        </w:rPr>
        <w:t> </w:t>
      </w:r>
      <w:r>
        <w:rPr>
          <w:color w:val="231F20"/>
          <w:sz w:val="16"/>
        </w:rPr>
        <w:t>in a patient with Huntington’s Disease. Am J Psychiatr</w:t>
      </w:r>
      <w:r>
        <w:rPr>
          <w:color w:val="231F20"/>
          <w:spacing w:val="40"/>
          <w:sz w:val="16"/>
        </w:rPr>
        <w:t> </w:t>
      </w:r>
      <w:r>
        <w:rPr>
          <w:color w:val="231F20"/>
          <w:spacing w:val="-2"/>
          <w:sz w:val="16"/>
        </w:rPr>
        <w:t>2008;165:1207–1208.</w:t>
      </w:r>
    </w:p>
    <w:p>
      <w:pPr>
        <w:pStyle w:val="ListParagraph"/>
        <w:numPr>
          <w:ilvl w:val="0"/>
          <w:numId w:val="11"/>
        </w:numPr>
        <w:tabs>
          <w:tab w:pos="502" w:val="left" w:leader="none"/>
          <w:tab w:pos="504" w:val="left" w:leader="none"/>
        </w:tabs>
        <w:spacing w:line="232" w:lineRule="auto" w:before="2" w:after="0"/>
        <w:ind w:left="504" w:right="40" w:hanging="248"/>
        <w:jc w:val="both"/>
        <w:rPr>
          <w:sz w:val="16"/>
        </w:rPr>
      </w:pPr>
      <w:r>
        <w:rPr>
          <w:color w:val="231F20"/>
          <w:sz w:val="16"/>
        </w:rPr>
        <w:t>Marshall PB, Mellman TA, Nguyen SX. Neuroleptic </w:t>
      </w:r>
      <w:r>
        <w:rPr>
          <w:color w:val="231F20"/>
          <w:sz w:val="16"/>
        </w:rPr>
        <w:t>malignant</w:t>
      </w:r>
      <w:r>
        <w:rPr>
          <w:color w:val="231F20"/>
          <w:spacing w:val="40"/>
          <w:sz w:val="16"/>
        </w:rPr>
        <w:t> </w:t>
      </w:r>
      <w:r>
        <w:rPr>
          <w:color w:val="231F20"/>
          <w:sz w:val="16"/>
        </w:rPr>
        <w:t>syndrome with the addition of aripiprazole to olanzapine. Am J</w:t>
      </w:r>
      <w:r>
        <w:rPr>
          <w:color w:val="231F20"/>
          <w:spacing w:val="40"/>
          <w:sz w:val="16"/>
        </w:rPr>
        <w:t> </w:t>
      </w:r>
      <w:r>
        <w:rPr>
          <w:color w:val="231F20"/>
          <w:sz w:val="16"/>
        </w:rPr>
        <w:t>Psychiatr 2008;165:1488–1489.</w:t>
      </w:r>
    </w:p>
    <w:p>
      <w:pPr>
        <w:pStyle w:val="ListParagraph"/>
        <w:numPr>
          <w:ilvl w:val="0"/>
          <w:numId w:val="11"/>
        </w:numPr>
        <w:tabs>
          <w:tab w:pos="502" w:val="left" w:leader="none"/>
          <w:tab w:pos="504" w:val="left" w:leader="none"/>
        </w:tabs>
        <w:spacing w:line="232" w:lineRule="auto" w:before="2" w:after="0"/>
        <w:ind w:left="504" w:right="40" w:hanging="248"/>
        <w:jc w:val="both"/>
        <w:rPr>
          <w:sz w:val="16"/>
        </w:rPr>
      </w:pPr>
      <w:r>
        <w:rPr>
          <w:color w:val="231F20"/>
          <w:sz w:val="16"/>
        </w:rPr>
        <w:t>Molina</w:t>
      </w:r>
      <w:r>
        <w:rPr>
          <w:color w:val="231F20"/>
          <w:spacing w:val="19"/>
          <w:sz w:val="16"/>
        </w:rPr>
        <w:t> </w:t>
      </w:r>
      <w:r>
        <w:rPr>
          <w:color w:val="231F20"/>
          <w:sz w:val="16"/>
        </w:rPr>
        <w:t>D,</w:t>
      </w:r>
      <w:r>
        <w:rPr>
          <w:color w:val="231F20"/>
          <w:spacing w:val="19"/>
          <w:sz w:val="16"/>
        </w:rPr>
        <w:t> </w:t>
      </w:r>
      <w:r>
        <w:rPr>
          <w:color w:val="231F20"/>
          <w:sz w:val="16"/>
        </w:rPr>
        <w:t>Tingle</w:t>
      </w:r>
      <w:r>
        <w:rPr>
          <w:color w:val="231F20"/>
          <w:spacing w:val="19"/>
          <w:sz w:val="16"/>
        </w:rPr>
        <w:t> </w:t>
      </w:r>
      <w:r>
        <w:rPr>
          <w:color w:val="231F20"/>
          <w:sz w:val="16"/>
        </w:rPr>
        <w:t>LE,</w:t>
      </w:r>
      <w:r>
        <w:rPr>
          <w:color w:val="231F20"/>
          <w:spacing w:val="19"/>
          <w:sz w:val="16"/>
        </w:rPr>
        <w:t> </w:t>
      </w:r>
      <w:r>
        <w:rPr>
          <w:color w:val="231F20"/>
          <w:sz w:val="16"/>
        </w:rPr>
        <w:t>Lu</w:t>
      </w:r>
      <w:r>
        <w:rPr>
          <w:color w:val="231F20"/>
          <w:spacing w:val="19"/>
          <w:sz w:val="16"/>
        </w:rPr>
        <w:t> </w:t>
      </w:r>
      <w:r>
        <w:rPr>
          <w:color w:val="231F20"/>
          <w:sz w:val="16"/>
        </w:rPr>
        <w:t>X.</w:t>
      </w:r>
      <w:r>
        <w:rPr>
          <w:color w:val="231F20"/>
          <w:spacing w:val="20"/>
          <w:sz w:val="16"/>
        </w:rPr>
        <w:t> </w:t>
      </w:r>
      <w:r>
        <w:rPr>
          <w:color w:val="231F20"/>
          <w:sz w:val="16"/>
        </w:rPr>
        <w:t>Aripiprazole</w:t>
      </w:r>
      <w:r>
        <w:rPr>
          <w:color w:val="231F20"/>
          <w:spacing w:val="19"/>
          <w:sz w:val="16"/>
        </w:rPr>
        <w:t> </w:t>
      </w:r>
      <w:r>
        <w:rPr>
          <w:color w:val="231F20"/>
          <w:sz w:val="16"/>
        </w:rPr>
        <w:t>as</w:t>
      </w:r>
      <w:r>
        <w:rPr>
          <w:color w:val="231F20"/>
          <w:spacing w:val="20"/>
          <w:sz w:val="16"/>
        </w:rPr>
        <w:t> </w:t>
      </w:r>
      <w:r>
        <w:rPr>
          <w:color w:val="231F20"/>
          <w:sz w:val="16"/>
        </w:rPr>
        <w:t>the</w:t>
      </w:r>
      <w:r>
        <w:rPr>
          <w:color w:val="231F20"/>
          <w:spacing w:val="19"/>
          <w:sz w:val="16"/>
        </w:rPr>
        <w:t> </w:t>
      </w:r>
      <w:r>
        <w:rPr>
          <w:color w:val="231F20"/>
          <w:sz w:val="16"/>
        </w:rPr>
        <w:t>causative</w:t>
      </w:r>
      <w:r>
        <w:rPr>
          <w:color w:val="231F20"/>
          <w:spacing w:val="19"/>
          <w:sz w:val="16"/>
        </w:rPr>
        <w:t> </w:t>
      </w:r>
      <w:r>
        <w:rPr>
          <w:color w:val="231F20"/>
          <w:sz w:val="16"/>
        </w:rPr>
        <w:t>agent</w:t>
      </w:r>
      <w:r>
        <w:rPr>
          <w:color w:val="231F20"/>
          <w:spacing w:val="40"/>
          <w:sz w:val="16"/>
        </w:rPr>
        <w:t> </w:t>
      </w:r>
      <w:r>
        <w:rPr>
          <w:color w:val="231F20"/>
          <w:sz w:val="16"/>
        </w:rPr>
        <w:t>of neuroleptic malignant syndrome: a case report. Prim </w:t>
      </w:r>
      <w:r>
        <w:rPr>
          <w:color w:val="231F20"/>
          <w:sz w:val="16"/>
        </w:rPr>
        <w:t>Care</w:t>
      </w:r>
      <w:r>
        <w:rPr>
          <w:color w:val="231F20"/>
          <w:spacing w:val="40"/>
          <w:sz w:val="16"/>
        </w:rPr>
        <w:t> </w:t>
      </w:r>
      <w:r>
        <w:rPr>
          <w:color w:val="231F20"/>
          <w:sz w:val="16"/>
        </w:rPr>
        <w:t>Companion J Clin Psychiatr 2007;9:148–150.</w:t>
      </w:r>
    </w:p>
    <w:p>
      <w:pPr>
        <w:pStyle w:val="ListParagraph"/>
        <w:numPr>
          <w:ilvl w:val="0"/>
          <w:numId w:val="11"/>
        </w:numPr>
        <w:tabs>
          <w:tab w:pos="501" w:val="left" w:leader="none"/>
          <w:tab w:pos="503" w:val="left" w:leader="none"/>
        </w:tabs>
        <w:spacing w:line="232" w:lineRule="auto" w:before="3" w:after="0"/>
        <w:ind w:left="503" w:right="38" w:hanging="248"/>
        <w:jc w:val="both"/>
        <w:rPr>
          <w:sz w:val="16"/>
        </w:rPr>
      </w:pPr>
      <w:r>
        <w:rPr>
          <w:color w:val="231F20"/>
          <w:sz w:val="16"/>
        </w:rPr>
        <w:t>Gaasbeek D, Naarding P, Stor T, Kremer HP. Drug-</w:t>
      </w:r>
      <w:r>
        <w:rPr>
          <w:color w:val="231F20"/>
          <w:sz w:val="16"/>
        </w:rPr>
        <w:t>induced</w:t>
      </w:r>
      <w:r>
        <w:rPr>
          <w:color w:val="231F20"/>
          <w:spacing w:val="40"/>
          <w:sz w:val="16"/>
        </w:rPr>
        <w:t> </w:t>
      </w:r>
      <w:r>
        <w:rPr>
          <w:color w:val="231F20"/>
          <w:sz w:val="16"/>
        </w:rPr>
        <w:t>hyperthermia in Huntington’s disease. J Neurol 2004;251:</w:t>
      </w:r>
      <w:r>
        <w:rPr>
          <w:color w:val="231F20"/>
          <w:spacing w:val="40"/>
          <w:sz w:val="16"/>
        </w:rPr>
        <w:t> </w:t>
      </w:r>
      <w:r>
        <w:rPr>
          <w:color w:val="231F20"/>
          <w:spacing w:val="-2"/>
          <w:sz w:val="16"/>
        </w:rPr>
        <w:t>454–457.</w:t>
      </w:r>
    </w:p>
    <w:p>
      <w:pPr>
        <w:pStyle w:val="ListParagraph"/>
        <w:numPr>
          <w:ilvl w:val="0"/>
          <w:numId w:val="11"/>
        </w:numPr>
        <w:tabs>
          <w:tab w:pos="501" w:val="left" w:leader="none"/>
          <w:tab w:pos="503" w:val="left" w:leader="none"/>
        </w:tabs>
        <w:spacing w:line="232" w:lineRule="auto" w:before="2" w:after="0"/>
        <w:ind w:left="503" w:right="41" w:hanging="248"/>
        <w:jc w:val="both"/>
        <w:rPr>
          <w:sz w:val="16"/>
        </w:rPr>
      </w:pPr>
      <w:r>
        <w:rPr>
          <w:color w:val="231F20"/>
          <w:sz w:val="16"/>
        </w:rPr>
        <w:t>Greenaway M, Elbe D. Focus on aripiprazole: a review on its </w:t>
      </w:r>
      <w:r>
        <w:rPr>
          <w:color w:val="231F20"/>
          <w:sz w:val="16"/>
        </w:rPr>
        <w:t>use</w:t>
      </w:r>
      <w:r>
        <w:rPr>
          <w:color w:val="231F20"/>
          <w:spacing w:val="40"/>
          <w:sz w:val="16"/>
        </w:rPr>
        <w:t> </w:t>
      </w:r>
      <w:r>
        <w:rPr>
          <w:color w:val="231F20"/>
          <w:sz w:val="16"/>
        </w:rPr>
        <w:t>in child and adolescent psychiatry. J Can Acad Child Adolesc</w:t>
      </w:r>
      <w:r>
        <w:rPr>
          <w:color w:val="231F20"/>
          <w:spacing w:val="40"/>
          <w:sz w:val="16"/>
        </w:rPr>
        <w:t> </w:t>
      </w:r>
      <w:r>
        <w:rPr>
          <w:color w:val="231F20"/>
          <w:sz w:val="16"/>
        </w:rPr>
        <w:t>Psychiatr 2009;18:250–260.</w:t>
      </w:r>
    </w:p>
    <w:p>
      <w:pPr>
        <w:pStyle w:val="ListParagraph"/>
        <w:numPr>
          <w:ilvl w:val="0"/>
          <w:numId w:val="11"/>
        </w:numPr>
        <w:tabs>
          <w:tab w:pos="501" w:val="left" w:leader="none"/>
          <w:tab w:pos="503" w:val="left" w:leader="none"/>
        </w:tabs>
        <w:spacing w:line="235" w:lineRule="auto" w:before="0" w:after="0"/>
        <w:ind w:left="503" w:right="40" w:hanging="248"/>
        <w:jc w:val="both"/>
        <w:rPr>
          <w:sz w:val="16"/>
        </w:rPr>
      </w:pPr>
      <w:r>
        <w:rPr>
          <w:color w:val="231F20"/>
          <w:sz w:val="16"/>
        </w:rPr>
        <w:t>Liebermann JA. Aripiprazole. In: Schatzberg AF, Nemeroff CB,</w:t>
      </w:r>
      <w:r>
        <w:rPr>
          <w:color w:val="231F20"/>
          <w:spacing w:val="40"/>
          <w:sz w:val="16"/>
        </w:rPr>
        <w:t> </w:t>
      </w:r>
      <w:r>
        <w:rPr>
          <w:color w:val="231F20"/>
          <w:sz w:val="16"/>
        </w:rPr>
        <w:t>editors. The American Psychiatric Publishing textbook of </w:t>
      </w:r>
      <w:r>
        <w:rPr>
          <w:color w:val="231F20"/>
          <w:sz w:val="16"/>
        </w:rPr>
        <w:t>Psycho-</w:t>
      </w:r>
      <w:r>
        <w:rPr>
          <w:color w:val="231F20"/>
          <w:spacing w:val="40"/>
          <w:sz w:val="16"/>
        </w:rPr>
        <w:t> </w:t>
      </w:r>
      <w:r>
        <w:rPr>
          <w:color w:val="231F20"/>
          <w:sz w:val="16"/>
        </w:rPr>
        <w:t>pharmacology, Third ed. Washington, DC and London, UK:</w:t>
      </w:r>
      <w:r>
        <w:rPr>
          <w:color w:val="231F20"/>
          <w:spacing w:val="40"/>
          <w:sz w:val="16"/>
        </w:rPr>
        <w:t> </w:t>
      </w:r>
      <w:r>
        <w:rPr>
          <w:color w:val="231F20"/>
          <w:sz w:val="16"/>
        </w:rPr>
        <w:t>American Psychiatric Publishing; 2004. p 407–497.</w:t>
      </w:r>
    </w:p>
    <w:p>
      <w:pPr>
        <w:pStyle w:val="BodyText"/>
        <w:rPr>
          <w:sz w:val="16"/>
        </w:rPr>
      </w:pPr>
    </w:p>
    <w:p>
      <w:pPr>
        <w:pStyle w:val="BodyText"/>
        <w:spacing w:before="22"/>
        <w:rPr>
          <w:sz w:val="16"/>
        </w:rPr>
      </w:pPr>
    </w:p>
    <w:p>
      <w:pPr>
        <w:pStyle w:val="Heading1"/>
        <w:spacing w:line="244" w:lineRule="auto"/>
        <w:ind w:left="260" w:right="44"/>
      </w:pPr>
      <w:r>
        <w:rPr>
          <w:color w:val="231F20"/>
          <w:w w:val="105"/>
        </w:rPr>
        <w:t>Electrophysiological Evaluation of </w:t>
      </w:r>
      <w:r>
        <w:rPr>
          <w:color w:val="231F20"/>
          <w:w w:val="105"/>
        </w:rPr>
        <w:t>Thalamic DBS for Orthostatic Tremor</w:t>
      </w:r>
    </w:p>
    <w:p>
      <w:pPr>
        <w:pStyle w:val="BodyText"/>
        <w:spacing w:before="9"/>
        <w:rPr>
          <w:sz w:val="22"/>
        </w:rPr>
      </w:pPr>
    </w:p>
    <w:p>
      <w:pPr>
        <w:pStyle w:val="BodyText"/>
        <w:spacing w:line="230" w:lineRule="auto"/>
        <w:ind w:left="256" w:right="41" w:firstLine="199"/>
        <w:jc w:val="both"/>
      </w:pPr>
      <w:r>
        <w:rPr>
          <w:color w:val="231F20"/>
        </w:rPr>
        <w:t>Orthostatic tremor (OT) is characterized by high-</w:t>
      </w:r>
      <w:r>
        <w:rPr>
          <w:color w:val="231F20"/>
        </w:rPr>
        <w:t>frequency muscle discharges of the leg when standing.</w:t>
      </w:r>
      <w:r>
        <w:rPr>
          <w:color w:val="231F20"/>
          <w:vertAlign w:val="superscript"/>
        </w:rPr>
        <w:t>1</w:t>
      </w:r>
      <w:r>
        <w:rPr>
          <w:color w:val="231F20"/>
          <w:vertAlign w:val="baseline"/>
        </w:rPr>
        <w:t> Pharmacologi-</w:t>
      </w:r>
      <w:r>
        <w:rPr>
          <w:color w:val="231F20"/>
          <w:spacing w:val="40"/>
          <w:vertAlign w:val="baseline"/>
        </w:rPr>
        <w:t> </w:t>
      </w:r>
      <w:r>
        <w:rPr>
          <w:color w:val="231F20"/>
          <w:vertAlign w:val="baseline"/>
        </w:rPr>
        <w:t>cal treatment offers a limited improvement but a beneﬁt with thalamic</w:t>
      </w:r>
      <w:r>
        <w:rPr>
          <w:color w:val="231F20"/>
          <w:spacing w:val="40"/>
          <w:vertAlign w:val="baseline"/>
        </w:rPr>
        <w:t> </w:t>
      </w:r>
      <w:r>
        <w:rPr>
          <w:color w:val="231F20"/>
          <w:vertAlign w:val="baseline"/>
        </w:rPr>
        <w:t>stimulation</w:t>
      </w:r>
      <w:r>
        <w:rPr>
          <w:color w:val="231F20"/>
          <w:spacing w:val="40"/>
          <w:vertAlign w:val="baseline"/>
        </w:rPr>
        <w:t> </w:t>
      </w:r>
      <w:r>
        <w:rPr>
          <w:color w:val="231F20"/>
          <w:vertAlign w:val="baseline"/>
        </w:rPr>
        <w:t>was</w:t>
      </w:r>
      <w:r>
        <w:rPr>
          <w:color w:val="231F20"/>
          <w:spacing w:val="40"/>
          <w:vertAlign w:val="baseline"/>
        </w:rPr>
        <w:t> </w:t>
      </w:r>
      <w:r>
        <w:rPr>
          <w:color w:val="231F20"/>
          <w:vertAlign w:val="baseline"/>
        </w:rPr>
        <w:t>recently</w:t>
      </w:r>
      <w:r>
        <w:rPr>
          <w:color w:val="231F20"/>
          <w:spacing w:val="40"/>
          <w:vertAlign w:val="baseline"/>
        </w:rPr>
        <w:t> </w:t>
      </w:r>
      <w:r>
        <w:rPr>
          <w:color w:val="231F20"/>
          <w:vertAlign w:val="baseline"/>
        </w:rPr>
        <w:t>published.</w:t>
      </w:r>
      <w:r>
        <w:rPr>
          <w:color w:val="231F20"/>
          <w:vertAlign w:val="superscript"/>
        </w:rPr>
        <w:t>2,3</w:t>
      </w:r>
      <w:r>
        <w:rPr>
          <w:color w:val="231F20"/>
          <w:spacing w:val="40"/>
          <w:vertAlign w:val="baseline"/>
        </w:rPr>
        <w:t> </w:t>
      </w:r>
      <w:r>
        <w:rPr>
          <w:color w:val="231F20"/>
          <w:vertAlign w:val="baseline"/>
        </w:rPr>
        <w:t>We</w:t>
      </w:r>
      <w:r>
        <w:rPr>
          <w:color w:val="231F20"/>
          <w:spacing w:val="40"/>
          <w:vertAlign w:val="baseline"/>
        </w:rPr>
        <w:t> </w:t>
      </w:r>
      <w:r>
        <w:rPr>
          <w:color w:val="231F20"/>
          <w:vertAlign w:val="baseline"/>
        </w:rPr>
        <w:t>report new electrophysiological evidence in a case of OT with DBS</w:t>
      </w:r>
      <w:r>
        <w:rPr>
          <w:color w:val="231F20"/>
          <w:spacing w:val="40"/>
          <w:vertAlign w:val="baseline"/>
        </w:rPr>
        <w:t> </w:t>
      </w:r>
      <w:r>
        <w:rPr>
          <w:color w:val="231F20"/>
          <w:vertAlign w:val="baseline"/>
        </w:rPr>
        <w:t>in the ventral intermediate nucleus of the thalamus (Vim). A 68-year-old</w:t>
      </w:r>
      <w:r>
        <w:rPr>
          <w:color w:val="231F20"/>
          <w:spacing w:val="40"/>
          <w:vertAlign w:val="baseline"/>
        </w:rPr>
        <w:t> </w:t>
      </w:r>
      <w:r>
        <w:rPr>
          <w:color w:val="231F20"/>
          <w:vertAlign w:val="baseline"/>
        </w:rPr>
        <w:t>woman</w:t>
      </w:r>
      <w:r>
        <w:rPr>
          <w:color w:val="231F20"/>
          <w:spacing w:val="40"/>
          <w:vertAlign w:val="baseline"/>
        </w:rPr>
        <w:t> </w:t>
      </w:r>
      <w:r>
        <w:rPr>
          <w:color w:val="231F20"/>
          <w:vertAlign w:val="baseline"/>
        </w:rPr>
        <w:t>had</w:t>
      </w:r>
      <w:r>
        <w:rPr>
          <w:color w:val="231F20"/>
          <w:spacing w:val="40"/>
          <w:vertAlign w:val="baseline"/>
        </w:rPr>
        <w:t> </w:t>
      </w:r>
      <w:r>
        <w:rPr>
          <w:color w:val="231F20"/>
          <w:vertAlign w:val="baseline"/>
        </w:rPr>
        <w:t>both</w:t>
      </w:r>
      <w:r>
        <w:rPr>
          <w:color w:val="231F20"/>
          <w:spacing w:val="40"/>
          <w:vertAlign w:val="baseline"/>
        </w:rPr>
        <w:t> </w:t>
      </w:r>
      <w:r>
        <w:rPr>
          <w:color w:val="231F20"/>
          <w:vertAlign w:val="baseline"/>
        </w:rPr>
        <w:t>legs</w:t>
      </w:r>
      <w:r>
        <w:rPr>
          <w:color w:val="231F20"/>
          <w:spacing w:val="40"/>
          <w:vertAlign w:val="baseline"/>
        </w:rPr>
        <w:t> </w:t>
      </w:r>
      <w:r>
        <w:rPr>
          <w:color w:val="231F20"/>
          <w:vertAlign w:val="baseline"/>
        </w:rPr>
        <w:t>shaking</w:t>
      </w:r>
      <w:r>
        <w:rPr>
          <w:color w:val="231F20"/>
          <w:spacing w:val="40"/>
          <w:vertAlign w:val="baseline"/>
        </w:rPr>
        <w:t> </w:t>
      </w:r>
      <w:r>
        <w:rPr>
          <w:color w:val="231F20"/>
          <w:vertAlign w:val="baseline"/>
        </w:rPr>
        <w:t>during</w:t>
      </w:r>
      <w:r>
        <w:rPr>
          <w:color w:val="231F20"/>
          <w:spacing w:val="40"/>
          <w:vertAlign w:val="baseline"/>
        </w:rPr>
        <w:t> </w:t>
      </w:r>
      <w:r>
        <w:rPr>
          <w:color w:val="231F20"/>
          <w:vertAlign w:val="baseline"/>
        </w:rPr>
        <w:t>standing and was unable to maintain balance during bipedestation. Surface</w:t>
      </w:r>
      <w:r>
        <w:rPr>
          <w:color w:val="231F20"/>
          <w:spacing w:val="40"/>
          <w:vertAlign w:val="baseline"/>
        </w:rPr>
        <w:t> </w:t>
      </w:r>
      <w:r>
        <w:rPr>
          <w:color w:val="231F20"/>
          <w:vertAlign w:val="baseline"/>
        </w:rPr>
        <w:t>EMG</w:t>
      </w:r>
      <w:r>
        <w:rPr>
          <w:color w:val="231F20"/>
          <w:spacing w:val="40"/>
          <w:vertAlign w:val="baseline"/>
        </w:rPr>
        <w:t> </w:t>
      </w:r>
      <w:r>
        <w:rPr>
          <w:color w:val="231F20"/>
          <w:vertAlign w:val="baseline"/>
        </w:rPr>
        <w:t>showed</w:t>
      </w:r>
      <w:r>
        <w:rPr>
          <w:color w:val="231F20"/>
          <w:spacing w:val="40"/>
          <w:vertAlign w:val="baseline"/>
        </w:rPr>
        <w:t> </w:t>
      </w:r>
      <w:r>
        <w:rPr>
          <w:color w:val="231F20"/>
          <w:vertAlign w:val="baseline"/>
        </w:rPr>
        <w:t>a</w:t>
      </w:r>
      <w:r>
        <w:rPr>
          <w:color w:val="231F20"/>
          <w:spacing w:val="40"/>
          <w:vertAlign w:val="baseline"/>
        </w:rPr>
        <w:t> </w:t>
      </w:r>
      <w:r>
        <w:rPr>
          <w:color w:val="231F20"/>
          <w:vertAlign w:val="baseline"/>
        </w:rPr>
        <w:t>12</w:t>
      </w:r>
      <w:r>
        <w:rPr>
          <w:color w:val="231F20"/>
          <w:spacing w:val="40"/>
          <w:vertAlign w:val="baseline"/>
        </w:rPr>
        <w:t> </w:t>
      </w:r>
      <w:r>
        <w:rPr>
          <w:color w:val="231F20"/>
          <w:vertAlign w:val="baseline"/>
        </w:rPr>
        <w:t>to</w:t>
      </w:r>
      <w:r>
        <w:rPr>
          <w:color w:val="231F20"/>
          <w:spacing w:val="40"/>
          <w:vertAlign w:val="baseline"/>
        </w:rPr>
        <w:t> </w:t>
      </w:r>
      <w:r>
        <w:rPr>
          <w:color w:val="231F20"/>
          <w:vertAlign w:val="baseline"/>
        </w:rPr>
        <w:t>18</w:t>
      </w:r>
      <w:r>
        <w:rPr>
          <w:color w:val="231F20"/>
          <w:spacing w:val="40"/>
          <w:vertAlign w:val="baseline"/>
        </w:rPr>
        <w:t> </w:t>
      </w:r>
      <w:r>
        <w:rPr>
          <w:color w:val="231F20"/>
          <w:vertAlign w:val="baseline"/>
        </w:rPr>
        <w:t>Hz</w:t>
      </w:r>
      <w:r>
        <w:rPr>
          <w:color w:val="231F20"/>
          <w:spacing w:val="40"/>
          <w:vertAlign w:val="baseline"/>
        </w:rPr>
        <w:t> </w:t>
      </w:r>
      <w:r>
        <w:rPr>
          <w:color w:val="231F20"/>
          <w:vertAlign w:val="baseline"/>
        </w:rPr>
        <w:t>tremor</w:t>
      </w:r>
      <w:r>
        <w:rPr>
          <w:color w:val="231F20"/>
          <w:spacing w:val="40"/>
          <w:vertAlign w:val="baseline"/>
        </w:rPr>
        <w:t> </w:t>
      </w:r>
      <w:r>
        <w:rPr>
          <w:color w:val="231F20"/>
          <w:vertAlign w:val="baseline"/>
        </w:rPr>
        <w:t>in</w:t>
      </w:r>
      <w:r>
        <w:rPr>
          <w:color w:val="231F20"/>
          <w:spacing w:val="40"/>
          <w:vertAlign w:val="baseline"/>
        </w:rPr>
        <w:t> </w:t>
      </w:r>
      <w:r>
        <w:rPr>
          <w:color w:val="231F20"/>
          <w:vertAlign w:val="baseline"/>
        </w:rPr>
        <w:t>the</w:t>
      </w:r>
      <w:r>
        <w:rPr>
          <w:color w:val="231F20"/>
          <w:spacing w:val="40"/>
          <w:vertAlign w:val="baseline"/>
        </w:rPr>
        <w:t> </w:t>
      </w:r>
      <w:r>
        <w:rPr>
          <w:color w:val="231F20"/>
          <w:vertAlign w:val="baseline"/>
        </w:rPr>
        <w:t>lower limbs when standing. Treatment with propranolol, gabapen-</w:t>
      </w:r>
      <w:r>
        <w:rPr>
          <w:color w:val="231F20"/>
          <w:spacing w:val="40"/>
          <w:vertAlign w:val="baseline"/>
        </w:rPr>
        <w:t> </w:t>
      </w:r>
      <w:r>
        <w:rPr>
          <w:color w:val="231F20"/>
          <w:vertAlign w:val="baseline"/>
        </w:rPr>
        <w:t>tin, clonazepam, primidone, or ropirinole was unsuccessful</w:t>
      </w:r>
      <w:r>
        <w:rPr>
          <w:color w:val="231F20"/>
          <w:spacing w:val="80"/>
          <w:vertAlign w:val="baseline"/>
        </w:rPr>
        <w:t> </w:t>
      </w:r>
      <w:r>
        <w:rPr>
          <w:color w:val="231F20"/>
          <w:vertAlign w:val="baseline"/>
        </w:rPr>
        <w:t>and DBS was offered. The patient signed a written consent. The surgical procedure was similar to that done in Parkinson patients.</w:t>
      </w:r>
      <w:r>
        <w:rPr>
          <w:color w:val="231F20"/>
          <w:vertAlign w:val="superscript"/>
        </w:rPr>
        <w:t>4</w:t>
      </w:r>
      <w:r>
        <w:rPr>
          <w:color w:val="231F20"/>
          <w:vertAlign w:val="baseline"/>
        </w:rPr>
        <w:t> The lateral aspect of the Vim was determined by MRI/CT imaging and neuronal recordings and bilateral elec- trodes were implanted (DBS model 3389, Medtronic, Minne- apolis,</w:t>
      </w:r>
      <w:r>
        <w:rPr>
          <w:color w:val="231F20"/>
          <w:spacing w:val="43"/>
          <w:vertAlign w:val="baseline"/>
        </w:rPr>
        <w:t> </w:t>
      </w:r>
      <w:r>
        <w:rPr>
          <w:color w:val="231F20"/>
          <w:vertAlign w:val="baseline"/>
        </w:rPr>
        <w:t>MN).</w:t>
      </w:r>
      <w:r>
        <w:rPr>
          <w:color w:val="231F20"/>
          <w:spacing w:val="43"/>
          <w:vertAlign w:val="baseline"/>
        </w:rPr>
        <w:t> </w:t>
      </w:r>
      <w:r>
        <w:rPr>
          <w:color w:val="231F20"/>
          <w:vertAlign w:val="baseline"/>
        </w:rPr>
        <w:t>All</w:t>
      </w:r>
      <w:r>
        <w:rPr>
          <w:color w:val="231F20"/>
          <w:spacing w:val="43"/>
          <w:vertAlign w:val="baseline"/>
        </w:rPr>
        <w:t> </w:t>
      </w:r>
      <w:r>
        <w:rPr>
          <w:color w:val="231F20"/>
          <w:vertAlign w:val="baseline"/>
        </w:rPr>
        <w:t>drugs</w:t>
      </w:r>
      <w:r>
        <w:rPr>
          <w:color w:val="231F20"/>
          <w:spacing w:val="44"/>
          <w:vertAlign w:val="baseline"/>
        </w:rPr>
        <w:t> </w:t>
      </w:r>
      <w:r>
        <w:rPr>
          <w:color w:val="231F20"/>
          <w:vertAlign w:val="baseline"/>
        </w:rPr>
        <w:t>were</w:t>
      </w:r>
      <w:r>
        <w:rPr>
          <w:color w:val="231F20"/>
          <w:spacing w:val="43"/>
          <w:vertAlign w:val="baseline"/>
        </w:rPr>
        <w:t> </w:t>
      </w:r>
      <w:r>
        <w:rPr>
          <w:color w:val="231F20"/>
          <w:vertAlign w:val="baseline"/>
        </w:rPr>
        <w:t>withdrawn</w:t>
      </w:r>
      <w:r>
        <w:rPr>
          <w:color w:val="231F20"/>
          <w:spacing w:val="43"/>
          <w:vertAlign w:val="baseline"/>
        </w:rPr>
        <w:t> </w:t>
      </w:r>
      <w:r>
        <w:rPr>
          <w:color w:val="231F20"/>
          <w:vertAlign w:val="baseline"/>
        </w:rPr>
        <w:t>after</w:t>
      </w:r>
      <w:r>
        <w:rPr>
          <w:color w:val="231F20"/>
          <w:spacing w:val="43"/>
          <w:vertAlign w:val="baseline"/>
        </w:rPr>
        <w:t> </w:t>
      </w:r>
      <w:r>
        <w:rPr>
          <w:color w:val="231F20"/>
          <w:vertAlign w:val="baseline"/>
        </w:rPr>
        <w:t>surgery.</w:t>
      </w:r>
      <w:r>
        <w:rPr>
          <w:color w:val="231F20"/>
          <w:spacing w:val="44"/>
          <w:vertAlign w:val="baseline"/>
        </w:rPr>
        <w:t> </w:t>
      </w:r>
      <w:r>
        <w:rPr>
          <w:color w:val="231F20"/>
          <w:spacing w:val="-5"/>
          <w:vertAlign w:val="baseline"/>
        </w:rPr>
        <w:t>One</w:t>
      </w:r>
    </w:p>
    <w:p>
      <w:pPr>
        <w:pStyle w:val="BodyText"/>
        <w:spacing w:before="1"/>
        <w:rPr>
          <w:sz w:val="20"/>
        </w:rPr>
      </w:pPr>
      <w:r>
        <w:rPr>
          <w:sz w:val="20"/>
        </w:rPr>
        <mc:AlternateContent>
          <mc:Choice Requires="wps">
            <w:drawing>
              <wp:anchor distT="0" distB="0" distL="0" distR="0" allowOverlap="1" layoutInCell="1" locked="0" behindDoc="1" simplePos="0" relativeHeight="487601664">
                <wp:simplePos x="0" y="0"/>
                <wp:positionH relativeFrom="page">
                  <wp:posOffset>848880</wp:posOffset>
                </wp:positionH>
                <wp:positionV relativeFrom="paragraph">
                  <wp:posOffset>162243</wp:posOffset>
                </wp:positionV>
                <wp:extent cx="2897505" cy="3175"/>
                <wp:effectExtent l="0" t="0" r="0" b="0"/>
                <wp:wrapTopAndBottom/>
                <wp:docPr id="35" name="Graphic 35"/>
                <wp:cNvGraphicFramePr>
                  <a:graphicFrameLocks/>
                </wp:cNvGraphicFramePr>
                <a:graphic>
                  <a:graphicData uri="http://schemas.microsoft.com/office/word/2010/wordprocessingShape">
                    <wps:wsp>
                      <wps:cNvPr id="35" name="Graphic 35"/>
                      <wps:cNvSpPr/>
                      <wps:spPr>
                        <a:xfrm>
                          <a:off x="0" y="0"/>
                          <a:ext cx="2897505" cy="3175"/>
                        </a:xfrm>
                        <a:custGeom>
                          <a:avLst/>
                          <a:gdLst/>
                          <a:ahLst/>
                          <a:cxnLst/>
                          <a:rect l="l" t="t" r="r" b="b"/>
                          <a:pathLst>
                            <a:path w="2897505" h="3175">
                              <a:moveTo>
                                <a:pt x="0" y="0"/>
                              </a:moveTo>
                              <a:lnTo>
                                <a:pt x="0" y="2882"/>
                              </a:lnTo>
                              <a:lnTo>
                                <a:pt x="2897276" y="2882"/>
                              </a:lnTo>
                              <a:lnTo>
                                <a:pt x="2897276" y="0"/>
                              </a:lnTo>
                              <a:lnTo>
                                <a:pt x="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66.841003pt;margin-top:12.775101pt;width:228.132pt;height:.227pt;mso-position-horizontal-relative:page;mso-position-vertical-relative:paragraph;z-index:-15714816;mso-wrap-distance-left:0;mso-wrap-distance-right:0" id="docshape24" filled="true" fillcolor="#231f20" stroked="false">
                <v:fill type="solid"/>
                <w10:wrap type="topAndBottom"/>
              </v:rect>
            </w:pict>
          </mc:Fallback>
        </mc:AlternateContent>
      </w:r>
    </w:p>
    <w:p>
      <w:pPr>
        <w:spacing w:before="54"/>
        <w:ind w:left="416" w:right="0" w:firstLine="0"/>
        <w:jc w:val="left"/>
        <w:rPr>
          <w:sz w:val="16"/>
        </w:rPr>
      </w:pPr>
      <w:r>
        <w:rPr>
          <w:color w:val="231F20"/>
          <w:sz w:val="16"/>
        </w:rPr>
        <w:t>Potential</w:t>
      </w:r>
      <w:r>
        <w:rPr>
          <w:color w:val="231F20"/>
          <w:spacing w:val="9"/>
          <w:sz w:val="16"/>
        </w:rPr>
        <w:t> </w:t>
      </w:r>
      <w:r>
        <w:rPr>
          <w:color w:val="231F20"/>
          <w:sz w:val="16"/>
        </w:rPr>
        <w:t>conﬂict</w:t>
      </w:r>
      <w:r>
        <w:rPr>
          <w:color w:val="231F20"/>
          <w:spacing w:val="10"/>
          <w:sz w:val="16"/>
        </w:rPr>
        <w:t> </w:t>
      </w:r>
      <w:r>
        <w:rPr>
          <w:color w:val="231F20"/>
          <w:sz w:val="16"/>
        </w:rPr>
        <w:t>of</w:t>
      </w:r>
      <w:r>
        <w:rPr>
          <w:color w:val="231F20"/>
          <w:spacing w:val="11"/>
          <w:sz w:val="16"/>
        </w:rPr>
        <w:t> </w:t>
      </w:r>
      <w:r>
        <w:rPr>
          <w:color w:val="231F20"/>
          <w:sz w:val="16"/>
        </w:rPr>
        <w:t>interest:</w:t>
      </w:r>
      <w:r>
        <w:rPr>
          <w:color w:val="231F20"/>
          <w:spacing w:val="10"/>
          <w:sz w:val="16"/>
        </w:rPr>
        <w:t> </w:t>
      </w:r>
      <w:r>
        <w:rPr>
          <w:color w:val="231F20"/>
          <w:sz w:val="16"/>
        </w:rPr>
        <w:t>Nothing</w:t>
      </w:r>
      <w:r>
        <w:rPr>
          <w:color w:val="231F20"/>
          <w:spacing w:val="10"/>
          <w:sz w:val="16"/>
        </w:rPr>
        <w:t> </w:t>
      </w:r>
      <w:r>
        <w:rPr>
          <w:color w:val="231F20"/>
          <w:sz w:val="16"/>
        </w:rPr>
        <w:t>to</w:t>
      </w:r>
      <w:r>
        <w:rPr>
          <w:color w:val="231F20"/>
          <w:spacing w:val="10"/>
          <w:sz w:val="16"/>
        </w:rPr>
        <w:t> </w:t>
      </w:r>
      <w:r>
        <w:rPr>
          <w:color w:val="231F20"/>
          <w:spacing w:val="-2"/>
          <w:sz w:val="16"/>
        </w:rPr>
        <w:t>report.</w:t>
      </w:r>
    </w:p>
    <w:p>
      <w:pPr>
        <w:spacing w:line="232" w:lineRule="auto" w:before="6"/>
        <w:ind w:left="256" w:right="41" w:firstLine="159"/>
        <w:jc w:val="both"/>
        <w:rPr>
          <w:sz w:val="16"/>
        </w:rPr>
      </w:pPr>
      <w:r>
        <w:rPr>
          <w:color w:val="231F20"/>
          <w:w w:val="105"/>
          <w:sz w:val="16"/>
        </w:rPr>
        <w:t>Published</w:t>
      </w:r>
      <w:r>
        <w:rPr>
          <w:color w:val="231F20"/>
          <w:w w:val="105"/>
          <w:sz w:val="16"/>
        </w:rPr>
        <w:t> online</w:t>
      </w:r>
      <w:r>
        <w:rPr>
          <w:color w:val="231F20"/>
          <w:w w:val="105"/>
          <w:sz w:val="16"/>
        </w:rPr>
        <w:t> 3</w:t>
      </w:r>
      <w:r>
        <w:rPr>
          <w:color w:val="231F20"/>
          <w:w w:val="105"/>
          <w:sz w:val="16"/>
        </w:rPr>
        <w:t> September 2010</w:t>
      </w:r>
      <w:r>
        <w:rPr>
          <w:color w:val="231F20"/>
          <w:w w:val="105"/>
          <w:sz w:val="16"/>
        </w:rPr>
        <w:t> in</w:t>
      </w:r>
      <w:r>
        <w:rPr>
          <w:color w:val="231F20"/>
          <w:w w:val="105"/>
          <w:sz w:val="16"/>
        </w:rPr>
        <w:t> Wiley Online </w:t>
      </w:r>
      <w:r>
        <w:rPr>
          <w:color w:val="231F20"/>
          <w:w w:val="105"/>
          <w:sz w:val="16"/>
        </w:rPr>
        <w:t>Library (wileyonlinelibrary.com).</w:t>
      </w:r>
      <w:r>
        <w:rPr>
          <w:color w:val="231F20"/>
          <w:spacing w:val="40"/>
          <w:w w:val="105"/>
          <w:sz w:val="16"/>
        </w:rPr>
        <w:t> </w:t>
      </w:r>
      <w:r>
        <w:rPr>
          <w:color w:val="231F20"/>
          <w:w w:val="105"/>
          <w:sz w:val="16"/>
        </w:rPr>
        <w:t>DOI: 10.1002/mds.23333</w:t>
      </w:r>
    </w:p>
    <w:p>
      <w:pPr>
        <w:spacing w:line="240" w:lineRule="auto" w:before="1" w:after="24"/>
        <w:rPr>
          <w:sz w:val="8"/>
        </w:rPr>
      </w:pPr>
      <w:r>
        <w:rPr/>
        <w:br w:type="column"/>
      </w:r>
      <w:r>
        <w:rPr>
          <w:sz w:val="8"/>
        </w:rPr>
      </w:r>
    </w:p>
    <w:p>
      <w:pPr>
        <w:pStyle w:val="BodyText"/>
        <w:ind w:left="346"/>
        <w:rPr>
          <w:sz w:val="20"/>
        </w:rPr>
      </w:pPr>
      <w:r>
        <w:rPr>
          <w:sz w:val="20"/>
        </w:rPr>
        <w:drawing>
          <wp:inline distT="0" distB="0" distL="0" distR="0">
            <wp:extent cx="2785386" cy="4777740"/>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1" cstate="print"/>
                    <a:stretch>
                      <a:fillRect/>
                    </a:stretch>
                  </pic:blipFill>
                  <pic:spPr>
                    <a:xfrm>
                      <a:off x="0" y="0"/>
                      <a:ext cx="2785386" cy="4777740"/>
                    </a:xfrm>
                    <a:prstGeom prst="rect">
                      <a:avLst/>
                    </a:prstGeom>
                  </pic:spPr>
                </pic:pic>
              </a:graphicData>
            </a:graphic>
          </wp:inline>
        </w:drawing>
      </w:r>
      <w:r>
        <w:rPr>
          <w:sz w:val="20"/>
        </w:rPr>
      </w:r>
    </w:p>
    <w:p>
      <w:pPr>
        <w:spacing w:line="232" w:lineRule="auto" w:before="91"/>
        <w:ind w:left="256" w:right="216" w:firstLine="0"/>
        <w:jc w:val="both"/>
        <w:rPr>
          <w:sz w:val="16"/>
        </w:rPr>
      </w:pPr>
      <w:r>
        <w:rPr>
          <w:color w:val="231F20"/>
          <w:sz w:val="16"/>
        </w:rPr>
        <w:t>FIG. 1.</w:t>
      </w:r>
      <w:r>
        <w:rPr>
          <w:color w:val="231F20"/>
          <w:spacing w:val="40"/>
          <w:sz w:val="16"/>
        </w:rPr>
        <w:t> </w:t>
      </w:r>
      <w:r>
        <w:rPr>
          <w:color w:val="231F20"/>
          <w:sz w:val="16"/>
        </w:rPr>
        <w:t>A: Right foot step cycle during OFF (above) and ON </w:t>
      </w:r>
      <w:r>
        <w:rPr>
          <w:color w:val="231F20"/>
          <w:sz w:val="16"/>
        </w:rPr>
        <w:t>stimu-</w:t>
      </w:r>
      <w:r>
        <w:rPr>
          <w:color w:val="231F20"/>
          <w:spacing w:val="40"/>
          <w:sz w:val="16"/>
        </w:rPr>
        <w:t> </w:t>
      </w:r>
      <w:r>
        <w:rPr>
          <w:color w:val="231F20"/>
          <w:sz w:val="16"/>
        </w:rPr>
        <w:t>lation (below). During OFF stimulation, the anterior tibialis is acti-</w:t>
      </w:r>
      <w:r>
        <w:rPr>
          <w:color w:val="231F20"/>
          <w:spacing w:val="40"/>
          <w:sz w:val="16"/>
        </w:rPr>
        <w:t> </w:t>
      </w:r>
      <w:r>
        <w:rPr>
          <w:color w:val="231F20"/>
          <w:sz w:val="16"/>
        </w:rPr>
        <w:t>vated</w:t>
      </w:r>
      <w:r>
        <w:rPr>
          <w:color w:val="231F20"/>
          <w:spacing w:val="33"/>
          <w:sz w:val="16"/>
        </w:rPr>
        <w:t> </w:t>
      </w:r>
      <w:r>
        <w:rPr>
          <w:color w:val="231F20"/>
          <w:sz w:val="16"/>
        </w:rPr>
        <w:t>just</w:t>
      </w:r>
      <w:r>
        <w:rPr>
          <w:color w:val="231F20"/>
          <w:spacing w:val="32"/>
          <w:sz w:val="16"/>
        </w:rPr>
        <w:t> </w:t>
      </w:r>
      <w:r>
        <w:rPr>
          <w:color w:val="231F20"/>
          <w:sz w:val="16"/>
        </w:rPr>
        <w:t>once</w:t>
      </w:r>
      <w:r>
        <w:rPr>
          <w:color w:val="231F20"/>
          <w:spacing w:val="33"/>
          <w:sz w:val="16"/>
        </w:rPr>
        <w:t> </w:t>
      </w:r>
      <w:r>
        <w:rPr>
          <w:color w:val="231F20"/>
          <w:sz w:val="16"/>
        </w:rPr>
        <w:t>along</w:t>
      </w:r>
      <w:r>
        <w:rPr>
          <w:color w:val="231F20"/>
          <w:spacing w:val="32"/>
          <w:sz w:val="16"/>
        </w:rPr>
        <w:t> </w:t>
      </w:r>
      <w:r>
        <w:rPr>
          <w:color w:val="231F20"/>
          <w:sz w:val="16"/>
        </w:rPr>
        <w:t>the</w:t>
      </w:r>
      <w:r>
        <w:rPr>
          <w:color w:val="231F20"/>
          <w:spacing w:val="33"/>
          <w:sz w:val="16"/>
        </w:rPr>
        <w:t> </w:t>
      </w:r>
      <w:r>
        <w:rPr>
          <w:color w:val="231F20"/>
          <w:sz w:val="16"/>
        </w:rPr>
        <w:t>swing</w:t>
      </w:r>
      <w:r>
        <w:rPr>
          <w:color w:val="231F20"/>
          <w:spacing w:val="32"/>
          <w:sz w:val="16"/>
        </w:rPr>
        <w:t> </w:t>
      </w:r>
      <w:r>
        <w:rPr>
          <w:color w:val="231F20"/>
          <w:sz w:val="16"/>
        </w:rPr>
        <w:t>phase</w:t>
      </w:r>
      <w:r>
        <w:rPr>
          <w:color w:val="231F20"/>
          <w:spacing w:val="32"/>
          <w:sz w:val="16"/>
        </w:rPr>
        <w:t> </w:t>
      </w:r>
      <w:r>
        <w:rPr>
          <w:color w:val="231F20"/>
          <w:sz w:val="16"/>
        </w:rPr>
        <w:t>(arrow).</w:t>
      </w:r>
      <w:r>
        <w:rPr>
          <w:color w:val="231F20"/>
          <w:spacing w:val="32"/>
          <w:sz w:val="16"/>
        </w:rPr>
        <w:t> </w:t>
      </w:r>
      <w:r>
        <w:rPr>
          <w:color w:val="231F20"/>
          <w:sz w:val="16"/>
        </w:rPr>
        <w:t>The</w:t>
      </w:r>
      <w:r>
        <w:rPr>
          <w:color w:val="231F20"/>
          <w:spacing w:val="33"/>
          <w:sz w:val="16"/>
        </w:rPr>
        <w:t> </w:t>
      </w:r>
      <w:r>
        <w:rPr>
          <w:color w:val="231F20"/>
          <w:sz w:val="16"/>
        </w:rPr>
        <w:t>contraction</w:t>
      </w:r>
      <w:r>
        <w:rPr>
          <w:color w:val="231F20"/>
          <w:spacing w:val="31"/>
          <w:sz w:val="16"/>
        </w:rPr>
        <w:t> </w:t>
      </w:r>
      <w:r>
        <w:rPr>
          <w:color w:val="231F20"/>
          <w:sz w:val="16"/>
        </w:rPr>
        <w:t>of</w:t>
      </w:r>
      <w:r>
        <w:rPr>
          <w:color w:val="231F20"/>
          <w:spacing w:val="40"/>
          <w:sz w:val="16"/>
        </w:rPr>
        <w:t> </w:t>
      </w:r>
      <w:r>
        <w:rPr>
          <w:color w:val="231F20"/>
          <w:sz w:val="16"/>
        </w:rPr>
        <w:t>the</w:t>
      </w:r>
      <w:r>
        <w:rPr>
          <w:color w:val="231F20"/>
          <w:spacing w:val="29"/>
          <w:sz w:val="16"/>
        </w:rPr>
        <w:t> </w:t>
      </w:r>
      <w:r>
        <w:rPr>
          <w:color w:val="231F20"/>
          <w:sz w:val="16"/>
        </w:rPr>
        <w:t>muscle</w:t>
      </w:r>
      <w:r>
        <w:rPr>
          <w:color w:val="231F20"/>
          <w:spacing w:val="28"/>
          <w:sz w:val="16"/>
        </w:rPr>
        <w:t> </w:t>
      </w:r>
      <w:r>
        <w:rPr>
          <w:color w:val="231F20"/>
          <w:sz w:val="16"/>
        </w:rPr>
        <w:t>is</w:t>
      </w:r>
      <w:r>
        <w:rPr>
          <w:color w:val="231F20"/>
          <w:spacing w:val="29"/>
          <w:sz w:val="16"/>
        </w:rPr>
        <w:t> </w:t>
      </w:r>
      <w:r>
        <w:rPr>
          <w:color w:val="231F20"/>
          <w:sz w:val="16"/>
        </w:rPr>
        <w:t>vigorous</w:t>
      </w:r>
      <w:r>
        <w:rPr>
          <w:color w:val="231F20"/>
          <w:spacing w:val="29"/>
          <w:sz w:val="16"/>
        </w:rPr>
        <w:t> </w:t>
      </w:r>
      <w:r>
        <w:rPr>
          <w:color w:val="231F20"/>
          <w:sz w:val="16"/>
        </w:rPr>
        <w:t>in</w:t>
      </w:r>
      <w:r>
        <w:rPr>
          <w:color w:val="231F20"/>
          <w:spacing w:val="28"/>
          <w:sz w:val="16"/>
        </w:rPr>
        <w:t> </w:t>
      </w:r>
      <w:r>
        <w:rPr>
          <w:color w:val="231F20"/>
          <w:sz w:val="16"/>
        </w:rPr>
        <w:t>amplitude</w:t>
      </w:r>
      <w:r>
        <w:rPr>
          <w:color w:val="231F20"/>
          <w:spacing w:val="28"/>
          <w:sz w:val="16"/>
        </w:rPr>
        <w:t> </w:t>
      </w:r>
      <w:r>
        <w:rPr>
          <w:color w:val="231F20"/>
          <w:sz w:val="16"/>
        </w:rPr>
        <w:t>and</w:t>
      </w:r>
      <w:r>
        <w:rPr>
          <w:color w:val="231F20"/>
          <w:spacing w:val="29"/>
          <w:sz w:val="16"/>
        </w:rPr>
        <w:t> </w:t>
      </w:r>
      <w:r>
        <w:rPr>
          <w:color w:val="231F20"/>
          <w:sz w:val="16"/>
        </w:rPr>
        <w:t>occurred</w:t>
      </w:r>
      <w:r>
        <w:rPr>
          <w:color w:val="231F20"/>
          <w:spacing w:val="28"/>
          <w:sz w:val="16"/>
        </w:rPr>
        <w:t> </w:t>
      </w:r>
      <w:r>
        <w:rPr>
          <w:color w:val="231F20"/>
          <w:sz w:val="16"/>
        </w:rPr>
        <w:t>in</w:t>
      </w:r>
      <w:r>
        <w:rPr>
          <w:color w:val="231F20"/>
          <w:spacing w:val="29"/>
          <w:sz w:val="16"/>
        </w:rPr>
        <w:t> </w:t>
      </w:r>
      <w:r>
        <w:rPr>
          <w:color w:val="231F20"/>
          <w:sz w:val="16"/>
        </w:rPr>
        <w:t>the</w:t>
      </w:r>
      <w:r>
        <w:rPr>
          <w:color w:val="231F20"/>
          <w:spacing w:val="28"/>
          <w:sz w:val="16"/>
        </w:rPr>
        <w:t> </w:t>
      </w:r>
      <w:r>
        <w:rPr>
          <w:color w:val="231F20"/>
          <w:sz w:val="16"/>
        </w:rPr>
        <w:t>middle</w:t>
      </w:r>
      <w:r>
        <w:rPr>
          <w:color w:val="231F20"/>
          <w:spacing w:val="29"/>
          <w:sz w:val="16"/>
        </w:rPr>
        <w:t> </w:t>
      </w:r>
      <w:r>
        <w:rPr>
          <w:color w:val="231F20"/>
          <w:sz w:val="16"/>
        </w:rPr>
        <w:t>of</w:t>
      </w:r>
      <w:r>
        <w:rPr>
          <w:color w:val="231F20"/>
          <w:spacing w:val="40"/>
          <w:sz w:val="16"/>
        </w:rPr>
        <w:t> </w:t>
      </w:r>
      <w:r>
        <w:rPr>
          <w:color w:val="231F20"/>
          <w:sz w:val="16"/>
        </w:rPr>
        <w:t>the</w:t>
      </w:r>
      <w:r>
        <w:rPr>
          <w:color w:val="231F20"/>
          <w:spacing w:val="14"/>
          <w:sz w:val="16"/>
        </w:rPr>
        <w:t> </w:t>
      </w:r>
      <w:r>
        <w:rPr>
          <w:color w:val="231F20"/>
          <w:sz w:val="16"/>
        </w:rPr>
        <w:t>phase.</w:t>
      </w:r>
      <w:r>
        <w:rPr>
          <w:color w:val="231F20"/>
          <w:spacing w:val="14"/>
          <w:sz w:val="16"/>
        </w:rPr>
        <w:t> </w:t>
      </w:r>
      <w:r>
        <w:rPr>
          <w:color w:val="231F20"/>
          <w:sz w:val="16"/>
        </w:rPr>
        <w:t>During</w:t>
      </w:r>
      <w:r>
        <w:rPr>
          <w:color w:val="231F20"/>
          <w:spacing w:val="14"/>
          <w:sz w:val="16"/>
        </w:rPr>
        <w:t> </w:t>
      </w:r>
      <w:r>
        <w:rPr>
          <w:color w:val="231F20"/>
          <w:sz w:val="16"/>
        </w:rPr>
        <w:t>foot</w:t>
      </w:r>
      <w:r>
        <w:rPr>
          <w:color w:val="231F20"/>
          <w:spacing w:val="14"/>
          <w:sz w:val="16"/>
        </w:rPr>
        <w:t> </w:t>
      </w:r>
      <w:r>
        <w:rPr>
          <w:color w:val="231F20"/>
          <w:sz w:val="16"/>
        </w:rPr>
        <w:t>contact,</w:t>
      </w:r>
      <w:r>
        <w:rPr>
          <w:color w:val="231F20"/>
          <w:spacing w:val="14"/>
          <w:sz w:val="16"/>
        </w:rPr>
        <w:t> </w:t>
      </w:r>
      <w:r>
        <w:rPr>
          <w:color w:val="231F20"/>
          <w:sz w:val="16"/>
        </w:rPr>
        <w:t>the</w:t>
      </w:r>
      <w:r>
        <w:rPr>
          <w:color w:val="231F20"/>
          <w:spacing w:val="14"/>
          <w:sz w:val="16"/>
        </w:rPr>
        <w:t> </w:t>
      </w:r>
      <w:r>
        <w:rPr>
          <w:color w:val="231F20"/>
          <w:sz w:val="16"/>
        </w:rPr>
        <w:t>muscle</w:t>
      </w:r>
      <w:r>
        <w:rPr>
          <w:color w:val="231F20"/>
          <w:spacing w:val="14"/>
          <w:sz w:val="16"/>
        </w:rPr>
        <w:t> </w:t>
      </w:r>
      <w:r>
        <w:rPr>
          <w:color w:val="231F20"/>
          <w:sz w:val="16"/>
        </w:rPr>
        <w:t>shows</w:t>
      </w:r>
      <w:r>
        <w:rPr>
          <w:color w:val="231F20"/>
          <w:spacing w:val="14"/>
          <w:sz w:val="16"/>
        </w:rPr>
        <w:t> </w:t>
      </w:r>
      <w:r>
        <w:rPr>
          <w:color w:val="231F20"/>
          <w:sz w:val="16"/>
        </w:rPr>
        <w:t>several</w:t>
      </w:r>
      <w:r>
        <w:rPr>
          <w:color w:val="231F20"/>
          <w:spacing w:val="14"/>
          <w:sz w:val="16"/>
        </w:rPr>
        <w:t> </w:t>
      </w:r>
      <w:r>
        <w:rPr>
          <w:color w:val="231F20"/>
          <w:sz w:val="16"/>
        </w:rPr>
        <w:t>bursts</w:t>
      </w:r>
      <w:r>
        <w:rPr>
          <w:color w:val="231F20"/>
          <w:spacing w:val="14"/>
          <w:sz w:val="16"/>
        </w:rPr>
        <w:t> </w:t>
      </w:r>
      <w:r>
        <w:rPr>
          <w:color w:val="231F20"/>
          <w:sz w:val="16"/>
        </w:rPr>
        <w:t>with</w:t>
      </w:r>
      <w:r>
        <w:rPr>
          <w:color w:val="231F20"/>
          <w:spacing w:val="40"/>
          <w:sz w:val="16"/>
        </w:rPr>
        <w:t> </w:t>
      </w:r>
      <w:r>
        <w:rPr>
          <w:color w:val="231F20"/>
          <w:sz w:val="16"/>
        </w:rPr>
        <w:t>a</w:t>
      </w:r>
      <w:r>
        <w:rPr>
          <w:color w:val="231F20"/>
          <w:spacing w:val="40"/>
          <w:sz w:val="16"/>
        </w:rPr>
        <w:t> </w:t>
      </w:r>
      <w:r>
        <w:rPr>
          <w:color w:val="231F20"/>
          <w:sz w:val="16"/>
        </w:rPr>
        <w:t>frequency</w:t>
      </w:r>
      <w:r>
        <w:rPr>
          <w:color w:val="231F20"/>
          <w:spacing w:val="40"/>
          <w:sz w:val="16"/>
        </w:rPr>
        <w:t> </w:t>
      </w:r>
      <w:r>
        <w:rPr>
          <w:color w:val="231F20"/>
          <w:sz w:val="16"/>
        </w:rPr>
        <w:t>similar</w:t>
      </w:r>
      <w:r>
        <w:rPr>
          <w:color w:val="231F20"/>
          <w:spacing w:val="40"/>
          <w:sz w:val="16"/>
        </w:rPr>
        <w:t> </w:t>
      </w:r>
      <w:r>
        <w:rPr>
          <w:color w:val="231F20"/>
          <w:sz w:val="16"/>
        </w:rPr>
        <w:t>to</w:t>
      </w:r>
      <w:r>
        <w:rPr>
          <w:color w:val="231F20"/>
          <w:spacing w:val="40"/>
          <w:sz w:val="16"/>
        </w:rPr>
        <w:t> </w:t>
      </w:r>
      <w:r>
        <w:rPr>
          <w:color w:val="231F20"/>
          <w:sz w:val="16"/>
        </w:rPr>
        <w:t>OT.</w:t>
      </w:r>
      <w:r>
        <w:rPr>
          <w:color w:val="231F20"/>
          <w:spacing w:val="40"/>
          <w:sz w:val="16"/>
        </w:rPr>
        <w:t> </w:t>
      </w:r>
      <w:r>
        <w:rPr>
          <w:color w:val="231F20"/>
          <w:sz w:val="16"/>
        </w:rPr>
        <w:t>However,</w:t>
      </w:r>
      <w:r>
        <w:rPr>
          <w:color w:val="231F20"/>
          <w:spacing w:val="40"/>
          <w:sz w:val="16"/>
        </w:rPr>
        <w:t> </w:t>
      </w:r>
      <w:r>
        <w:rPr>
          <w:color w:val="231F20"/>
          <w:sz w:val="16"/>
        </w:rPr>
        <w:t>during</w:t>
      </w:r>
      <w:r>
        <w:rPr>
          <w:color w:val="231F20"/>
          <w:spacing w:val="40"/>
          <w:sz w:val="16"/>
        </w:rPr>
        <w:t> </w:t>
      </w:r>
      <w:r>
        <w:rPr>
          <w:color w:val="231F20"/>
          <w:sz w:val="16"/>
        </w:rPr>
        <w:t>ON</w:t>
      </w:r>
      <w:r>
        <w:rPr>
          <w:color w:val="231F20"/>
          <w:spacing w:val="40"/>
          <w:sz w:val="16"/>
        </w:rPr>
        <w:t> </w:t>
      </w:r>
      <w:r>
        <w:rPr>
          <w:color w:val="231F20"/>
          <w:sz w:val="16"/>
        </w:rPr>
        <w:t>stimulation,</w:t>
      </w:r>
      <w:r>
        <w:rPr>
          <w:color w:val="231F20"/>
          <w:spacing w:val="40"/>
          <w:sz w:val="16"/>
        </w:rPr>
        <w:t> </w:t>
      </w:r>
      <w:r>
        <w:rPr>
          <w:color w:val="231F20"/>
          <w:sz w:val="16"/>
        </w:rPr>
        <w:t>the</w:t>
      </w:r>
      <w:r>
        <w:rPr>
          <w:color w:val="231F20"/>
          <w:spacing w:val="40"/>
          <w:sz w:val="16"/>
        </w:rPr>
        <w:t> </w:t>
      </w:r>
      <w:r>
        <w:rPr>
          <w:color w:val="231F20"/>
          <w:sz w:val="16"/>
        </w:rPr>
        <w:t>same muscle is activated twice along the swing phase and is almost</w:t>
      </w:r>
      <w:r>
        <w:rPr>
          <w:color w:val="231F20"/>
          <w:spacing w:val="40"/>
          <w:sz w:val="16"/>
        </w:rPr>
        <w:t> </w:t>
      </w:r>
      <w:r>
        <w:rPr>
          <w:color w:val="231F20"/>
          <w:sz w:val="16"/>
        </w:rPr>
        <w:t>silence during foot contact. B: EMG tremor amplitude of the right</w:t>
      </w:r>
      <w:r>
        <w:rPr>
          <w:color w:val="231F20"/>
          <w:spacing w:val="40"/>
          <w:sz w:val="16"/>
        </w:rPr>
        <w:t> </w:t>
      </w:r>
      <w:r>
        <w:rPr>
          <w:color w:val="231F20"/>
          <w:sz w:val="16"/>
        </w:rPr>
        <w:t>anterior tibialis during OFF and ON stimulation and with the eyes</w:t>
      </w:r>
      <w:r>
        <w:rPr>
          <w:color w:val="231F20"/>
          <w:spacing w:val="40"/>
          <w:sz w:val="16"/>
        </w:rPr>
        <w:t> </w:t>
      </w:r>
      <w:r>
        <w:rPr>
          <w:color w:val="231F20"/>
          <w:sz w:val="16"/>
        </w:rPr>
        <w:t>opened and closed (the patient was standing). With the eyes closed,</w:t>
      </w:r>
      <w:r>
        <w:rPr>
          <w:color w:val="231F20"/>
          <w:spacing w:val="80"/>
          <w:sz w:val="16"/>
        </w:rPr>
        <w:t> </w:t>
      </w:r>
      <w:r>
        <w:rPr>
          <w:color w:val="231F20"/>
          <w:sz w:val="16"/>
        </w:rPr>
        <w:t>the</w:t>
      </w:r>
      <w:r>
        <w:rPr>
          <w:color w:val="231F20"/>
          <w:spacing w:val="38"/>
          <w:sz w:val="16"/>
        </w:rPr>
        <w:t> </w:t>
      </w:r>
      <w:r>
        <w:rPr>
          <w:color w:val="231F20"/>
          <w:sz w:val="16"/>
        </w:rPr>
        <w:t>amplitude</w:t>
      </w:r>
      <w:r>
        <w:rPr>
          <w:color w:val="231F20"/>
          <w:spacing w:val="38"/>
          <w:sz w:val="16"/>
        </w:rPr>
        <w:t> </w:t>
      </w:r>
      <w:r>
        <w:rPr>
          <w:color w:val="231F20"/>
          <w:sz w:val="16"/>
        </w:rPr>
        <w:t>of</w:t>
      </w:r>
      <w:r>
        <w:rPr>
          <w:color w:val="231F20"/>
          <w:spacing w:val="38"/>
          <w:sz w:val="16"/>
        </w:rPr>
        <w:t> </w:t>
      </w:r>
      <w:r>
        <w:rPr>
          <w:color w:val="231F20"/>
          <w:sz w:val="16"/>
        </w:rPr>
        <w:t>the</w:t>
      </w:r>
      <w:r>
        <w:rPr>
          <w:color w:val="231F20"/>
          <w:spacing w:val="38"/>
          <w:sz w:val="16"/>
        </w:rPr>
        <w:t> </w:t>
      </w:r>
      <w:r>
        <w:rPr>
          <w:color w:val="231F20"/>
          <w:sz w:val="16"/>
        </w:rPr>
        <w:t>tremor</w:t>
      </w:r>
      <w:r>
        <w:rPr>
          <w:color w:val="231F20"/>
          <w:spacing w:val="38"/>
          <w:sz w:val="16"/>
        </w:rPr>
        <w:t> </w:t>
      </w:r>
      <w:r>
        <w:rPr>
          <w:color w:val="231F20"/>
          <w:sz w:val="16"/>
        </w:rPr>
        <w:t>was</w:t>
      </w:r>
      <w:r>
        <w:rPr>
          <w:color w:val="231F20"/>
          <w:spacing w:val="39"/>
          <w:sz w:val="16"/>
        </w:rPr>
        <w:t> </w:t>
      </w:r>
      <w:r>
        <w:rPr>
          <w:color w:val="231F20"/>
          <w:sz w:val="16"/>
        </w:rPr>
        <w:t>higher</w:t>
      </w:r>
      <w:r>
        <w:rPr>
          <w:color w:val="231F20"/>
          <w:spacing w:val="38"/>
          <w:sz w:val="16"/>
        </w:rPr>
        <w:t> </w:t>
      </w:r>
      <w:r>
        <w:rPr>
          <w:color w:val="231F20"/>
          <w:sz w:val="16"/>
        </w:rPr>
        <w:t>(</w:t>
      </w:r>
      <w:r>
        <w:rPr>
          <w:i/>
          <w:color w:val="231F20"/>
          <w:sz w:val="16"/>
        </w:rPr>
        <w:t>P</w:t>
      </w:r>
      <w:r>
        <w:rPr>
          <w:i/>
          <w:color w:val="231F20"/>
          <w:spacing w:val="38"/>
          <w:sz w:val="16"/>
        </w:rPr>
        <w:t> </w:t>
      </w:r>
      <w:r>
        <w:rPr>
          <w:rFonts w:ascii="Arial"/>
          <w:color w:val="231F20"/>
          <w:sz w:val="16"/>
        </w:rPr>
        <w:t>&lt;</w:t>
      </w:r>
      <w:r>
        <w:rPr>
          <w:rFonts w:ascii="Arial"/>
          <w:color w:val="231F20"/>
          <w:spacing w:val="34"/>
          <w:sz w:val="16"/>
        </w:rPr>
        <w:t> </w:t>
      </w:r>
      <w:r>
        <w:rPr>
          <w:color w:val="231F20"/>
          <w:sz w:val="16"/>
        </w:rPr>
        <w:t>0.01)</w:t>
      </w:r>
      <w:r>
        <w:rPr>
          <w:color w:val="231F20"/>
          <w:spacing w:val="38"/>
          <w:sz w:val="16"/>
        </w:rPr>
        <w:t> </w:t>
      </w:r>
      <w:r>
        <w:rPr>
          <w:color w:val="231F20"/>
          <w:sz w:val="16"/>
        </w:rPr>
        <w:t>than</w:t>
      </w:r>
      <w:r>
        <w:rPr>
          <w:color w:val="231F20"/>
          <w:spacing w:val="38"/>
          <w:sz w:val="16"/>
        </w:rPr>
        <w:t> </w:t>
      </w:r>
      <w:r>
        <w:rPr>
          <w:color w:val="231F20"/>
          <w:sz w:val="16"/>
        </w:rPr>
        <w:t>with</w:t>
      </w:r>
      <w:r>
        <w:rPr>
          <w:color w:val="231F20"/>
          <w:spacing w:val="39"/>
          <w:sz w:val="16"/>
        </w:rPr>
        <w:t> </w:t>
      </w:r>
      <w:r>
        <w:rPr>
          <w:color w:val="231F20"/>
          <w:sz w:val="16"/>
        </w:rPr>
        <w:t>the</w:t>
      </w:r>
      <w:r>
        <w:rPr>
          <w:color w:val="231F20"/>
          <w:spacing w:val="40"/>
          <w:sz w:val="16"/>
        </w:rPr>
        <w:t> </w:t>
      </w:r>
      <w:r>
        <w:rPr>
          <w:color w:val="231F20"/>
          <w:sz w:val="16"/>
        </w:rPr>
        <w:t>eyes opened during OFF and ON stimulation (1 second calculated).</w:t>
      </w:r>
    </w:p>
    <w:p>
      <w:pPr>
        <w:pStyle w:val="BodyText"/>
        <w:spacing w:before="35"/>
        <w:rPr>
          <w:sz w:val="16"/>
        </w:rPr>
      </w:pPr>
    </w:p>
    <w:p>
      <w:pPr>
        <w:pStyle w:val="BodyText"/>
        <w:spacing w:line="230" w:lineRule="auto"/>
        <w:ind w:left="256" w:right="217"/>
        <w:jc w:val="both"/>
      </w:pPr>
      <w:r>
        <w:rPr>
          <w:color w:val="231F20"/>
          <w:w w:val="105"/>
        </w:rPr>
        <w:t>year</w:t>
      </w:r>
      <w:r>
        <w:rPr>
          <w:color w:val="231F20"/>
          <w:w w:val="105"/>
        </w:rPr>
        <w:t> after</w:t>
      </w:r>
      <w:r>
        <w:rPr>
          <w:color w:val="231F20"/>
          <w:w w:val="105"/>
        </w:rPr>
        <w:t> DBS</w:t>
      </w:r>
      <w:r>
        <w:rPr>
          <w:color w:val="231F20"/>
          <w:w w:val="105"/>
        </w:rPr>
        <w:t> implantation</w:t>
      </w:r>
      <w:r>
        <w:rPr>
          <w:color w:val="231F20"/>
          <w:w w:val="105"/>
        </w:rPr>
        <w:t> (bipolar,</w:t>
      </w:r>
      <w:r>
        <w:rPr>
          <w:color w:val="231F20"/>
          <w:w w:val="105"/>
        </w:rPr>
        <w:t> 185</w:t>
      </w:r>
      <w:r>
        <w:rPr>
          <w:color w:val="231F20"/>
          <w:w w:val="105"/>
        </w:rPr>
        <w:t> Hz,</w:t>
      </w:r>
      <w:r>
        <w:rPr>
          <w:color w:val="231F20"/>
          <w:w w:val="105"/>
        </w:rPr>
        <w:t> 90</w:t>
      </w:r>
      <w:r>
        <w:rPr>
          <w:color w:val="231F20"/>
          <w:w w:val="105"/>
        </w:rPr>
        <w:t> ls)</w:t>
      </w:r>
      <w:r>
        <w:rPr>
          <w:color w:val="231F20"/>
          <w:w w:val="105"/>
        </w:rPr>
        <w:t> </w:t>
      </w:r>
      <w:r>
        <w:rPr>
          <w:color w:val="231F20"/>
          <w:w w:val="105"/>
        </w:rPr>
        <w:t>the patient</w:t>
      </w:r>
      <w:r>
        <w:rPr>
          <w:color w:val="231F20"/>
          <w:spacing w:val="-12"/>
          <w:w w:val="105"/>
        </w:rPr>
        <w:t> </w:t>
      </w:r>
      <w:r>
        <w:rPr>
          <w:color w:val="231F20"/>
          <w:w w:val="105"/>
        </w:rPr>
        <w:t>could</w:t>
      </w:r>
      <w:r>
        <w:rPr>
          <w:color w:val="231F20"/>
          <w:spacing w:val="-12"/>
          <w:w w:val="105"/>
        </w:rPr>
        <w:t> </w:t>
      </w:r>
      <w:r>
        <w:rPr>
          <w:color w:val="231F20"/>
          <w:w w:val="105"/>
        </w:rPr>
        <w:t>stand</w:t>
      </w:r>
      <w:r>
        <w:rPr>
          <w:color w:val="231F20"/>
          <w:spacing w:val="-12"/>
          <w:w w:val="105"/>
        </w:rPr>
        <w:t> </w:t>
      </w:r>
      <w:r>
        <w:rPr>
          <w:color w:val="231F20"/>
          <w:w w:val="105"/>
        </w:rPr>
        <w:t>up</w:t>
      </w:r>
      <w:r>
        <w:rPr>
          <w:color w:val="231F20"/>
          <w:spacing w:val="-12"/>
          <w:w w:val="105"/>
        </w:rPr>
        <w:t> </w:t>
      </w:r>
      <w:r>
        <w:rPr>
          <w:color w:val="231F20"/>
          <w:w w:val="105"/>
        </w:rPr>
        <w:t>normally</w:t>
      </w:r>
      <w:r>
        <w:rPr>
          <w:color w:val="231F20"/>
          <w:spacing w:val="-12"/>
          <w:w w:val="105"/>
        </w:rPr>
        <w:t> </w:t>
      </w:r>
      <w:r>
        <w:rPr>
          <w:color w:val="231F20"/>
          <w:w w:val="105"/>
        </w:rPr>
        <w:t>without</w:t>
      </w:r>
      <w:r>
        <w:rPr>
          <w:color w:val="231F20"/>
          <w:spacing w:val="-11"/>
          <w:w w:val="105"/>
        </w:rPr>
        <w:t> </w:t>
      </w:r>
      <w:r>
        <w:rPr>
          <w:color w:val="231F20"/>
          <w:w w:val="105"/>
        </w:rPr>
        <w:t>any</w:t>
      </w:r>
      <w:r>
        <w:rPr>
          <w:color w:val="231F20"/>
          <w:spacing w:val="-12"/>
          <w:w w:val="105"/>
        </w:rPr>
        <w:t> </w:t>
      </w:r>
      <w:r>
        <w:rPr>
          <w:color w:val="231F20"/>
          <w:w w:val="105"/>
        </w:rPr>
        <w:t>help</w:t>
      </w:r>
      <w:r>
        <w:rPr>
          <w:color w:val="231F20"/>
          <w:spacing w:val="-12"/>
          <w:w w:val="105"/>
        </w:rPr>
        <w:t> </w:t>
      </w:r>
      <w:r>
        <w:rPr>
          <w:color w:val="231F20"/>
          <w:w w:val="105"/>
        </w:rPr>
        <w:t>or</w:t>
      </w:r>
      <w:r>
        <w:rPr>
          <w:color w:val="231F20"/>
          <w:spacing w:val="-12"/>
          <w:w w:val="105"/>
        </w:rPr>
        <w:t> </w:t>
      </w:r>
      <w:r>
        <w:rPr>
          <w:color w:val="231F20"/>
          <w:w w:val="105"/>
        </w:rPr>
        <w:t>leg</w:t>
      </w:r>
      <w:r>
        <w:rPr>
          <w:color w:val="231F20"/>
          <w:spacing w:val="-12"/>
          <w:w w:val="105"/>
        </w:rPr>
        <w:t> </w:t>
      </w:r>
      <w:r>
        <w:rPr>
          <w:color w:val="231F20"/>
          <w:w w:val="105"/>
        </w:rPr>
        <w:t>trem- bling.</w:t>
      </w:r>
      <w:r>
        <w:rPr>
          <w:color w:val="231F20"/>
          <w:spacing w:val="-11"/>
          <w:w w:val="105"/>
        </w:rPr>
        <w:t> </w:t>
      </w:r>
      <w:r>
        <w:rPr>
          <w:color w:val="231F20"/>
          <w:w w:val="105"/>
        </w:rPr>
        <w:t>Nevertheless,</w:t>
      </w:r>
      <w:r>
        <w:rPr>
          <w:color w:val="231F20"/>
          <w:spacing w:val="-11"/>
          <w:w w:val="105"/>
        </w:rPr>
        <w:t> </w:t>
      </w:r>
      <w:r>
        <w:rPr>
          <w:color w:val="231F20"/>
          <w:w w:val="105"/>
        </w:rPr>
        <w:t>when</w:t>
      </w:r>
      <w:r>
        <w:rPr>
          <w:color w:val="231F20"/>
          <w:spacing w:val="-11"/>
          <w:w w:val="105"/>
        </w:rPr>
        <w:t> </w:t>
      </w:r>
      <w:r>
        <w:rPr>
          <w:color w:val="231F20"/>
          <w:w w:val="105"/>
        </w:rPr>
        <w:t>the</w:t>
      </w:r>
      <w:r>
        <w:rPr>
          <w:color w:val="231F20"/>
          <w:spacing w:val="-11"/>
          <w:w w:val="105"/>
        </w:rPr>
        <w:t> </w:t>
      </w:r>
      <w:r>
        <w:rPr>
          <w:color w:val="231F20"/>
          <w:w w:val="105"/>
        </w:rPr>
        <w:t>patient</w:t>
      </w:r>
      <w:r>
        <w:rPr>
          <w:color w:val="231F20"/>
          <w:spacing w:val="-10"/>
          <w:w w:val="105"/>
        </w:rPr>
        <w:t> </w:t>
      </w:r>
      <w:r>
        <w:rPr>
          <w:color w:val="231F20"/>
          <w:w w:val="105"/>
        </w:rPr>
        <w:t>walked</w:t>
      </w:r>
      <w:r>
        <w:rPr>
          <w:color w:val="231F20"/>
          <w:spacing w:val="-11"/>
          <w:w w:val="105"/>
        </w:rPr>
        <w:t> </w:t>
      </w:r>
      <w:r>
        <w:rPr>
          <w:color w:val="231F20"/>
          <w:w w:val="105"/>
        </w:rPr>
        <w:t>still</w:t>
      </w:r>
      <w:r>
        <w:rPr>
          <w:color w:val="231F20"/>
          <w:spacing w:val="-11"/>
          <w:w w:val="105"/>
        </w:rPr>
        <w:t> </w:t>
      </w:r>
      <w:r>
        <w:rPr>
          <w:color w:val="231F20"/>
          <w:w w:val="105"/>
        </w:rPr>
        <w:t>remained</w:t>
      </w:r>
      <w:r>
        <w:rPr>
          <w:color w:val="231F20"/>
          <w:spacing w:val="-11"/>
          <w:w w:val="105"/>
        </w:rPr>
        <w:t> </w:t>
      </w:r>
      <w:r>
        <w:rPr>
          <w:color w:val="231F20"/>
          <w:w w:val="105"/>
        </w:rPr>
        <w:t>a </w:t>
      </w:r>
      <w:r>
        <w:rPr>
          <w:color w:val="231F20"/>
          <w:spacing w:val="-2"/>
          <w:w w:val="105"/>
        </w:rPr>
        <w:t>degree</w:t>
      </w:r>
      <w:r>
        <w:rPr>
          <w:color w:val="231F20"/>
          <w:spacing w:val="-3"/>
          <w:w w:val="105"/>
        </w:rPr>
        <w:t> </w:t>
      </w:r>
      <w:r>
        <w:rPr>
          <w:color w:val="231F20"/>
          <w:spacing w:val="-2"/>
          <w:w w:val="105"/>
        </w:rPr>
        <w:t>of</w:t>
      </w:r>
      <w:r>
        <w:rPr>
          <w:color w:val="231F20"/>
          <w:spacing w:val="-3"/>
          <w:w w:val="105"/>
        </w:rPr>
        <w:t> </w:t>
      </w:r>
      <w:r>
        <w:rPr>
          <w:color w:val="231F20"/>
          <w:spacing w:val="-2"/>
          <w:w w:val="105"/>
        </w:rPr>
        <w:t>postural</w:t>
      </w:r>
      <w:r>
        <w:rPr>
          <w:color w:val="231F20"/>
          <w:spacing w:val="-3"/>
          <w:w w:val="105"/>
        </w:rPr>
        <w:t> </w:t>
      </w:r>
      <w:r>
        <w:rPr>
          <w:color w:val="231F20"/>
          <w:spacing w:val="-2"/>
          <w:w w:val="105"/>
        </w:rPr>
        <w:t>instability</w:t>
      </w:r>
      <w:r>
        <w:rPr>
          <w:color w:val="231F20"/>
          <w:spacing w:val="-4"/>
          <w:w w:val="105"/>
        </w:rPr>
        <w:t> </w:t>
      </w:r>
      <w:r>
        <w:rPr>
          <w:color w:val="231F20"/>
          <w:spacing w:val="-2"/>
          <w:w w:val="105"/>
        </w:rPr>
        <w:t>although</w:t>
      </w:r>
      <w:r>
        <w:rPr>
          <w:color w:val="231F20"/>
          <w:spacing w:val="-3"/>
          <w:w w:val="105"/>
        </w:rPr>
        <w:t> </w:t>
      </w:r>
      <w:r>
        <w:rPr>
          <w:color w:val="231F20"/>
          <w:spacing w:val="-2"/>
          <w:w w:val="105"/>
        </w:rPr>
        <w:t>not</w:t>
      </w:r>
      <w:r>
        <w:rPr>
          <w:color w:val="231F20"/>
          <w:spacing w:val="-3"/>
          <w:w w:val="105"/>
        </w:rPr>
        <w:t> </w:t>
      </w:r>
      <w:r>
        <w:rPr>
          <w:color w:val="231F20"/>
          <w:spacing w:val="-2"/>
          <w:w w:val="105"/>
        </w:rPr>
        <w:t>appreciable by</w:t>
      </w:r>
      <w:r>
        <w:rPr>
          <w:color w:val="231F20"/>
          <w:spacing w:val="-3"/>
          <w:w w:val="105"/>
        </w:rPr>
        <w:t> </w:t>
      </w:r>
      <w:r>
        <w:rPr>
          <w:color w:val="231F20"/>
          <w:spacing w:val="-2"/>
          <w:w w:val="105"/>
        </w:rPr>
        <w:t>her. </w:t>
      </w:r>
      <w:r>
        <w:rPr>
          <w:color w:val="231F20"/>
          <w:w w:val="105"/>
        </w:rPr>
        <w:t>For</w:t>
      </w:r>
      <w:r>
        <w:rPr>
          <w:color w:val="231F20"/>
          <w:w w:val="105"/>
        </w:rPr>
        <w:t> gait</w:t>
      </w:r>
      <w:r>
        <w:rPr>
          <w:color w:val="231F20"/>
          <w:w w:val="105"/>
        </w:rPr>
        <w:t> analysis</w:t>
      </w:r>
      <w:r>
        <w:rPr>
          <w:color w:val="231F20"/>
          <w:w w:val="105"/>
        </w:rPr>
        <w:t> (STEP</w:t>
      </w:r>
      <w:r>
        <w:rPr>
          <w:color w:val="231F20"/>
          <w:w w:val="105"/>
        </w:rPr>
        <w:t> 32;</w:t>
      </w:r>
      <w:r>
        <w:rPr>
          <w:color w:val="231F20"/>
          <w:w w:val="105"/>
        </w:rPr>
        <w:t> Demitalia,</w:t>
      </w:r>
      <w:r>
        <w:rPr>
          <w:color w:val="231F20"/>
          <w:w w:val="105"/>
        </w:rPr>
        <w:t> Torino,</w:t>
      </w:r>
      <w:r>
        <w:rPr>
          <w:color w:val="231F20"/>
          <w:w w:val="105"/>
        </w:rPr>
        <w:t> Italy),</w:t>
      </w:r>
      <w:r>
        <w:rPr>
          <w:color w:val="231F20"/>
          <w:w w:val="105"/>
        </w:rPr>
        <w:t> the patient</w:t>
      </w:r>
      <w:r>
        <w:rPr>
          <w:color w:val="231F20"/>
          <w:spacing w:val="-12"/>
          <w:w w:val="105"/>
        </w:rPr>
        <w:t> </w:t>
      </w:r>
      <w:r>
        <w:rPr>
          <w:color w:val="231F20"/>
          <w:w w:val="105"/>
        </w:rPr>
        <w:t>walked</w:t>
      </w:r>
      <w:r>
        <w:rPr>
          <w:color w:val="231F20"/>
          <w:spacing w:val="-11"/>
          <w:w w:val="105"/>
        </w:rPr>
        <w:t> </w:t>
      </w:r>
      <w:r>
        <w:rPr>
          <w:color w:val="231F20"/>
          <w:w w:val="105"/>
        </w:rPr>
        <w:t>along</w:t>
      </w:r>
      <w:r>
        <w:rPr>
          <w:color w:val="231F20"/>
          <w:spacing w:val="-12"/>
          <w:w w:val="105"/>
        </w:rPr>
        <w:t> </w:t>
      </w:r>
      <w:r>
        <w:rPr>
          <w:color w:val="231F20"/>
          <w:w w:val="105"/>
        </w:rPr>
        <w:t>a</w:t>
      </w:r>
      <w:r>
        <w:rPr>
          <w:color w:val="231F20"/>
          <w:spacing w:val="-12"/>
          <w:w w:val="105"/>
        </w:rPr>
        <w:t> </w:t>
      </w:r>
      <w:r>
        <w:rPr>
          <w:color w:val="231F20"/>
          <w:w w:val="105"/>
        </w:rPr>
        <w:t>corridor</w:t>
      </w:r>
      <w:r>
        <w:rPr>
          <w:color w:val="231F20"/>
          <w:spacing w:val="-12"/>
          <w:w w:val="105"/>
        </w:rPr>
        <w:t> </w:t>
      </w:r>
      <w:r>
        <w:rPr>
          <w:color w:val="231F20"/>
          <w:w w:val="105"/>
        </w:rPr>
        <w:t>several</w:t>
      </w:r>
      <w:r>
        <w:rPr>
          <w:color w:val="231F20"/>
          <w:spacing w:val="-11"/>
          <w:w w:val="105"/>
        </w:rPr>
        <w:t> </w:t>
      </w:r>
      <w:r>
        <w:rPr>
          <w:color w:val="231F20"/>
          <w:w w:val="105"/>
        </w:rPr>
        <w:t>times.</w:t>
      </w:r>
      <w:r>
        <w:rPr>
          <w:color w:val="231F20"/>
          <w:spacing w:val="-12"/>
          <w:w w:val="105"/>
        </w:rPr>
        <w:t> </w:t>
      </w:r>
      <w:r>
        <w:rPr>
          <w:color w:val="231F20"/>
          <w:w w:val="105"/>
        </w:rPr>
        <w:t>We</w:t>
      </w:r>
      <w:r>
        <w:rPr>
          <w:color w:val="231F20"/>
          <w:spacing w:val="-12"/>
          <w:w w:val="105"/>
        </w:rPr>
        <w:t> </w:t>
      </w:r>
      <w:r>
        <w:rPr>
          <w:color w:val="231F20"/>
          <w:w w:val="105"/>
        </w:rPr>
        <w:t>studied</w:t>
      </w:r>
      <w:r>
        <w:rPr>
          <w:color w:val="231F20"/>
          <w:spacing w:val="-11"/>
          <w:w w:val="105"/>
        </w:rPr>
        <w:t> </w:t>
      </w:r>
      <w:r>
        <w:rPr>
          <w:color w:val="231F20"/>
          <w:w w:val="105"/>
        </w:rPr>
        <w:t>the </w:t>
      </w:r>
      <w:r>
        <w:rPr>
          <w:color w:val="231F20"/>
          <w:spacing w:val="-2"/>
          <w:w w:val="105"/>
        </w:rPr>
        <w:t>tibialis</w:t>
      </w:r>
      <w:r>
        <w:rPr>
          <w:color w:val="231F20"/>
          <w:spacing w:val="-2"/>
          <w:w w:val="105"/>
        </w:rPr>
        <w:t> anterior,</w:t>
      </w:r>
      <w:r>
        <w:rPr>
          <w:color w:val="231F20"/>
          <w:spacing w:val="-2"/>
          <w:w w:val="105"/>
        </w:rPr>
        <w:t> gastronimius,</w:t>
      </w:r>
      <w:r>
        <w:rPr>
          <w:color w:val="231F20"/>
          <w:spacing w:val="-2"/>
          <w:w w:val="105"/>
        </w:rPr>
        <w:t> rectus</w:t>
      </w:r>
      <w:r>
        <w:rPr>
          <w:color w:val="231F20"/>
          <w:spacing w:val="-2"/>
          <w:w w:val="105"/>
        </w:rPr>
        <w:t> femoris,</w:t>
      </w:r>
      <w:r>
        <w:rPr>
          <w:color w:val="231F20"/>
          <w:spacing w:val="-2"/>
          <w:w w:val="105"/>
        </w:rPr>
        <w:t> biceps</w:t>
      </w:r>
      <w:r>
        <w:rPr>
          <w:color w:val="231F20"/>
          <w:spacing w:val="-2"/>
          <w:w w:val="105"/>
        </w:rPr>
        <w:t> femoris, </w:t>
      </w:r>
      <w:r>
        <w:rPr>
          <w:color w:val="231F20"/>
          <w:w w:val="105"/>
        </w:rPr>
        <w:t>and</w:t>
      </w:r>
      <w:r>
        <w:rPr>
          <w:color w:val="231F20"/>
          <w:spacing w:val="-7"/>
          <w:w w:val="105"/>
        </w:rPr>
        <w:t> </w:t>
      </w:r>
      <w:r>
        <w:rPr>
          <w:color w:val="231F20"/>
          <w:w w:val="105"/>
        </w:rPr>
        <w:t>paraspinal</w:t>
      </w:r>
      <w:r>
        <w:rPr>
          <w:color w:val="231F20"/>
          <w:spacing w:val="-7"/>
          <w:w w:val="105"/>
        </w:rPr>
        <w:t> </w:t>
      </w:r>
      <w:r>
        <w:rPr>
          <w:color w:val="231F20"/>
          <w:w w:val="105"/>
        </w:rPr>
        <w:t>of</w:t>
      </w:r>
      <w:r>
        <w:rPr>
          <w:color w:val="231F20"/>
          <w:spacing w:val="-7"/>
          <w:w w:val="105"/>
        </w:rPr>
        <w:t> </w:t>
      </w:r>
      <w:r>
        <w:rPr>
          <w:color w:val="231F20"/>
          <w:w w:val="105"/>
        </w:rPr>
        <w:t>both</w:t>
      </w:r>
      <w:r>
        <w:rPr>
          <w:color w:val="231F20"/>
          <w:spacing w:val="-8"/>
          <w:w w:val="105"/>
        </w:rPr>
        <w:t> </w:t>
      </w:r>
      <w:r>
        <w:rPr>
          <w:color w:val="231F20"/>
          <w:w w:val="105"/>
        </w:rPr>
        <w:t>sides.</w:t>
      </w:r>
      <w:r>
        <w:rPr>
          <w:color w:val="231F20"/>
          <w:spacing w:val="-7"/>
          <w:w w:val="105"/>
        </w:rPr>
        <w:t> </w:t>
      </w:r>
      <w:r>
        <w:rPr>
          <w:color w:val="231F20"/>
          <w:w w:val="105"/>
        </w:rPr>
        <w:t>The</w:t>
      </w:r>
      <w:r>
        <w:rPr>
          <w:color w:val="231F20"/>
          <w:spacing w:val="-7"/>
          <w:w w:val="105"/>
        </w:rPr>
        <w:t> </w:t>
      </w:r>
      <w:r>
        <w:rPr>
          <w:color w:val="231F20"/>
          <w:w w:val="105"/>
        </w:rPr>
        <w:t>analysis</w:t>
      </w:r>
      <w:r>
        <w:rPr>
          <w:color w:val="231F20"/>
          <w:spacing w:val="-7"/>
          <w:w w:val="105"/>
        </w:rPr>
        <w:t> </w:t>
      </w:r>
      <w:r>
        <w:rPr>
          <w:color w:val="231F20"/>
          <w:w w:val="105"/>
        </w:rPr>
        <w:t>was</w:t>
      </w:r>
      <w:r>
        <w:rPr>
          <w:color w:val="231F20"/>
          <w:spacing w:val="-7"/>
          <w:w w:val="105"/>
        </w:rPr>
        <w:t> </w:t>
      </w:r>
      <w:r>
        <w:rPr>
          <w:color w:val="231F20"/>
          <w:w w:val="105"/>
        </w:rPr>
        <w:t>with</w:t>
      </w:r>
      <w:r>
        <w:rPr>
          <w:color w:val="231F20"/>
          <w:spacing w:val="-7"/>
          <w:w w:val="105"/>
        </w:rPr>
        <w:t> </w:t>
      </w:r>
      <w:r>
        <w:rPr>
          <w:color w:val="231F20"/>
          <w:w w:val="105"/>
        </w:rPr>
        <w:t>the</w:t>
      </w:r>
      <w:r>
        <w:rPr>
          <w:color w:val="231F20"/>
          <w:spacing w:val="-7"/>
          <w:w w:val="105"/>
        </w:rPr>
        <w:t> </w:t>
      </w:r>
      <w:r>
        <w:rPr>
          <w:color w:val="231F20"/>
          <w:w w:val="105"/>
        </w:rPr>
        <w:t>stim- ulator OFF</w:t>
      </w:r>
      <w:r>
        <w:rPr>
          <w:color w:val="231F20"/>
          <w:w w:val="105"/>
        </w:rPr>
        <w:t> and</w:t>
      </w:r>
      <w:r>
        <w:rPr>
          <w:color w:val="231F20"/>
          <w:w w:val="105"/>
        </w:rPr>
        <w:t> ON and</w:t>
      </w:r>
      <w:r>
        <w:rPr>
          <w:color w:val="231F20"/>
          <w:w w:val="105"/>
        </w:rPr>
        <w:t> with</w:t>
      </w:r>
      <w:r>
        <w:rPr>
          <w:color w:val="231F20"/>
          <w:w w:val="105"/>
        </w:rPr>
        <w:t> the eyes</w:t>
      </w:r>
      <w:r>
        <w:rPr>
          <w:color w:val="231F20"/>
          <w:w w:val="105"/>
        </w:rPr>
        <w:t> opened</w:t>
      </w:r>
      <w:r>
        <w:rPr>
          <w:color w:val="231F20"/>
          <w:w w:val="105"/>
        </w:rPr>
        <w:t> and</w:t>
      </w:r>
      <w:r>
        <w:rPr>
          <w:color w:val="231F20"/>
          <w:w w:val="105"/>
        </w:rPr>
        <w:t> closed. Tremor</w:t>
      </w:r>
      <w:r>
        <w:rPr>
          <w:color w:val="231F20"/>
          <w:w w:val="105"/>
        </w:rPr>
        <w:t> amplitude</w:t>
      </w:r>
      <w:r>
        <w:rPr>
          <w:color w:val="231F20"/>
          <w:w w:val="105"/>
        </w:rPr>
        <w:t> diminished</w:t>
      </w:r>
      <w:r>
        <w:rPr>
          <w:color w:val="231F20"/>
          <w:w w:val="105"/>
        </w:rPr>
        <w:t> signiﬁcantly</w:t>
      </w:r>
      <w:r>
        <w:rPr>
          <w:color w:val="231F20"/>
          <w:w w:val="105"/>
        </w:rPr>
        <w:t> in</w:t>
      </w:r>
      <w:r>
        <w:rPr>
          <w:color w:val="231F20"/>
          <w:w w:val="105"/>
        </w:rPr>
        <w:t> all</w:t>
      </w:r>
      <w:r>
        <w:rPr>
          <w:color w:val="231F20"/>
          <w:w w:val="105"/>
        </w:rPr>
        <w:t> muscles studied</w:t>
      </w:r>
      <w:r>
        <w:rPr>
          <w:color w:val="231F20"/>
          <w:w w:val="105"/>
        </w:rPr>
        <w:t> (</w:t>
      </w:r>
      <w:r>
        <w:rPr>
          <w:i/>
          <w:color w:val="231F20"/>
          <w:w w:val="105"/>
        </w:rPr>
        <w:t>P</w:t>
      </w:r>
      <w:r>
        <w:rPr>
          <w:i/>
          <w:color w:val="231F20"/>
          <w:w w:val="105"/>
        </w:rPr>
        <w:t> </w:t>
      </w:r>
      <w:r>
        <w:rPr>
          <w:rFonts w:ascii="Arial" w:hAnsi="Arial"/>
          <w:color w:val="231F20"/>
          <w:w w:val="105"/>
        </w:rPr>
        <w:t>&lt;</w:t>
      </w:r>
      <w:r>
        <w:rPr>
          <w:rFonts w:ascii="Arial" w:hAnsi="Arial"/>
          <w:color w:val="231F20"/>
          <w:w w:val="105"/>
        </w:rPr>
        <w:t> </w:t>
      </w:r>
      <w:r>
        <w:rPr>
          <w:color w:val="231F20"/>
          <w:w w:val="105"/>
        </w:rPr>
        <w:t>0.01)</w:t>
      </w:r>
      <w:r>
        <w:rPr>
          <w:color w:val="231F20"/>
          <w:w w:val="105"/>
        </w:rPr>
        <w:t> with</w:t>
      </w:r>
      <w:r>
        <w:rPr>
          <w:color w:val="231F20"/>
          <w:w w:val="105"/>
        </w:rPr>
        <w:t> ON stimulation</w:t>
      </w:r>
      <w:r>
        <w:rPr>
          <w:color w:val="231F20"/>
          <w:w w:val="105"/>
        </w:rPr>
        <w:t> but the</w:t>
      </w:r>
      <w:r>
        <w:rPr>
          <w:color w:val="231F20"/>
          <w:w w:val="105"/>
        </w:rPr>
        <w:t> frequency </w:t>
      </w:r>
      <w:r>
        <w:rPr>
          <w:color w:val="231F20"/>
        </w:rPr>
        <w:t>remained</w:t>
      </w:r>
      <w:r>
        <w:rPr>
          <w:color w:val="231F20"/>
          <w:spacing w:val="15"/>
        </w:rPr>
        <w:t> </w:t>
      </w:r>
      <w:r>
        <w:rPr>
          <w:color w:val="231F20"/>
        </w:rPr>
        <w:t>the</w:t>
      </w:r>
      <w:r>
        <w:rPr>
          <w:color w:val="231F20"/>
          <w:spacing w:val="16"/>
        </w:rPr>
        <w:t> </w:t>
      </w:r>
      <w:r>
        <w:rPr>
          <w:color w:val="231F20"/>
        </w:rPr>
        <w:t>same.</w:t>
      </w:r>
      <w:r>
        <w:rPr>
          <w:color w:val="231F20"/>
          <w:spacing w:val="16"/>
        </w:rPr>
        <w:t> </w:t>
      </w:r>
      <w:r>
        <w:rPr>
          <w:color w:val="231F20"/>
        </w:rPr>
        <w:t>Tremor</w:t>
      </w:r>
      <w:r>
        <w:rPr>
          <w:color w:val="231F20"/>
          <w:spacing w:val="16"/>
        </w:rPr>
        <w:t> </w:t>
      </w:r>
      <w:r>
        <w:rPr>
          <w:color w:val="231F20"/>
        </w:rPr>
        <w:t>started</w:t>
      </w:r>
      <w:r>
        <w:rPr>
          <w:color w:val="231F20"/>
          <w:spacing w:val="16"/>
        </w:rPr>
        <w:t> </w:t>
      </w:r>
      <w:r>
        <w:rPr>
          <w:color w:val="231F20"/>
        </w:rPr>
        <w:t>before</w:t>
      </w:r>
      <w:r>
        <w:rPr>
          <w:color w:val="231F20"/>
          <w:spacing w:val="15"/>
        </w:rPr>
        <w:t> </w:t>
      </w:r>
      <w:r>
        <w:rPr>
          <w:color w:val="231F20"/>
        </w:rPr>
        <w:t>the</w:t>
      </w:r>
      <w:r>
        <w:rPr>
          <w:color w:val="231F20"/>
          <w:spacing w:val="16"/>
        </w:rPr>
        <w:t> </w:t>
      </w:r>
      <w:r>
        <w:rPr>
          <w:color w:val="231F20"/>
        </w:rPr>
        <w:t>patient</w:t>
      </w:r>
      <w:r>
        <w:rPr>
          <w:color w:val="231F20"/>
          <w:spacing w:val="16"/>
        </w:rPr>
        <w:t> </w:t>
      </w:r>
      <w:r>
        <w:rPr>
          <w:color w:val="231F20"/>
          <w:spacing w:val="-2"/>
        </w:rPr>
        <w:t>reached</w:t>
      </w:r>
    </w:p>
    <w:p>
      <w:pPr>
        <w:pStyle w:val="BodyText"/>
        <w:spacing w:after="0" w:line="230" w:lineRule="auto"/>
        <w:jc w:val="both"/>
        <w:sectPr>
          <w:type w:val="continuous"/>
          <w:pgSz w:w="12240" w:h="16200"/>
          <w:pgMar w:top="1060" w:bottom="280" w:left="1080" w:right="1080"/>
          <w:cols w:num="2" w:equalWidth="0">
            <w:col w:w="4864" w:space="177"/>
            <w:col w:w="5039"/>
          </w:cols>
        </w:sectPr>
      </w:pPr>
    </w:p>
    <w:p>
      <w:pPr>
        <w:pStyle w:val="BodyText"/>
        <w:rPr>
          <w:sz w:val="14"/>
        </w:rPr>
      </w:pPr>
      <w:r>
        <w:rPr>
          <w:sz w:val="14"/>
        </w:rPr>
        <mc:AlternateContent>
          <mc:Choice Requires="wps">
            <w:drawing>
              <wp:anchor distT="0" distB="0" distL="0" distR="0" allowOverlap="1" layoutInCell="1" locked="0" behindDoc="0" simplePos="0" relativeHeight="15742976">
                <wp:simplePos x="0" y="0"/>
                <wp:positionH relativeFrom="page">
                  <wp:posOffset>7555927</wp:posOffset>
                </wp:positionH>
                <wp:positionV relativeFrom="page">
                  <wp:posOffset>208819</wp:posOffset>
                </wp:positionV>
                <wp:extent cx="95885" cy="987552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95885" cy="9875520"/>
                        </a:xfrm>
                        <a:prstGeom prst="rect">
                          <a:avLst/>
                        </a:prstGeom>
                      </wps:spPr>
                      <wps:txbx>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wps:txbx>
                      <wps:bodyPr wrap="square" lIns="0" tIns="0" rIns="0" bIns="0" rtlCol="0" vert="vert">
                        <a:noAutofit/>
                      </wps:bodyPr>
                    </wps:wsp>
                  </a:graphicData>
                </a:graphic>
              </wp:anchor>
            </w:drawing>
          </mc:Choice>
          <mc:Fallback>
            <w:pict>
              <v:shape style="position:absolute;margin-left:594.954956pt;margin-top:16.442499pt;width:7.55pt;height:777.6pt;mso-position-horizontal-relative:page;mso-position-vertical-relative:page;z-index:15742976" type="#_x0000_t202" id="docshape25" filled="false" stroked="false">
                <v:textbox inset="0,0,0,0" style="layout-flow:vertical">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v:textbox>
                <w10:wrap type="none"/>
              </v:shape>
            </w:pict>
          </mc:Fallback>
        </mc:AlternateContent>
      </w:r>
    </w:p>
    <w:p>
      <w:pPr>
        <w:pStyle w:val="BodyText"/>
        <w:rPr>
          <w:sz w:val="14"/>
        </w:rPr>
      </w:pPr>
    </w:p>
    <w:p>
      <w:pPr>
        <w:pStyle w:val="BodyText"/>
        <w:rPr>
          <w:sz w:val="14"/>
        </w:rPr>
      </w:pPr>
    </w:p>
    <w:p>
      <w:pPr>
        <w:pStyle w:val="BodyText"/>
        <w:spacing w:before="40"/>
        <w:rPr>
          <w:sz w:val="14"/>
        </w:rPr>
      </w:pPr>
    </w:p>
    <w:p>
      <w:pPr>
        <w:spacing w:before="0"/>
        <w:ind w:left="256" w:right="0" w:firstLine="0"/>
        <w:jc w:val="left"/>
        <w:rPr>
          <w:i/>
          <w:sz w:val="14"/>
        </w:rPr>
      </w:pPr>
      <w:r>
        <w:rPr>
          <w:i/>
          <w:color w:val="231F20"/>
          <w:sz w:val="14"/>
        </w:rPr>
        <w:t>Movement</w:t>
      </w:r>
      <w:r>
        <w:rPr>
          <w:i/>
          <w:color w:val="231F20"/>
          <w:spacing w:val="8"/>
          <w:sz w:val="14"/>
        </w:rPr>
        <w:t> </w:t>
      </w:r>
      <w:r>
        <w:rPr>
          <w:i/>
          <w:color w:val="231F20"/>
          <w:sz w:val="14"/>
        </w:rPr>
        <w:t>Disorders,</w:t>
      </w:r>
      <w:r>
        <w:rPr>
          <w:i/>
          <w:color w:val="231F20"/>
          <w:spacing w:val="10"/>
          <w:sz w:val="14"/>
        </w:rPr>
        <w:t> </w:t>
      </w:r>
      <w:r>
        <w:rPr>
          <w:i/>
          <w:color w:val="231F20"/>
          <w:sz w:val="14"/>
        </w:rPr>
        <w:t>Vol.</w:t>
      </w:r>
      <w:r>
        <w:rPr>
          <w:i/>
          <w:color w:val="231F20"/>
          <w:spacing w:val="9"/>
          <w:sz w:val="14"/>
        </w:rPr>
        <w:t> </w:t>
      </w:r>
      <w:r>
        <w:rPr>
          <w:i/>
          <w:color w:val="231F20"/>
          <w:sz w:val="14"/>
        </w:rPr>
        <w:t>25,</w:t>
      </w:r>
      <w:r>
        <w:rPr>
          <w:i/>
          <w:color w:val="231F20"/>
          <w:spacing w:val="9"/>
          <w:sz w:val="14"/>
        </w:rPr>
        <w:t> </w:t>
      </w:r>
      <w:r>
        <w:rPr>
          <w:i/>
          <w:color w:val="231F20"/>
          <w:sz w:val="14"/>
        </w:rPr>
        <w:t>No.</w:t>
      </w:r>
      <w:r>
        <w:rPr>
          <w:i/>
          <w:color w:val="231F20"/>
          <w:spacing w:val="8"/>
          <w:sz w:val="14"/>
        </w:rPr>
        <w:t> </w:t>
      </w:r>
      <w:r>
        <w:rPr>
          <w:i/>
          <w:color w:val="231F20"/>
          <w:sz w:val="14"/>
        </w:rPr>
        <w:t>14,</w:t>
      </w:r>
      <w:r>
        <w:rPr>
          <w:i/>
          <w:color w:val="231F20"/>
          <w:spacing w:val="9"/>
          <w:sz w:val="14"/>
        </w:rPr>
        <w:t> </w:t>
      </w:r>
      <w:r>
        <w:rPr>
          <w:i/>
          <w:color w:val="231F20"/>
          <w:spacing w:val="-4"/>
          <w:sz w:val="14"/>
        </w:rPr>
        <w:t>2010</w:t>
      </w:r>
    </w:p>
    <w:p>
      <w:pPr>
        <w:spacing w:after="0"/>
        <w:jc w:val="left"/>
        <w:rPr>
          <w:i/>
          <w:sz w:val="14"/>
        </w:rPr>
        <w:sectPr>
          <w:type w:val="continuous"/>
          <w:pgSz w:w="12240" w:h="16200"/>
          <w:pgMar w:top="1060" w:bottom="280" w:left="1080" w:right="1080"/>
        </w:sectPr>
      </w:pPr>
    </w:p>
    <w:p>
      <w:pPr>
        <w:pStyle w:val="Heading3"/>
        <w:tabs>
          <w:tab w:pos="9859" w:val="right" w:leader="none"/>
        </w:tabs>
      </w:pPr>
      <w:r>
        <w:rPr>
          <w:color w:val="231F20"/>
        </w:rPr>
        <w:t>LETTERS</w:t>
      </w:r>
      <w:r>
        <w:rPr>
          <w:color w:val="231F20"/>
          <w:spacing w:val="12"/>
        </w:rPr>
        <w:t> </w:t>
      </w:r>
      <w:r>
        <w:rPr>
          <w:color w:val="231F20"/>
        </w:rPr>
        <w:t>TO</w:t>
      </w:r>
      <w:r>
        <w:rPr>
          <w:color w:val="231F20"/>
          <w:spacing w:val="10"/>
        </w:rPr>
        <w:t> </w:t>
      </w:r>
      <w:r>
        <w:rPr>
          <w:color w:val="231F20"/>
        </w:rPr>
        <w:t>THE</w:t>
      </w:r>
      <w:r>
        <w:rPr>
          <w:color w:val="231F20"/>
          <w:spacing w:val="11"/>
        </w:rPr>
        <w:t> </w:t>
      </w:r>
      <w:r>
        <w:rPr>
          <w:color w:val="231F20"/>
          <w:spacing w:val="-2"/>
        </w:rPr>
        <w:t>EDITOR</w:t>
      </w:r>
      <w:r>
        <w:rPr>
          <w:i w:val="0"/>
          <w:color w:val="231F20"/>
        </w:rPr>
        <w:tab/>
      </w:r>
      <w:r>
        <w:rPr>
          <w:color w:val="231F20"/>
          <w:spacing w:val="-4"/>
        </w:rPr>
        <w:t>2477</w:t>
      </w:r>
    </w:p>
    <w:p>
      <w:pPr>
        <w:pStyle w:val="Heading3"/>
        <w:spacing w:after="0"/>
        <w:sectPr>
          <w:pgSz w:w="12240" w:h="16200"/>
          <w:pgMar w:top="1040" w:bottom="280" w:left="1080" w:right="1080"/>
        </w:sectPr>
      </w:pPr>
    </w:p>
    <w:p>
      <w:pPr>
        <w:pStyle w:val="BodyText"/>
        <w:spacing w:before="183"/>
        <w:rPr>
          <w:i/>
        </w:rPr>
      </w:pPr>
      <w:r>
        <w:rPr>
          <w:i/>
        </w:rPr>
        <mc:AlternateContent>
          <mc:Choice Requires="wps">
            <w:drawing>
              <wp:anchor distT="0" distB="0" distL="0" distR="0" allowOverlap="1" layoutInCell="1" locked="0" behindDoc="0" simplePos="0" relativeHeight="15743488">
                <wp:simplePos x="0" y="0"/>
                <wp:positionH relativeFrom="page">
                  <wp:posOffset>7555927</wp:posOffset>
                </wp:positionH>
                <wp:positionV relativeFrom="page">
                  <wp:posOffset>208819</wp:posOffset>
                </wp:positionV>
                <wp:extent cx="95885" cy="987552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95885" cy="9875520"/>
                        </a:xfrm>
                        <a:prstGeom prst="rect">
                          <a:avLst/>
                        </a:prstGeom>
                      </wps:spPr>
                      <wps:txbx>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wps:txbx>
                      <wps:bodyPr wrap="square" lIns="0" tIns="0" rIns="0" bIns="0" rtlCol="0" vert="vert">
                        <a:noAutofit/>
                      </wps:bodyPr>
                    </wps:wsp>
                  </a:graphicData>
                </a:graphic>
              </wp:anchor>
            </w:drawing>
          </mc:Choice>
          <mc:Fallback>
            <w:pict>
              <v:shape style="position:absolute;margin-left:594.954956pt;margin-top:16.442499pt;width:7.55pt;height:777.6pt;mso-position-horizontal-relative:page;mso-position-vertical-relative:page;z-index:15743488" type="#_x0000_t202" id="docshape26" filled="false" stroked="false">
                <v:textbox inset="0,0,0,0" style="layout-flow:vertical">
                  <w:txbxContent>
                    <w:p>
                      <w:pPr>
                        <w:spacing w:before="15"/>
                        <w:ind w:left="20" w:right="0" w:firstLine="0"/>
                        <w:jc w:val="left"/>
                        <w:rPr>
                          <w:sz w:val="10"/>
                        </w:rPr>
                      </w:pPr>
                      <w:r>
                        <w:rPr>
                          <w:sz w:val="10"/>
                        </w:rPr>
                        <w:t>15318257,</w:t>
                      </w:r>
                      <w:r>
                        <w:rPr>
                          <w:spacing w:val="-5"/>
                          <w:sz w:val="10"/>
                        </w:rPr>
                        <w:t> </w:t>
                      </w:r>
                      <w:r>
                        <w:rPr>
                          <w:sz w:val="10"/>
                        </w:rPr>
                        <w:t>2010,</w:t>
                      </w:r>
                      <w:r>
                        <w:rPr>
                          <w:spacing w:val="-5"/>
                          <w:sz w:val="10"/>
                        </w:rPr>
                        <w:t> </w:t>
                      </w:r>
                      <w:r>
                        <w:rPr>
                          <w:sz w:val="10"/>
                        </w:rPr>
                        <w:t>14,</w:t>
                      </w:r>
                      <w:r>
                        <w:rPr>
                          <w:spacing w:val="-5"/>
                          <w:sz w:val="10"/>
                        </w:rPr>
                        <w:t> </w:t>
                      </w:r>
                      <w:r>
                        <w:rPr>
                          <w:sz w:val="10"/>
                        </w:rPr>
                        <w:t>Downloaded</w:t>
                      </w:r>
                      <w:r>
                        <w:rPr>
                          <w:spacing w:val="-4"/>
                          <w:sz w:val="10"/>
                        </w:rPr>
                        <w:t> </w:t>
                      </w:r>
                      <w:r>
                        <w:rPr>
                          <w:sz w:val="10"/>
                        </w:rPr>
                        <w:t>from</w:t>
                      </w:r>
                      <w:r>
                        <w:rPr>
                          <w:spacing w:val="-5"/>
                          <w:sz w:val="10"/>
                        </w:rPr>
                        <w:t> </w:t>
                      </w:r>
                      <w:r>
                        <w:rPr>
                          <w:sz w:val="10"/>
                        </w:rPr>
                        <w:t>https://movementdisorders.onlinelibrary.wiley.com/doi/10.1002/mds.23307</w:t>
                      </w:r>
                      <w:r>
                        <w:rPr>
                          <w:spacing w:val="-5"/>
                          <w:sz w:val="10"/>
                        </w:rPr>
                        <w:t> </w:t>
                      </w:r>
                      <w:r>
                        <w:rPr>
                          <w:sz w:val="10"/>
                        </w:rPr>
                        <w:t>by</w:t>
                      </w:r>
                      <w:r>
                        <w:rPr>
                          <w:spacing w:val="-4"/>
                          <w:sz w:val="10"/>
                        </w:rPr>
                        <w:t> </w:t>
                      </w:r>
                      <w:r>
                        <w:rPr>
                          <w:sz w:val="10"/>
                        </w:rPr>
                        <w:t>The</w:t>
                      </w:r>
                      <w:r>
                        <w:rPr>
                          <w:spacing w:val="-5"/>
                          <w:sz w:val="10"/>
                        </w:rPr>
                        <w:t> </w:t>
                      </w:r>
                      <w:r>
                        <w:rPr>
                          <w:sz w:val="10"/>
                        </w:rPr>
                        <w:t>University</w:t>
                      </w:r>
                      <w:r>
                        <w:rPr>
                          <w:spacing w:val="-5"/>
                          <w:sz w:val="10"/>
                        </w:rPr>
                        <w:t> </w:t>
                      </w:r>
                      <w:r>
                        <w:rPr>
                          <w:sz w:val="10"/>
                        </w:rPr>
                        <w:t>Of</w:t>
                      </w:r>
                      <w:r>
                        <w:rPr>
                          <w:spacing w:val="-4"/>
                          <w:sz w:val="10"/>
                        </w:rPr>
                        <w:t> </w:t>
                      </w:r>
                      <w:r>
                        <w:rPr>
                          <w:sz w:val="10"/>
                        </w:rPr>
                        <w:t>Manchester,</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on</w:t>
                      </w:r>
                      <w:r>
                        <w:rPr>
                          <w:spacing w:val="-5"/>
                          <w:sz w:val="10"/>
                        </w:rPr>
                        <w:t> </w:t>
                      </w:r>
                      <w:r>
                        <w:rPr>
                          <w:sz w:val="10"/>
                        </w:rPr>
                        <w:t>[22/05/2025].</w:t>
                      </w:r>
                      <w:r>
                        <w:rPr>
                          <w:spacing w:val="-4"/>
                          <w:sz w:val="10"/>
                        </w:rPr>
                        <w:t> </w:t>
                      </w:r>
                      <w:r>
                        <w:rPr>
                          <w:sz w:val="10"/>
                        </w:rPr>
                        <w:t>See</w:t>
                      </w:r>
                      <w:r>
                        <w:rPr>
                          <w:spacing w:val="-5"/>
                          <w:sz w:val="10"/>
                        </w:rPr>
                        <w:t> </w:t>
                      </w:r>
                      <w:r>
                        <w:rPr>
                          <w:sz w:val="10"/>
                        </w:rPr>
                        <w:t>the</w:t>
                      </w:r>
                      <w:r>
                        <w:rPr>
                          <w:spacing w:val="-5"/>
                          <w:sz w:val="10"/>
                        </w:rPr>
                        <w:t> </w:t>
                      </w:r>
                      <w:r>
                        <w:rPr>
                          <w:sz w:val="10"/>
                        </w:rPr>
                        <w:t>Terms</w:t>
                      </w:r>
                      <w:r>
                        <w:rPr>
                          <w:spacing w:val="-4"/>
                          <w:sz w:val="10"/>
                        </w:rPr>
                        <w:t> </w:t>
                      </w:r>
                      <w:r>
                        <w:rPr>
                          <w:sz w:val="10"/>
                        </w:rPr>
                        <w:t>and</w:t>
                      </w:r>
                      <w:r>
                        <w:rPr>
                          <w:spacing w:val="-5"/>
                          <w:sz w:val="10"/>
                        </w:rPr>
                        <w:t> </w:t>
                      </w:r>
                      <w:r>
                        <w:rPr>
                          <w:sz w:val="10"/>
                        </w:rPr>
                        <w:t>Conditions</w:t>
                      </w:r>
                      <w:r>
                        <w:rPr>
                          <w:spacing w:val="-5"/>
                          <w:sz w:val="10"/>
                        </w:rPr>
                        <w:t> </w:t>
                      </w:r>
                      <w:r>
                        <w:rPr>
                          <w:sz w:val="10"/>
                        </w:rPr>
                        <w:t>(https://onlinelibrary.wiley.com/terms-and-conditions)</w:t>
                      </w:r>
                      <w:r>
                        <w:rPr>
                          <w:spacing w:val="-4"/>
                          <w:sz w:val="10"/>
                        </w:rPr>
                        <w:t> </w:t>
                      </w:r>
                      <w:r>
                        <w:rPr>
                          <w:sz w:val="10"/>
                        </w:rPr>
                        <w:t>on</w:t>
                      </w:r>
                      <w:r>
                        <w:rPr>
                          <w:spacing w:val="-5"/>
                          <w:sz w:val="10"/>
                        </w:rPr>
                        <w:t> </w:t>
                      </w:r>
                      <w:r>
                        <w:rPr>
                          <w:sz w:val="10"/>
                        </w:rPr>
                        <w:t>Wiley</w:t>
                      </w:r>
                      <w:r>
                        <w:rPr>
                          <w:spacing w:val="-5"/>
                          <w:sz w:val="10"/>
                        </w:rPr>
                        <w:t> </w:t>
                      </w:r>
                      <w:r>
                        <w:rPr>
                          <w:sz w:val="10"/>
                        </w:rPr>
                        <w:t>Online</w:t>
                      </w:r>
                      <w:r>
                        <w:rPr>
                          <w:spacing w:val="-4"/>
                          <w:sz w:val="10"/>
                        </w:rPr>
                        <w:t> </w:t>
                      </w:r>
                      <w:r>
                        <w:rPr>
                          <w:sz w:val="10"/>
                        </w:rPr>
                        <w:t>Library</w:t>
                      </w:r>
                      <w:r>
                        <w:rPr>
                          <w:spacing w:val="-5"/>
                          <w:sz w:val="10"/>
                        </w:rPr>
                        <w:t> </w:t>
                      </w:r>
                      <w:r>
                        <w:rPr>
                          <w:sz w:val="10"/>
                        </w:rPr>
                        <w:t>for</w:t>
                      </w:r>
                      <w:r>
                        <w:rPr>
                          <w:spacing w:val="-5"/>
                          <w:sz w:val="10"/>
                        </w:rPr>
                        <w:t> </w:t>
                      </w:r>
                      <w:r>
                        <w:rPr>
                          <w:sz w:val="10"/>
                        </w:rPr>
                        <w:t>rules</w:t>
                      </w:r>
                      <w:r>
                        <w:rPr>
                          <w:spacing w:val="-4"/>
                          <w:sz w:val="10"/>
                        </w:rPr>
                        <w:t> </w:t>
                      </w:r>
                      <w:r>
                        <w:rPr>
                          <w:sz w:val="10"/>
                        </w:rPr>
                        <w:t>of</w:t>
                      </w:r>
                      <w:r>
                        <w:rPr>
                          <w:spacing w:val="-5"/>
                          <w:sz w:val="10"/>
                        </w:rPr>
                        <w:t> </w:t>
                      </w:r>
                      <w:r>
                        <w:rPr>
                          <w:sz w:val="10"/>
                        </w:rPr>
                        <w:t>use;</w:t>
                      </w:r>
                      <w:r>
                        <w:rPr>
                          <w:spacing w:val="-5"/>
                          <w:sz w:val="10"/>
                        </w:rPr>
                        <w:t> </w:t>
                      </w:r>
                      <w:r>
                        <w:rPr>
                          <w:sz w:val="10"/>
                        </w:rPr>
                        <w:t>OA</w:t>
                      </w:r>
                      <w:r>
                        <w:rPr>
                          <w:spacing w:val="-4"/>
                          <w:sz w:val="10"/>
                        </w:rPr>
                        <w:t> </w:t>
                      </w:r>
                      <w:r>
                        <w:rPr>
                          <w:sz w:val="10"/>
                        </w:rPr>
                        <w:t>articles</w:t>
                      </w:r>
                      <w:r>
                        <w:rPr>
                          <w:spacing w:val="-5"/>
                          <w:sz w:val="10"/>
                        </w:rPr>
                        <w:t> </w:t>
                      </w:r>
                      <w:r>
                        <w:rPr>
                          <w:sz w:val="10"/>
                        </w:rPr>
                        <w:t>are</w:t>
                      </w:r>
                      <w:r>
                        <w:rPr>
                          <w:spacing w:val="-5"/>
                          <w:sz w:val="10"/>
                        </w:rPr>
                        <w:t> </w:t>
                      </w:r>
                      <w:r>
                        <w:rPr>
                          <w:sz w:val="10"/>
                        </w:rPr>
                        <w:t>governed</w:t>
                      </w:r>
                      <w:r>
                        <w:rPr>
                          <w:spacing w:val="-4"/>
                          <w:sz w:val="10"/>
                        </w:rPr>
                        <w:t> </w:t>
                      </w:r>
                      <w:r>
                        <w:rPr>
                          <w:sz w:val="10"/>
                        </w:rPr>
                        <w:t>by</w:t>
                      </w:r>
                      <w:r>
                        <w:rPr>
                          <w:spacing w:val="-5"/>
                          <w:sz w:val="10"/>
                        </w:rPr>
                        <w:t> </w:t>
                      </w:r>
                      <w:r>
                        <w:rPr>
                          <w:sz w:val="10"/>
                        </w:rPr>
                        <w:t>the</w:t>
                      </w:r>
                      <w:r>
                        <w:rPr>
                          <w:spacing w:val="-5"/>
                          <w:sz w:val="10"/>
                        </w:rPr>
                        <w:t> </w:t>
                      </w:r>
                      <w:r>
                        <w:rPr>
                          <w:sz w:val="10"/>
                        </w:rPr>
                        <w:t>applicable</w:t>
                      </w:r>
                      <w:r>
                        <w:rPr>
                          <w:spacing w:val="-4"/>
                          <w:sz w:val="10"/>
                        </w:rPr>
                        <w:t> </w:t>
                      </w:r>
                      <w:r>
                        <w:rPr>
                          <w:sz w:val="10"/>
                        </w:rPr>
                        <w:t>Creative</w:t>
                      </w:r>
                      <w:r>
                        <w:rPr>
                          <w:spacing w:val="-5"/>
                          <w:sz w:val="10"/>
                        </w:rPr>
                        <w:t> </w:t>
                      </w:r>
                      <w:r>
                        <w:rPr>
                          <w:sz w:val="10"/>
                        </w:rPr>
                        <w:t>Commons</w:t>
                      </w:r>
                      <w:r>
                        <w:rPr>
                          <w:spacing w:val="-5"/>
                          <w:sz w:val="10"/>
                        </w:rPr>
                        <w:t> </w:t>
                      </w:r>
                      <w:r>
                        <w:rPr>
                          <w:spacing w:val="-2"/>
                          <w:sz w:val="10"/>
                        </w:rPr>
                        <w:t>License</w:t>
                      </w:r>
                    </w:p>
                  </w:txbxContent>
                </v:textbox>
                <w10:wrap type="none"/>
              </v:shape>
            </w:pict>
          </mc:Fallback>
        </mc:AlternateContent>
      </w:r>
    </w:p>
    <w:p>
      <w:pPr>
        <w:pStyle w:val="BodyText"/>
        <w:spacing w:line="230" w:lineRule="auto"/>
        <w:ind w:left="256" w:right="38"/>
        <w:jc w:val="both"/>
      </w:pPr>
      <w:r>
        <w:rPr>
          <w:color w:val="231F20"/>
        </w:rPr>
        <w:t>orthostatism during OFF but had a delay of 500 to 1,000 </w:t>
      </w:r>
      <w:r>
        <w:rPr>
          <w:color w:val="231F20"/>
        </w:rPr>
        <w:t>ms during</w:t>
      </w:r>
      <w:r>
        <w:rPr>
          <w:color w:val="231F20"/>
          <w:spacing w:val="40"/>
        </w:rPr>
        <w:t> </w:t>
      </w:r>
      <w:r>
        <w:rPr>
          <w:color w:val="231F20"/>
        </w:rPr>
        <w:t>ON</w:t>
      </w:r>
      <w:r>
        <w:rPr>
          <w:color w:val="231F20"/>
          <w:spacing w:val="40"/>
        </w:rPr>
        <w:t> </w:t>
      </w:r>
      <w:r>
        <w:rPr>
          <w:color w:val="231F20"/>
        </w:rPr>
        <w:t>stimulation.</w:t>
      </w:r>
      <w:r>
        <w:rPr>
          <w:color w:val="231F20"/>
          <w:spacing w:val="40"/>
        </w:rPr>
        <w:t> </w:t>
      </w:r>
      <w:r>
        <w:rPr>
          <w:color w:val="231F20"/>
        </w:rPr>
        <w:t>The</w:t>
      </w:r>
      <w:r>
        <w:rPr>
          <w:color w:val="231F20"/>
          <w:spacing w:val="40"/>
        </w:rPr>
        <w:t> </w:t>
      </w:r>
      <w:r>
        <w:rPr>
          <w:color w:val="231F20"/>
        </w:rPr>
        <w:t>parameters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step</w:t>
      </w:r>
      <w:r>
        <w:rPr>
          <w:color w:val="231F20"/>
          <w:spacing w:val="40"/>
        </w:rPr>
        <w:t> </w:t>
      </w:r>
      <w:r>
        <w:rPr>
          <w:color w:val="231F20"/>
        </w:rPr>
        <w:t>cycle were normal with OFF and ON stimulation. However, during OFF stimulation, the tibialis anterior contracted in the middle of the swing phase and showed a 12-Hz tremor activity dur-</w:t>
      </w:r>
      <w:r>
        <w:rPr>
          <w:color w:val="231F20"/>
          <w:spacing w:val="40"/>
        </w:rPr>
        <w:t> </w:t>
      </w:r>
      <w:r>
        <w:rPr>
          <w:color w:val="231F20"/>
        </w:rPr>
        <w:t>ing foot contact. On the contrary, during ON stimulation, the muscle produced two sets of contractions for each swing</w:t>
      </w:r>
      <w:r>
        <w:rPr>
          <w:color w:val="231F20"/>
          <w:spacing w:val="80"/>
        </w:rPr>
        <w:t> </w:t>
      </w:r>
      <w:r>
        <w:rPr>
          <w:color w:val="231F20"/>
        </w:rPr>
        <w:t>phase and was silent during foot contact both activities con- sidered normal (Fig. 1A). A signiﬁcant difference of tremor amplitude was found with the eyes closed compared with the eyes opened in OFF and ON stimulation (Fig. 1B).</w:t>
      </w:r>
    </w:p>
    <w:p>
      <w:pPr>
        <w:pStyle w:val="BodyText"/>
        <w:spacing w:line="230" w:lineRule="auto" w:before="6"/>
        <w:ind w:left="256" w:right="38" w:firstLine="199"/>
        <w:jc w:val="both"/>
      </w:pPr>
      <w:r>
        <w:rPr>
          <w:color w:val="231F20"/>
        </w:rPr>
        <w:t>Our results conﬁrm the validity of Vim DBS for drug </w:t>
      </w:r>
      <w:r>
        <w:rPr>
          <w:color w:val="231F20"/>
        </w:rPr>
        <w:t>re- fractory OT.</w:t>
      </w:r>
      <w:r>
        <w:rPr>
          <w:color w:val="231F20"/>
          <w:vertAlign w:val="superscript"/>
        </w:rPr>
        <w:t>2,3</w:t>
      </w:r>
      <w:r>
        <w:rPr>
          <w:color w:val="231F20"/>
          <w:vertAlign w:val="baseline"/>
        </w:rPr>
        <w:t> The reduction in the amplitude of tremor indi- cates a role of the Vim in the genesis of OT but the lack of effect in the frequency suggests other generators. The greater amplitude of the patient tremor with the eyes closed com-</w:t>
      </w:r>
      <w:r>
        <w:rPr>
          <w:color w:val="231F20"/>
          <w:spacing w:val="40"/>
          <w:vertAlign w:val="baseline"/>
        </w:rPr>
        <w:t> </w:t>
      </w:r>
      <w:r>
        <w:rPr>
          <w:color w:val="231F20"/>
          <w:vertAlign w:val="baseline"/>
        </w:rPr>
        <w:t>pared</w:t>
      </w:r>
      <w:r>
        <w:rPr>
          <w:color w:val="231F20"/>
          <w:spacing w:val="40"/>
          <w:vertAlign w:val="baseline"/>
        </w:rPr>
        <w:t> </w:t>
      </w:r>
      <w:r>
        <w:rPr>
          <w:color w:val="231F20"/>
          <w:vertAlign w:val="baseline"/>
        </w:rPr>
        <w:t>with</w:t>
      </w:r>
      <w:r>
        <w:rPr>
          <w:color w:val="231F20"/>
          <w:spacing w:val="40"/>
          <w:vertAlign w:val="baseline"/>
        </w:rPr>
        <w:t> </w:t>
      </w:r>
      <w:r>
        <w:rPr>
          <w:color w:val="231F20"/>
          <w:vertAlign w:val="baseline"/>
        </w:rPr>
        <w:t>the</w:t>
      </w:r>
      <w:r>
        <w:rPr>
          <w:color w:val="231F20"/>
          <w:spacing w:val="40"/>
          <w:vertAlign w:val="baseline"/>
        </w:rPr>
        <w:t> </w:t>
      </w:r>
      <w:r>
        <w:rPr>
          <w:color w:val="231F20"/>
          <w:vertAlign w:val="baseline"/>
        </w:rPr>
        <w:t>eyes</w:t>
      </w:r>
      <w:r>
        <w:rPr>
          <w:color w:val="231F20"/>
          <w:spacing w:val="40"/>
          <w:vertAlign w:val="baseline"/>
        </w:rPr>
        <w:t> </w:t>
      </w:r>
      <w:r>
        <w:rPr>
          <w:color w:val="231F20"/>
          <w:vertAlign w:val="baseline"/>
        </w:rPr>
        <w:t>opened</w:t>
      </w:r>
      <w:r>
        <w:rPr>
          <w:color w:val="231F20"/>
          <w:spacing w:val="40"/>
          <w:vertAlign w:val="baseline"/>
        </w:rPr>
        <w:t> </w:t>
      </w:r>
      <w:r>
        <w:rPr>
          <w:color w:val="231F20"/>
          <w:vertAlign w:val="baseline"/>
        </w:rPr>
        <w:t>in</w:t>
      </w:r>
      <w:r>
        <w:rPr>
          <w:color w:val="231F20"/>
          <w:spacing w:val="40"/>
          <w:vertAlign w:val="baseline"/>
        </w:rPr>
        <w:t> </w:t>
      </w:r>
      <w:r>
        <w:rPr>
          <w:color w:val="231F20"/>
          <w:vertAlign w:val="baseline"/>
        </w:rPr>
        <w:t>OFF</w:t>
      </w:r>
      <w:r>
        <w:rPr>
          <w:color w:val="231F20"/>
          <w:spacing w:val="40"/>
          <w:vertAlign w:val="baseline"/>
        </w:rPr>
        <w:t> </w:t>
      </w:r>
      <w:r>
        <w:rPr>
          <w:color w:val="231F20"/>
          <w:vertAlign w:val="baseline"/>
        </w:rPr>
        <w:t>and</w:t>
      </w:r>
      <w:r>
        <w:rPr>
          <w:color w:val="231F20"/>
          <w:spacing w:val="40"/>
          <w:vertAlign w:val="baseline"/>
        </w:rPr>
        <w:t> </w:t>
      </w:r>
      <w:r>
        <w:rPr>
          <w:color w:val="231F20"/>
          <w:vertAlign w:val="baseline"/>
        </w:rPr>
        <w:t>ON</w:t>
      </w:r>
      <w:r>
        <w:rPr>
          <w:color w:val="231F20"/>
          <w:spacing w:val="40"/>
          <w:vertAlign w:val="baseline"/>
        </w:rPr>
        <w:t> </w:t>
      </w:r>
      <w:r>
        <w:rPr>
          <w:color w:val="231F20"/>
          <w:vertAlign w:val="baseline"/>
        </w:rPr>
        <w:t>stimulation points to the involvement of somatosensory inputs and may explain the degree of postural instability. At this respect, Wu</w:t>
      </w:r>
      <w:r>
        <w:rPr>
          <w:color w:val="231F20"/>
          <w:spacing w:val="80"/>
          <w:vertAlign w:val="baseline"/>
        </w:rPr>
        <w:t> </w:t>
      </w:r>
      <w:r>
        <w:rPr>
          <w:color w:val="231F20"/>
          <w:vertAlign w:val="baseline"/>
        </w:rPr>
        <w:t>et</w:t>
      </w:r>
      <w:r>
        <w:rPr>
          <w:color w:val="231F20"/>
          <w:spacing w:val="40"/>
          <w:vertAlign w:val="baseline"/>
        </w:rPr>
        <w:t> </w:t>
      </w:r>
      <w:r>
        <w:rPr>
          <w:color w:val="231F20"/>
          <w:vertAlign w:val="baseline"/>
        </w:rPr>
        <w:t>al.</w:t>
      </w:r>
      <w:r>
        <w:rPr>
          <w:color w:val="231F20"/>
          <w:vertAlign w:val="superscript"/>
        </w:rPr>
        <w:t>5</w:t>
      </w:r>
      <w:r>
        <w:rPr>
          <w:color w:val="231F20"/>
          <w:spacing w:val="40"/>
          <w:vertAlign w:val="baseline"/>
        </w:rPr>
        <w:t> </w:t>
      </w:r>
      <w:r>
        <w:rPr>
          <w:color w:val="231F20"/>
          <w:vertAlign w:val="baseline"/>
        </w:rPr>
        <w:t>discarded</w:t>
      </w:r>
      <w:r>
        <w:rPr>
          <w:color w:val="231F20"/>
          <w:spacing w:val="40"/>
          <w:vertAlign w:val="baseline"/>
        </w:rPr>
        <w:t> </w:t>
      </w:r>
      <w:r>
        <w:rPr>
          <w:color w:val="231F20"/>
          <w:vertAlign w:val="baseline"/>
        </w:rPr>
        <w:t>the</w:t>
      </w:r>
      <w:r>
        <w:rPr>
          <w:color w:val="231F20"/>
          <w:spacing w:val="40"/>
          <w:vertAlign w:val="baseline"/>
        </w:rPr>
        <w:t> </w:t>
      </w:r>
      <w:r>
        <w:rPr>
          <w:color w:val="231F20"/>
          <w:vertAlign w:val="baseline"/>
        </w:rPr>
        <w:t>possible</w:t>
      </w:r>
      <w:r>
        <w:rPr>
          <w:color w:val="231F20"/>
          <w:spacing w:val="40"/>
          <w:vertAlign w:val="baseline"/>
        </w:rPr>
        <w:t> </w:t>
      </w:r>
      <w:r>
        <w:rPr>
          <w:color w:val="231F20"/>
          <w:vertAlign w:val="baseline"/>
        </w:rPr>
        <w:t>effect</w:t>
      </w:r>
      <w:r>
        <w:rPr>
          <w:color w:val="231F20"/>
          <w:spacing w:val="40"/>
          <w:vertAlign w:val="baseline"/>
        </w:rPr>
        <w:t> </w:t>
      </w:r>
      <w:r>
        <w:rPr>
          <w:color w:val="231F20"/>
          <w:vertAlign w:val="baseline"/>
        </w:rPr>
        <w:t>of</w:t>
      </w:r>
      <w:r>
        <w:rPr>
          <w:color w:val="231F20"/>
          <w:spacing w:val="40"/>
          <w:vertAlign w:val="baseline"/>
        </w:rPr>
        <w:t> </w:t>
      </w:r>
      <w:r>
        <w:rPr>
          <w:color w:val="231F20"/>
          <w:vertAlign w:val="baseline"/>
        </w:rPr>
        <w:t>vestibular</w:t>
      </w:r>
      <w:r>
        <w:rPr>
          <w:color w:val="231F20"/>
          <w:spacing w:val="40"/>
          <w:vertAlign w:val="baseline"/>
        </w:rPr>
        <w:t> </w:t>
      </w:r>
      <w:r>
        <w:rPr>
          <w:color w:val="231F20"/>
          <w:vertAlign w:val="baseline"/>
        </w:rPr>
        <w:t>afferents and suggested the posterior fossa as the origin of tremor. Another factor inﬂuencing the stability when walking during OFF stimulation may be the tremor frequency found during</w:t>
      </w:r>
      <w:r>
        <w:rPr>
          <w:color w:val="231F20"/>
          <w:spacing w:val="80"/>
          <w:vertAlign w:val="baseline"/>
        </w:rPr>
        <w:t> </w:t>
      </w:r>
      <w:r>
        <w:rPr>
          <w:color w:val="231F20"/>
          <w:vertAlign w:val="baseline"/>
        </w:rPr>
        <w:t>the phase of contact and the irregular activation of the tibialis anterior during the phase of swing.</w:t>
      </w:r>
    </w:p>
    <w:p>
      <w:pPr>
        <w:pStyle w:val="BodyText"/>
        <w:spacing w:line="230" w:lineRule="auto" w:before="75"/>
        <w:ind w:left="256" w:right="38" w:firstLine="179"/>
        <w:jc w:val="both"/>
      </w:pPr>
      <w:r>
        <w:rPr>
          <w:color w:val="231F20"/>
        </w:rPr>
        <w:t>Acknowledgments: We thank Amparo Martin Bautista </w:t>
      </w:r>
      <w:r>
        <w:rPr>
          <w:color w:val="231F20"/>
        </w:rPr>
        <w:t>for her</w:t>
      </w:r>
      <w:r>
        <w:rPr>
          <w:color w:val="231F20"/>
          <w:spacing w:val="27"/>
        </w:rPr>
        <w:t> </w:t>
      </w:r>
      <w:r>
        <w:rPr>
          <w:color w:val="231F20"/>
        </w:rPr>
        <w:t>help</w:t>
      </w:r>
      <w:r>
        <w:rPr>
          <w:color w:val="231F20"/>
          <w:spacing w:val="26"/>
        </w:rPr>
        <w:t> </w:t>
      </w:r>
      <w:r>
        <w:rPr>
          <w:color w:val="231F20"/>
        </w:rPr>
        <w:t>in</w:t>
      </w:r>
      <w:r>
        <w:rPr>
          <w:color w:val="231F20"/>
          <w:spacing w:val="27"/>
        </w:rPr>
        <w:t> </w:t>
      </w:r>
      <w:r>
        <w:rPr>
          <w:color w:val="231F20"/>
        </w:rPr>
        <w:t>technical</w:t>
      </w:r>
      <w:r>
        <w:rPr>
          <w:color w:val="231F20"/>
          <w:spacing w:val="27"/>
        </w:rPr>
        <w:t> </w:t>
      </w:r>
      <w:r>
        <w:rPr>
          <w:color w:val="231F20"/>
        </w:rPr>
        <w:t>matters</w:t>
      </w:r>
      <w:r>
        <w:rPr>
          <w:color w:val="231F20"/>
          <w:spacing w:val="26"/>
        </w:rPr>
        <w:t> </w:t>
      </w:r>
      <w:r>
        <w:rPr>
          <w:color w:val="231F20"/>
        </w:rPr>
        <w:t>and</w:t>
      </w:r>
      <w:r>
        <w:rPr>
          <w:color w:val="231F20"/>
          <w:spacing w:val="27"/>
        </w:rPr>
        <w:t> </w:t>
      </w:r>
      <w:r>
        <w:rPr>
          <w:color w:val="231F20"/>
        </w:rPr>
        <w:t>P.R.</w:t>
      </w:r>
      <w:r>
        <w:rPr>
          <w:color w:val="231F20"/>
          <w:spacing w:val="27"/>
        </w:rPr>
        <w:t> </w:t>
      </w:r>
      <w:r>
        <w:rPr>
          <w:color w:val="231F20"/>
        </w:rPr>
        <w:t>Williams</w:t>
      </w:r>
      <w:r>
        <w:rPr>
          <w:color w:val="231F20"/>
          <w:spacing w:val="27"/>
        </w:rPr>
        <w:t> </w:t>
      </w:r>
      <w:r>
        <w:rPr>
          <w:color w:val="231F20"/>
        </w:rPr>
        <w:t>for</w:t>
      </w:r>
      <w:r>
        <w:rPr>
          <w:color w:val="231F20"/>
          <w:spacing w:val="27"/>
        </w:rPr>
        <w:t> </w:t>
      </w:r>
      <w:r>
        <w:rPr>
          <w:color w:val="231F20"/>
        </w:rPr>
        <w:t>revision of the English language.</w:t>
      </w:r>
    </w:p>
    <w:p>
      <w:pPr>
        <w:pStyle w:val="BodyText"/>
        <w:spacing w:before="115"/>
        <w:ind w:left="456"/>
      </w:pPr>
      <w:r>
        <w:rPr>
          <w:color w:val="231F20"/>
          <w:w w:val="105"/>
        </w:rPr>
        <w:t>Financial</w:t>
      </w:r>
      <w:r>
        <w:rPr>
          <w:color w:val="231F20"/>
          <w:spacing w:val="13"/>
          <w:w w:val="105"/>
        </w:rPr>
        <w:t> </w:t>
      </w:r>
      <w:r>
        <w:rPr>
          <w:color w:val="231F20"/>
          <w:w w:val="105"/>
        </w:rPr>
        <w:t>Disclosures:</w:t>
      </w:r>
      <w:r>
        <w:rPr>
          <w:color w:val="231F20"/>
          <w:spacing w:val="14"/>
          <w:w w:val="105"/>
        </w:rPr>
        <w:t> </w:t>
      </w:r>
      <w:r>
        <w:rPr>
          <w:color w:val="231F20"/>
          <w:spacing w:val="-2"/>
          <w:w w:val="105"/>
        </w:rPr>
        <w:t>None.</w:t>
      </w:r>
    </w:p>
    <w:p>
      <w:pPr>
        <w:pStyle w:val="BodyText"/>
        <w:spacing w:line="228" w:lineRule="auto" w:before="120"/>
        <w:ind w:left="256" w:right="38" w:firstLine="199"/>
        <w:jc w:val="both"/>
      </w:pPr>
      <w:r>
        <w:rPr>
          <w:color w:val="231F20"/>
        </w:rPr>
        <w:t>Author Roles: Carlos Magarin˜os-Ascone: collection </w:t>
      </w:r>
      <w:r>
        <w:rPr>
          <w:color w:val="231F20"/>
        </w:rPr>
        <w:t>of</w:t>
      </w:r>
      <w:r>
        <w:rPr>
          <w:color w:val="231F20"/>
          <w:spacing w:val="40"/>
        </w:rPr>
        <w:t> </w:t>
      </w:r>
      <w:r>
        <w:rPr>
          <w:color w:val="231F20"/>
        </w:rPr>
        <w:t>data, execution of the gait analysis, analysis of data, writing of the ﬁrst draft. Fidel Mart</w:t>
      </w:r>
      <w:r>
        <w:rPr>
          <w:color w:val="231F20"/>
          <w:position w:val="1"/>
        </w:rPr>
        <w:t>´</w:t>
      </w:r>
      <w:r>
        <w:rPr>
          <w:color w:val="231F20"/>
        </w:rPr>
        <w:t>ınez-Ruiz: data collection of the gait analysis,</w:t>
      </w:r>
      <w:r>
        <w:rPr>
          <w:color w:val="231F20"/>
          <w:spacing w:val="-4"/>
        </w:rPr>
        <w:t> </w:t>
      </w:r>
      <w:r>
        <w:rPr>
          <w:color w:val="231F20"/>
        </w:rPr>
        <w:t>critical</w:t>
      </w:r>
      <w:r>
        <w:rPr>
          <w:color w:val="231F20"/>
          <w:spacing w:val="-4"/>
        </w:rPr>
        <w:t> </w:t>
      </w:r>
      <w:r>
        <w:rPr>
          <w:color w:val="231F20"/>
        </w:rPr>
        <w:t>appraisal</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manuscript,</w:t>
      </w:r>
      <w:r>
        <w:rPr>
          <w:color w:val="231F20"/>
          <w:spacing w:val="-4"/>
        </w:rPr>
        <w:t> </w:t>
      </w:r>
      <w:r>
        <w:rPr>
          <w:color w:val="231F20"/>
        </w:rPr>
        <w:t>statistics</w:t>
      </w:r>
      <w:r>
        <w:rPr>
          <w:color w:val="231F20"/>
          <w:spacing w:val="-4"/>
        </w:rPr>
        <w:t> </w:t>
      </w:r>
      <w:r>
        <w:rPr>
          <w:color w:val="231F20"/>
        </w:rPr>
        <w:t>analysis. Arantza San Milla</w:t>
      </w:r>
      <w:r>
        <w:rPr>
          <w:color w:val="231F20"/>
          <w:position w:val="1"/>
        </w:rPr>
        <w:t>´</w:t>
      </w:r>
      <w:r>
        <w:rPr>
          <w:color w:val="231F20"/>
        </w:rPr>
        <w:t>n: data collection of the gait analysis, criti- cal appraisal of the manuscript. Elena Montes: design and exe- cution of the gait analysis. Ignacio Regidor: organization and design of the work; review and critical appraisal of the manu- script. Marta</w:t>
      </w:r>
      <w:r>
        <w:rPr>
          <w:color w:val="231F20"/>
          <w:spacing w:val="-1"/>
        </w:rPr>
        <w:t> </w:t>
      </w:r>
      <w:r>
        <w:rPr>
          <w:color w:val="231F20"/>
        </w:rPr>
        <w:t>del</w:t>
      </w:r>
      <w:r>
        <w:rPr>
          <w:color w:val="231F20"/>
          <w:spacing w:val="-1"/>
        </w:rPr>
        <w:t> </w:t>
      </w:r>
      <w:r>
        <w:rPr>
          <w:color w:val="231F20"/>
        </w:rPr>
        <w:t>Alamo de</w:t>
      </w:r>
      <w:r>
        <w:rPr>
          <w:color w:val="231F20"/>
          <w:spacing w:val="-1"/>
        </w:rPr>
        <w:t> </w:t>
      </w:r>
      <w:r>
        <w:rPr>
          <w:color w:val="231F20"/>
        </w:rPr>
        <w:t>Pedro:</w:t>
      </w:r>
      <w:r>
        <w:rPr>
          <w:color w:val="231F20"/>
          <w:spacing w:val="-1"/>
        </w:rPr>
        <w:t> </w:t>
      </w:r>
      <w:r>
        <w:rPr>
          <w:color w:val="231F20"/>
        </w:rPr>
        <w:t>conception; execution. Rob- erto Figueiras-Me</w:t>
      </w:r>
      <w:r>
        <w:rPr>
          <w:color w:val="231F20"/>
          <w:position w:val="1"/>
        </w:rPr>
        <w:t>´</w:t>
      </w:r>
      <w:r>
        <w:rPr>
          <w:color w:val="231F20"/>
        </w:rPr>
        <w:t>ndez: organization, conception, execution.</w:t>
      </w:r>
    </w:p>
    <w:p>
      <w:pPr>
        <w:pStyle w:val="BodyText"/>
        <w:spacing w:before="5"/>
      </w:pPr>
    </w:p>
    <w:p>
      <w:pPr>
        <w:pStyle w:val="BodyText"/>
        <w:spacing w:line="203" w:lineRule="exact" w:before="1"/>
        <w:ind w:right="39"/>
        <w:jc w:val="right"/>
      </w:pPr>
      <w:r>
        <w:rPr>
          <w:color w:val="231F20"/>
          <w:spacing w:val="-4"/>
        </w:rPr>
        <w:t>Carlos</w:t>
      </w:r>
      <w:r>
        <w:rPr>
          <w:color w:val="231F20"/>
          <w:spacing w:val="8"/>
        </w:rPr>
        <w:t> </w:t>
      </w:r>
      <w:r>
        <w:rPr>
          <w:color w:val="231F20"/>
          <w:spacing w:val="-4"/>
        </w:rPr>
        <w:t>Magarin˜os-Ascone*</w:t>
      </w:r>
    </w:p>
    <w:p>
      <w:pPr>
        <w:spacing w:line="199" w:lineRule="exact" w:before="0"/>
        <w:ind w:left="0" w:right="39" w:firstLine="0"/>
        <w:jc w:val="right"/>
        <w:rPr>
          <w:i/>
          <w:sz w:val="18"/>
        </w:rPr>
      </w:pPr>
      <w:r>
        <w:rPr>
          <w:i/>
          <w:color w:val="231F20"/>
          <w:spacing w:val="-2"/>
          <w:sz w:val="18"/>
        </w:rPr>
        <w:t>Dpto.</w:t>
      </w:r>
      <w:r>
        <w:rPr>
          <w:i/>
          <w:color w:val="231F20"/>
          <w:sz w:val="18"/>
        </w:rPr>
        <w:t> </w:t>
      </w:r>
      <w:r>
        <w:rPr>
          <w:i/>
          <w:color w:val="231F20"/>
          <w:spacing w:val="-2"/>
          <w:sz w:val="18"/>
        </w:rPr>
        <w:t>Investigacio´n,</w:t>
      </w:r>
      <w:r>
        <w:rPr>
          <w:i/>
          <w:color w:val="231F20"/>
          <w:spacing w:val="1"/>
          <w:sz w:val="18"/>
        </w:rPr>
        <w:t> </w:t>
      </w:r>
      <w:r>
        <w:rPr>
          <w:i/>
          <w:color w:val="231F20"/>
          <w:spacing w:val="-2"/>
          <w:sz w:val="18"/>
        </w:rPr>
        <w:t>Servicio</w:t>
      </w:r>
      <w:r>
        <w:rPr>
          <w:i/>
          <w:color w:val="231F20"/>
          <w:spacing w:val="1"/>
          <w:sz w:val="18"/>
        </w:rPr>
        <w:t> </w:t>
      </w:r>
      <w:r>
        <w:rPr>
          <w:i/>
          <w:color w:val="231F20"/>
          <w:spacing w:val="-2"/>
          <w:sz w:val="18"/>
        </w:rPr>
        <w:t>de</w:t>
      </w:r>
      <w:r>
        <w:rPr>
          <w:i/>
          <w:color w:val="231F20"/>
          <w:sz w:val="18"/>
        </w:rPr>
        <w:t> </w:t>
      </w:r>
      <w:r>
        <w:rPr>
          <w:i/>
          <w:color w:val="231F20"/>
          <w:spacing w:val="-2"/>
          <w:sz w:val="18"/>
        </w:rPr>
        <w:t>Neurologı´a</w:t>
      </w:r>
      <w:r>
        <w:rPr>
          <w:i/>
          <w:color w:val="231F20"/>
          <w:sz w:val="18"/>
        </w:rPr>
        <w:t> </w:t>
      </w:r>
      <w:r>
        <w:rPr>
          <w:i/>
          <w:color w:val="231F20"/>
          <w:spacing w:val="-2"/>
          <w:sz w:val="18"/>
        </w:rPr>
        <w:t>Experimental</w:t>
      </w:r>
    </w:p>
    <w:p>
      <w:pPr>
        <w:spacing w:line="230" w:lineRule="auto" w:before="2"/>
        <w:ind w:left="1878" w:right="38" w:firstLine="346"/>
        <w:jc w:val="right"/>
        <w:rPr>
          <w:i/>
          <w:sz w:val="18"/>
        </w:rPr>
      </w:pPr>
      <w:r>
        <w:rPr>
          <w:i/>
          <w:color w:val="231F20"/>
          <w:spacing w:val="-2"/>
          <w:sz w:val="18"/>
        </w:rPr>
        <w:t>Unidad de Neurocirugı´a </w:t>
      </w:r>
      <w:r>
        <w:rPr>
          <w:i/>
          <w:color w:val="231F20"/>
          <w:spacing w:val="-2"/>
          <w:sz w:val="18"/>
        </w:rPr>
        <w:t>Funcional </w:t>
      </w:r>
      <w:r>
        <w:rPr>
          <w:i/>
          <w:color w:val="231F20"/>
          <w:sz w:val="18"/>
        </w:rPr>
        <w:t>Hospital</w:t>
      </w:r>
      <w:r>
        <w:rPr>
          <w:i/>
          <w:color w:val="231F20"/>
          <w:spacing w:val="-2"/>
          <w:sz w:val="18"/>
        </w:rPr>
        <w:t> </w:t>
      </w:r>
      <w:r>
        <w:rPr>
          <w:i/>
          <w:color w:val="231F20"/>
          <w:sz w:val="18"/>
        </w:rPr>
        <w:t>Ramo´n</w:t>
      </w:r>
      <w:r>
        <w:rPr>
          <w:i/>
          <w:color w:val="231F20"/>
          <w:spacing w:val="-1"/>
          <w:sz w:val="18"/>
        </w:rPr>
        <w:t> </w:t>
      </w:r>
      <w:r>
        <w:rPr>
          <w:i/>
          <w:color w:val="231F20"/>
          <w:sz w:val="18"/>
        </w:rPr>
        <w:t>y</w:t>
      </w:r>
      <w:r>
        <w:rPr>
          <w:i/>
          <w:color w:val="231F20"/>
          <w:spacing w:val="-3"/>
          <w:sz w:val="18"/>
        </w:rPr>
        <w:t> </w:t>
      </w:r>
      <w:r>
        <w:rPr>
          <w:i/>
          <w:color w:val="231F20"/>
          <w:sz w:val="18"/>
        </w:rPr>
        <w:t>Cajal,</w:t>
      </w:r>
      <w:r>
        <w:rPr>
          <w:i/>
          <w:color w:val="231F20"/>
          <w:spacing w:val="-1"/>
          <w:sz w:val="18"/>
        </w:rPr>
        <w:t> </w:t>
      </w:r>
      <w:r>
        <w:rPr>
          <w:i/>
          <w:color w:val="231F20"/>
          <w:sz w:val="18"/>
        </w:rPr>
        <w:t>Madrid,</w:t>
      </w:r>
      <w:r>
        <w:rPr>
          <w:i/>
          <w:color w:val="231F20"/>
          <w:spacing w:val="-2"/>
          <w:sz w:val="18"/>
        </w:rPr>
        <w:t> </w:t>
      </w:r>
      <w:r>
        <w:rPr>
          <w:i/>
          <w:color w:val="231F20"/>
          <w:spacing w:val="-4"/>
          <w:sz w:val="18"/>
        </w:rPr>
        <w:t>Spain</w:t>
      </w:r>
    </w:p>
    <w:p>
      <w:pPr>
        <w:spacing w:line="202" w:lineRule="exact" w:before="0"/>
        <w:ind w:left="0" w:right="39" w:firstLine="0"/>
        <w:jc w:val="right"/>
        <w:rPr>
          <w:i/>
          <w:sz w:val="18"/>
        </w:rPr>
      </w:pPr>
      <w:r>
        <w:rPr>
          <w:i/>
          <w:color w:val="231F20"/>
          <w:sz w:val="18"/>
        </w:rPr>
        <w:t>E-mail:</w:t>
      </w:r>
      <w:r>
        <w:rPr>
          <w:i/>
          <w:color w:val="231F20"/>
          <w:spacing w:val="7"/>
          <w:sz w:val="18"/>
        </w:rPr>
        <w:t> </w:t>
      </w:r>
      <w:hyperlink r:id="rId22">
        <w:r>
          <w:rPr>
            <w:i/>
            <w:color w:val="231F20"/>
            <w:sz w:val="18"/>
          </w:rPr>
          <w:t>carlos.ascone@hrc.es</w:t>
        </w:r>
      </w:hyperlink>
      <w:r>
        <w:rPr>
          <w:i/>
          <w:color w:val="231F20"/>
          <w:spacing w:val="7"/>
          <w:sz w:val="18"/>
        </w:rPr>
        <w:t> </w:t>
      </w:r>
      <w:r>
        <w:rPr>
          <w:i/>
          <w:color w:val="231F20"/>
          <w:sz w:val="18"/>
        </w:rPr>
        <w:t>or</w:t>
      </w:r>
      <w:r>
        <w:rPr>
          <w:i/>
          <w:color w:val="231F20"/>
          <w:spacing w:val="7"/>
          <w:sz w:val="18"/>
        </w:rPr>
        <w:t> </w:t>
      </w:r>
      <w:hyperlink r:id="rId23">
        <w:r>
          <w:rPr>
            <w:i/>
            <w:color w:val="231F20"/>
            <w:spacing w:val="-2"/>
            <w:sz w:val="18"/>
          </w:rPr>
          <w:t>carlosmasko@hotmail.com</w:t>
        </w:r>
      </w:hyperlink>
    </w:p>
    <w:p>
      <w:pPr>
        <w:spacing w:line="240" w:lineRule="auto" w:before="173"/>
        <w:rPr>
          <w:i/>
          <w:sz w:val="18"/>
        </w:rPr>
      </w:pPr>
      <w:r>
        <w:rPr/>
        <w:br w:type="column"/>
      </w:r>
      <w:r>
        <w:rPr>
          <w:i/>
          <w:sz w:val="18"/>
        </w:rPr>
      </w:r>
    </w:p>
    <w:p>
      <w:pPr>
        <w:spacing w:line="230" w:lineRule="auto" w:before="0"/>
        <w:ind w:left="2983" w:right="216" w:firstLine="357"/>
        <w:jc w:val="both"/>
        <w:rPr>
          <w:i/>
          <w:sz w:val="18"/>
        </w:rPr>
      </w:pPr>
      <w:r>
        <w:rPr>
          <w:color w:val="231F20"/>
          <w:spacing w:val="-2"/>
          <w:sz w:val="18"/>
        </w:rPr>
        <w:t>Fidel</w:t>
      </w:r>
      <w:r>
        <w:rPr>
          <w:color w:val="231F20"/>
          <w:spacing w:val="-10"/>
          <w:sz w:val="18"/>
        </w:rPr>
        <w:t> </w:t>
      </w:r>
      <w:r>
        <w:rPr>
          <w:color w:val="231F20"/>
          <w:spacing w:val="-2"/>
          <w:sz w:val="18"/>
        </w:rPr>
        <w:t>Mart</w:t>
      </w:r>
      <w:r>
        <w:rPr>
          <w:color w:val="231F20"/>
          <w:spacing w:val="-2"/>
          <w:position w:val="1"/>
          <w:sz w:val="18"/>
        </w:rPr>
        <w:t>´</w:t>
      </w:r>
      <w:r>
        <w:rPr>
          <w:color w:val="231F20"/>
          <w:spacing w:val="-2"/>
          <w:sz w:val="18"/>
        </w:rPr>
        <w:t>ınez</w:t>
      </w:r>
      <w:r>
        <w:rPr>
          <w:color w:val="231F20"/>
          <w:spacing w:val="-9"/>
          <w:sz w:val="18"/>
        </w:rPr>
        <w:t> </w:t>
      </w:r>
      <w:r>
        <w:rPr>
          <w:color w:val="231F20"/>
          <w:spacing w:val="-2"/>
          <w:sz w:val="18"/>
        </w:rPr>
        <w:t>Ruiz </w:t>
      </w:r>
      <w:r>
        <w:rPr>
          <w:i/>
          <w:color w:val="231F20"/>
          <w:sz w:val="18"/>
        </w:rPr>
        <w:t>Unidad</w:t>
      </w:r>
      <w:r>
        <w:rPr>
          <w:i/>
          <w:color w:val="231F20"/>
          <w:spacing w:val="-6"/>
          <w:sz w:val="18"/>
        </w:rPr>
        <w:t> </w:t>
      </w:r>
      <w:r>
        <w:rPr>
          <w:i/>
          <w:color w:val="231F20"/>
          <w:sz w:val="18"/>
        </w:rPr>
        <w:t>de</w:t>
      </w:r>
      <w:r>
        <w:rPr>
          <w:i/>
          <w:color w:val="231F20"/>
          <w:spacing w:val="-5"/>
          <w:sz w:val="18"/>
        </w:rPr>
        <w:t> </w:t>
      </w:r>
      <w:r>
        <w:rPr>
          <w:i/>
          <w:color w:val="231F20"/>
          <w:sz w:val="18"/>
        </w:rPr>
        <w:t>Biomateriales Hospital</w:t>
      </w:r>
      <w:r>
        <w:rPr>
          <w:i/>
          <w:color w:val="231F20"/>
          <w:spacing w:val="-2"/>
          <w:sz w:val="18"/>
        </w:rPr>
        <w:t> </w:t>
      </w:r>
      <w:r>
        <w:rPr>
          <w:i/>
          <w:color w:val="231F20"/>
          <w:sz w:val="18"/>
        </w:rPr>
        <w:t>Ramo´n</w:t>
      </w:r>
      <w:r>
        <w:rPr>
          <w:i/>
          <w:color w:val="231F20"/>
          <w:spacing w:val="-3"/>
          <w:sz w:val="18"/>
        </w:rPr>
        <w:t> </w:t>
      </w:r>
      <w:r>
        <w:rPr>
          <w:i/>
          <w:color w:val="231F20"/>
          <w:sz w:val="18"/>
        </w:rPr>
        <w:t>y</w:t>
      </w:r>
      <w:r>
        <w:rPr>
          <w:i/>
          <w:color w:val="231F20"/>
          <w:spacing w:val="-2"/>
          <w:sz w:val="18"/>
        </w:rPr>
        <w:t> </w:t>
      </w:r>
      <w:r>
        <w:rPr>
          <w:i/>
          <w:color w:val="231F20"/>
          <w:sz w:val="18"/>
        </w:rPr>
        <w:t>Cajal</w:t>
      </w:r>
    </w:p>
    <w:p>
      <w:pPr>
        <w:spacing w:line="202" w:lineRule="exact" w:before="0"/>
        <w:ind w:left="3768" w:right="0" w:firstLine="0"/>
        <w:jc w:val="both"/>
        <w:rPr>
          <w:i/>
          <w:sz w:val="18"/>
        </w:rPr>
      </w:pPr>
      <w:r>
        <w:rPr>
          <w:i/>
          <w:color w:val="231F20"/>
          <w:sz w:val="18"/>
        </w:rPr>
        <w:t>Madrid,</w:t>
      </w:r>
      <w:r>
        <w:rPr>
          <w:i/>
          <w:color w:val="231F20"/>
          <w:spacing w:val="9"/>
          <w:sz w:val="18"/>
        </w:rPr>
        <w:t> </w:t>
      </w:r>
      <w:r>
        <w:rPr>
          <w:i/>
          <w:color w:val="231F20"/>
          <w:spacing w:val="-4"/>
          <w:sz w:val="18"/>
        </w:rPr>
        <w:t>Spain</w:t>
      </w:r>
    </w:p>
    <w:p>
      <w:pPr>
        <w:spacing w:line="230" w:lineRule="auto" w:before="188"/>
        <w:ind w:left="2879" w:right="217" w:firstLine="502"/>
        <w:jc w:val="right"/>
        <w:rPr>
          <w:i/>
          <w:sz w:val="18"/>
        </w:rPr>
      </w:pPr>
      <w:r>
        <w:rPr>
          <w:color w:val="231F20"/>
          <w:spacing w:val="-2"/>
          <w:sz w:val="18"/>
        </w:rPr>
        <w:t>Arantza</w:t>
      </w:r>
      <w:r>
        <w:rPr>
          <w:color w:val="231F20"/>
          <w:spacing w:val="-6"/>
          <w:sz w:val="18"/>
        </w:rPr>
        <w:t> </w:t>
      </w:r>
      <w:r>
        <w:rPr>
          <w:color w:val="231F20"/>
          <w:spacing w:val="-2"/>
          <w:sz w:val="18"/>
        </w:rPr>
        <w:t>San</w:t>
      </w:r>
      <w:r>
        <w:rPr>
          <w:color w:val="231F20"/>
          <w:spacing w:val="-6"/>
          <w:sz w:val="18"/>
        </w:rPr>
        <w:t> </w:t>
      </w:r>
      <w:r>
        <w:rPr>
          <w:color w:val="231F20"/>
          <w:spacing w:val="-2"/>
          <w:sz w:val="18"/>
        </w:rPr>
        <w:t>Milla</w:t>
      </w:r>
      <w:r>
        <w:rPr>
          <w:color w:val="231F20"/>
          <w:spacing w:val="-2"/>
          <w:position w:val="1"/>
          <w:sz w:val="18"/>
        </w:rPr>
        <w:t>´</w:t>
      </w:r>
      <w:r>
        <w:rPr>
          <w:color w:val="231F20"/>
          <w:spacing w:val="-2"/>
          <w:sz w:val="18"/>
        </w:rPr>
        <w:t>n </w:t>
      </w:r>
      <w:r>
        <w:rPr>
          <w:i/>
          <w:color w:val="231F20"/>
          <w:spacing w:val="-2"/>
          <w:sz w:val="18"/>
        </w:rPr>
        <w:t>Servicio</w:t>
      </w:r>
      <w:r>
        <w:rPr>
          <w:i/>
          <w:color w:val="231F20"/>
          <w:spacing w:val="-6"/>
          <w:sz w:val="18"/>
        </w:rPr>
        <w:t> </w:t>
      </w:r>
      <w:r>
        <w:rPr>
          <w:i/>
          <w:color w:val="231F20"/>
          <w:spacing w:val="-2"/>
          <w:sz w:val="18"/>
        </w:rPr>
        <w:t>de</w:t>
      </w:r>
      <w:r>
        <w:rPr>
          <w:i/>
          <w:color w:val="231F20"/>
          <w:spacing w:val="-6"/>
          <w:sz w:val="18"/>
        </w:rPr>
        <w:t> </w:t>
      </w:r>
      <w:r>
        <w:rPr>
          <w:i/>
          <w:color w:val="231F20"/>
          <w:spacing w:val="-2"/>
          <w:sz w:val="18"/>
        </w:rPr>
        <w:t>Rehabilitacio´n </w:t>
      </w:r>
      <w:r>
        <w:rPr>
          <w:i/>
          <w:color w:val="231F20"/>
          <w:sz w:val="18"/>
        </w:rPr>
        <w:t>Hospital Ramo´n y Cajal</w:t>
      </w:r>
    </w:p>
    <w:p>
      <w:pPr>
        <w:spacing w:line="203" w:lineRule="exact" w:before="0"/>
        <w:ind w:left="0" w:right="216" w:firstLine="0"/>
        <w:jc w:val="right"/>
        <w:rPr>
          <w:i/>
          <w:sz w:val="18"/>
        </w:rPr>
      </w:pPr>
      <w:r>
        <w:rPr>
          <w:i/>
          <w:color w:val="231F20"/>
          <w:sz w:val="18"/>
        </w:rPr>
        <w:t>Madrid,</w:t>
      </w:r>
      <w:r>
        <w:rPr>
          <w:i/>
          <w:color w:val="231F20"/>
          <w:spacing w:val="9"/>
          <w:sz w:val="18"/>
        </w:rPr>
        <w:t> </w:t>
      </w:r>
      <w:r>
        <w:rPr>
          <w:i/>
          <w:color w:val="231F20"/>
          <w:spacing w:val="-4"/>
          <w:sz w:val="18"/>
        </w:rPr>
        <w:t>Spain</w:t>
      </w:r>
    </w:p>
    <w:p>
      <w:pPr>
        <w:spacing w:line="230" w:lineRule="auto" w:before="198"/>
        <w:ind w:left="2823" w:right="217" w:firstLine="987"/>
        <w:jc w:val="right"/>
        <w:rPr>
          <w:i/>
          <w:sz w:val="18"/>
        </w:rPr>
      </w:pPr>
      <w:r>
        <w:rPr>
          <w:color w:val="231F20"/>
          <w:sz w:val="18"/>
        </w:rPr>
        <w:t>Elena</w:t>
      </w:r>
      <w:r>
        <w:rPr>
          <w:color w:val="231F20"/>
          <w:spacing w:val="-8"/>
          <w:sz w:val="18"/>
        </w:rPr>
        <w:t> </w:t>
      </w:r>
      <w:r>
        <w:rPr>
          <w:color w:val="231F20"/>
          <w:sz w:val="18"/>
        </w:rPr>
        <w:t>Montes </w:t>
      </w:r>
      <w:r>
        <w:rPr>
          <w:i/>
          <w:color w:val="231F20"/>
          <w:spacing w:val="-2"/>
          <w:sz w:val="18"/>
        </w:rPr>
        <w:t>Servicio</w:t>
      </w:r>
      <w:r>
        <w:rPr>
          <w:i/>
          <w:color w:val="231F20"/>
          <w:spacing w:val="-6"/>
          <w:sz w:val="18"/>
        </w:rPr>
        <w:t> </w:t>
      </w:r>
      <w:r>
        <w:rPr>
          <w:i/>
          <w:color w:val="231F20"/>
          <w:spacing w:val="-2"/>
          <w:sz w:val="18"/>
        </w:rPr>
        <w:t>de</w:t>
      </w:r>
      <w:r>
        <w:rPr>
          <w:i/>
          <w:color w:val="231F20"/>
          <w:spacing w:val="-7"/>
          <w:sz w:val="18"/>
        </w:rPr>
        <w:t> </w:t>
      </w:r>
      <w:r>
        <w:rPr>
          <w:i/>
          <w:color w:val="231F20"/>
          <w:spacing w:val="-2"/>
          <w:sz w:val="18"/>
        </w:rPr>
        <w:t>Neuroﬁsiologı´a </w:t>
      </w:r>
      <w:r>
        <w:rPr>
          <w:i/>
          <w:color w:val="231F20"/>
          <w:sz w:val="18"/>
        </w:rPr>
        <w:t>Hospital Ramo´n y Cajal</w:t>
      </w:r>
    </w:p>
    <w:p>
      <w:pPr>
        <w:spacing w:line="202" w:lineRule="exact" w:before="0"/>
        <w:ind w:left="0" w:right="216" w:firstLine="0"/>
        <w:jc w:val="right"/>
        <w:rPr>
          <w:i/>
          <w:sz w:val="18"/>
        </w:rPr>
      </w:pPr>
      <w:r>
        <w:rPr>
          <w:i/>
          <w:color w:val="231F20"/>
          <w:sz w:val="18"/>
        </w:rPr>
        <w:t>Madrid,</w:t>
      </w:r>
      <w:r>
        <w:rPr>
          <w:i/>
          <w:color w:val="231F20"/>
          <w:spacing w:val="9"/>
          <w:sz w:val="18"/>
        </w:rPr>
        <w:t> </w:t>
      </w:r>
      <w:r>
        <w:rPr>
          <w:i/>
          <w:color w:val="231F20"/>
          <w:spacing w:val="-4"/>
          <w:sz w:val="18"/>
        </w:rPr>
        <w:t>Spain</w:t>
      </w:r>
    </w:p>
    <w:p>
      <w:pPr>
        <w:spacing w:line="230" w:lineRule="auto" w:before="198"/>
        <w:ind w:left="2225" w:right="217" w:firstLine="1416"/>
        <w:jc w:val="right"/>
        <w:rPr>
          <w:i/>
          <w:sz w:val="18"/>
        </w:rPr>
      </w:pPr>
      <w:r>
        <w:rPr>
          <w:color w:val="231F20"/>
          <w:sz w:val="18"/>
        </w:rPr>
        <w:t>Ignacio</w:t>
      </w:r>
      <w:r>
        <w:rPr>
          <w:color w:val="231F20"/>
          <w:spacing w:val="-6"/>
          <w:sz w:val="18"/>
        </w:rPr>
        <w:t> </w:t>
      </w:r>
      <w:r>
        <w:rPr>
          <w:color w:val="231F20"/>
          <w:sz w:val="18"/>
        </w:rPr>
        <w:t>Regidor </w:t>
      </w:r>
      <w:r>
        <w:rPr>
          <w:i/>
          <w:color w:val="231F20"/>
          <w:spacing w:val="-2"/>
          <w:sz w:val="18"/>
        </w:rPr>
        <w:t>Unidad de Neurocirugı´a Funcional </w:t>
      </w:r>
      <w:r>
        <w:rPr>
          <w:i/>
          <w:color w:val="231F20"/>
          <w:sz w:val="18"/>
        </w:rPr>
        <w:t>Servicio de Neuroﬁsiologı´a Hospital Ramo´n y Cajal</w:t>
      </w:r>
    </w:p>
    <w:p>
      <w:pPr>
        <w:spacing w:line="203" w:lineRule="exact" w:before="0"/>
        <w:ind w:left="0" w:right="216" w:firstLine="0"/>
        <w:jc w:val="right"/>
        <w:rPr>
          <w:i/>
          <w:sz w:val="18"/>
        </w:rPr>
      </w:pPr>
      <w:r>
        <w:rPr>
          <w:i/>
          <w:color w:val="231F20"/>
          <w:sz w:val="18"/>
        </w:rPr>
        <w:t>Madrid,</w:t>
      </w:r>
      <w:r>
        <w:rPr>
          <w:i/>
          <w:color w:val="231F20"/>
          <w:spacing w:val="9"/>
          <w:sz w:val="18"/>
        </w:rPr>
        <w:t> </w:t>
      </w:r>
      <w:r>
        <w:rPr>
          <w:i/>
          <w:color w:val="231F20"/>
          <w:spacing w:val="-4"/>
          <w:sz w:val="18"/>
        </w:rPr>
        <w:t>Spain</w:t>
      </w:r>
    </w:p>
    <w:p>
      <w:pPr>
        <w:pStyle w:val="BodyText"/>
        <w:spacing w:line="203" w:lineRule="exact" w:before="191"/>
        <w:ind w:right="217"/>
        <w:jc w:val="right"/>
      </w:pPr>
      <w:r>
        <w:rPr>
          <w:color w:val="231F20"/>
        </w:rPr>
        <w:t>Marta</w:t>
      </w:r>
      <w:r>
        <w:rPr>
          <w:color w:val="231F20"/>
          <w:spacing w:val="11"/>
        </w:rPr>
        <w:t> </w:t>
      </w:r>
      <w:r>
        <w:rPr>
          <w:color w:val="231F20"/>
        </w:rPr>
        <w:t>del</w:t>
      </w:r>
      <w:r>
        <w:rPr>
          <w:color w:val="231F20"/>
          <w:spacing w:val="11"/>
        </w:rPr>
        <w:t> </w:t>
      </w:r>
      <w:r>
        <w:rPr>
          <w:color w:val="231F20"/>
        </w:rPr>
        <w:t>Alamo</w:t>
      </w:r>
      <w:r>
        <w:rPr>
          <w:color w:val="231F20"/>
          <w:spacing w:val="12"/>
        </w:rPr>
        <w:t> </w:t>
      </w:r>
      <w:r>
        <w:rPr>
          <w:color w:val="231F20"/>
        </w:rPr>
        <w:t>de</w:t>
      </w:r>
      <w:r>
        <w:rPr>
          <w:color w:val="231F20"/>
          <w:spacing w:val="12"/>
        </w:rPr>
        <w:t> </w:t>
      </w:r>
      <w:r>
        <w:rPr>
          <w:color w:val="231F20"/>
          <w:spacing w:val="-2"/>
        </w:rPr>
        <w:t>Pedro</w:t>
      </w:r>
    </w:p>
    <w:p>
      <w:pPr>
        <w:spacing w:line="200" w:lineRule="exact" w:before="0"/>
        <w:ind w:left="0" w:right="217" w:firstLine="0"/>
        <w:jc w:val="right"/>
        <w:rPr>
          <w:i/>
          <w:sz w:val="18"/>
        </w:rPr>
      </w:pPr>
      <w:r>
        <w:rPr>
          <w:i/>
          <w:color w:val="231F20"/>
          <w:spacing w:val="-2"/>
          <w:sz w:val="18"/>
        </w:rPr>
        <w:t>Unidad</w:t>
      </w:r>
      <w:r>
        <w:rPr>
          <w:i/>
          <w:color w:val="231F20"/>
          <w:spacing w:val="2"/>
          <w:sz w:val="18"/>
        </w:rPr>
        <w:t> </w:t>
      </w:r>
      <w:r>
        <w:rPr>
          <w:i/>
          <w:color w:val="231F20"/>
          <w:spacing w:val="-2"/>
          <w:sz w:val="18"/>
        </w:rPr>
        <w:t>de</w:t>
      </w:r>
      <w:r>
        <w:rPr>
          <w:i/>
          <w:color w:val="231F20"/>
          <w:spacing w:val="3"/>
          <w:sz w:val="18"/>
        </w:rPr>
        <w:t> </w:t>
      </w:r>
      <w:r>
        <w:rPr>
          <w:i/>
          <w:color w:val="231F20"/>
          <w:spacing w:val="-2"/>
          <w:sz w:val="18"/>
        </w:rPr>
        <w:t>Neurocirugı´a</w:t>
      </w:r>
      <w:r>
        <w:rPr>
          <w:i/>
          <w:color w:val="231F20"/>
          <w:spacing w:val="3"/>
          <w:sz w:val="18"/>
        </w:rPr>
        <w:t> </w:t>
      </w:r>
      <w:r>
        <w:rPr>
          <w:i/>
          <w:color w:val="231F20"/>
          <w:spacing w:val="-2"/>
          <w:sz w:val="18"/>
        </w:rPr>
        <w:t>Funcional</w:t>
      </w:r>
    </w:p>
    <w:p>
      <w:pPr>
        <w:spacing w:line="199" w:lineRule="exact" w:before="0"/>
        <w:ind w:left="0" w:right="217" w:firstLine="0"/>
        <w:jc w:val="right"/>
        <w:rPr>
          <w:i/>
          <w:sz w:val="18"/>
        </w:rPr>
      </w:pPr>
      <w:r>
        <w:rPr>
          <w:i/>
          <w:color w:val="231F20"/>
          <w:spacing w:val="-2"/>
          <w:sz w:val="18"/>
        </w:rPr>
        <w:t>Hospital</w:t>
      </w:r>
      <w:r>
        <w:rPr>
          <w:i/>
          <w:color w:val="231F20"/>
          <w:sz w:val="18"/>
        </w:rPr>
        <w:t> </w:t>
      </w:r>
      <w:r>
        <w:rPr>
          <w:i/>
          <w:color w:val="231F20"/>
          <w:spacing w:val="-2"/>
          <w:sz w:val="18"/>
        </w:rPr>
        <w:t>Ramo´n</w:t>
      </w:r>
      <w:r>
        <w:rPr>
          <w:i/>
          <w:color w:val="231F20"/>
          <w:sz w:val="18"/>
        </w:rPr>
        <w:t> </w:t>
      </w:r>
      <w:r>
        <w:rPr>
          <w:i/>
          <w:color w:val="231F20"/>
          <w:spacing w:val="-2"/>
          <w:sz w:val="18"/>
        </w:rPr>
        <w:t>y</w:t>
      </w:r>
      <w:r>
        <w:rPr>
          <w:i/>
          <w:color w:val="231F20"/>
          <w:spacing w:val="1"/>
          <w:sz w:val="18"/>
        </w:rPr>
        <w:t> </w:t>
      </w:r>
      <w:r>
        <w:rPr>
          <w:i/>
          <w:color w:val="231F20"/>
          <w:spacing w:val="-2"/>
          <w:sz w:val="18"/>
        </w:rPr>
        <w:t>Cajal</w:t>
      </w:r>
    </w:p>
    <w:p>
      <w:pPr>
        <w:spacing w:line="203" w:lineRule="exact" w:before="0"/>
        <w:ind w:left="0" w:right="216" w:firstLine="0"/>
        <w:jc w:val="right"/>
        <w:rPr>
          <w:i/>
          <w:sz w:val="18"/>
        </w:rPr>
      </w:pPr>
      <w:r>
        <w:rPr>
          <w:i/>
          <w:color w:val="231F20"/>
          <w:sz w:val="18"/>
        </w:rPr>
        <w:t>Madrid,</w:t>
      </w:r>
      <w:r>
        <w:rPr>
          <w:i/>
          <w:color w:val="231F20"/>
          <w:spacing w:val="9"/>
          <w:sz w:val="18"/>
        </w:rPr>
        <w:t> </w:t>
      </w:r>
      <w:r>
        <w:rPr>
          <w:i/>
          <w:color w:val="231F20"/>
          <w:spacing w:val="-4"/>
          <w:sz w:val="18"/>
        </w:rPr>
        <w:t>Spain</w:t>
      </w:r>
    </w:p>
    <w:p>
      <w:pPr>
        <w:spacing w:line="230" w:lineRule="auto" w:before="189"/>
        <w:ind w:left="2634" w:right="216" w:firstLine="239"/>
        <w:jc w:val="right"/>
        <w:rPr>
          <w:i/>
          <w:sz w:val="18"/>
        </w:rPr>
      </w:pPr>
      <w:r>
        <w:rPr>
          <w:color w:val="231F20"/>
          <w:spacing w:val="-2"/>
          <w:sz w:val="18"/>
        </w:rPr>
        <w:t>Roberto</w:t>
      </w:r>
      <w:r>
        <w:rPr>
          <w:color w:val="231F20"/>
          <w:spacing w:val="-7"/>
          <w:sz w:val="18"/>
        </w:rPr>
        <w:t> </w:t>
      </w:r>
      <w:r>
        <w:rPr>
          <w:color w:val="231F20"/>
          <w:spacing w:val="-2"/>
          <w:sz w:val="18"/>
        </w:rPr>
        <w:t>Figueiras-</w:t>
      </w:r>
      <w:r>
        <w:rPr>
          <w:color w:val="231F20"/>
          <w:spacing w:val="-2"/>
          <w:sz w:val="18"/>
        </w:rPr>
        <w:t>Me</w:t>
      </w:r>
      <w:r>
        <w:rPr>
          <w:color w:val="231F20"/>
          <w:spacing w:val="-2"/>
          <w:position w:val="1"/>
          <w:sz w:val="18"/>
        </w:rPr>
        <w:t>´</w:t>
      </w:r>
      <w:r>
        <w:rPr>
          <w:color w:val="231F20"/>
          <w:spacing w:val="-2"/>
          <w:sz w:val="18"/>
        </w:rPr>
        <w:t>ndez </w:t>
      </w:r>
      <w:r>
        <w:rPr>
          <w:i/>
          <w:color w:val="231F20"/>
          <w:spacing w:val="-2"/>
          <w:sz w:val="18"/>
        </w:rPr>
        <w:t>Unidad</w:t>
      </w:r>
      <w:r>
        <w:rPr>
          <w:i/>
          <w:color w:val="231F20"/>
          <w:spacing w:val="-3"/>
          <w:sz w:val="18"/>
        </w:rPr>
        <w:t> </w:t>
      </w:r>
      <w:r>
        <w:rPr>
          <w:i/>
          <w:color w:val="231F20"/>
          <w:spacing w:val="-2"/>
          <w:sz w:val="18"/>
        </w:rPr>
        <w:t>de Cirugı´a Funcional </w:t>
      </w:r>
      <w:r>
        <w:rPr>
          <w:i/>
          <w:color w:val="231F20"/>
          <w:sz w:val="18"/>
        </w:rPr>
        <w:t>Hospital Ramo´n y Cajal</w:t>
      </w:r>
    </w:p>
    <w:p>
      <w:pPr>
        <w:spacing w:line="202" w:lineRule="exact" w:before="0"/>
        <w:ind w:left="0" w:right="216" w:firstLine="0"/>
        <w:jc w:val="right"/>
        <w:rPr>
          <w:i/>
          <w:sz w:val="18"/>
        </w:rPr>
      </w:pPr>
      <w:r>
        <w:rPr>
          <w:i/>
          <w:color w:val="231F20"/>
          <w:sz w:val="18"/>
        </w:rPr>
        <w:t>Madrid,</w:t>
      </w:r>
      <w:r>
        <w:rPr>
          <w:i/>
          <w:color w:val="231F20"/>
          <w:spacing w:val="9"/>
          <w:sz w:val="18"/>
        </w:rPr>
        <w:t> </w:t>
      </w:r>
      <w:r>
        <w:rPr>
          <w:i/>
          <w:color w:val="231F20"/>
          <w:spacing w:val="-4"/>
          <w:sz w:val="18"/>
        </w:rPr>
        <w:t>Spain</w:t>
      </w:r>
    </w:p>
    <w:p>
      <w:pPr>
        <w:pStyle w:val="BodyText"/>
        <w:spacing w:before="55"/>
        <w:rPr>
          <w:i/>
        </w:rPr>
      </w:pPr>
    </w:p>
    <w:p>
      <w:pPr>
        <w:pStyle w:val="Heading2"/>
        <w:ind w:left="259" w:right="224"/>
      </w:pPr>
      <w:r>
        <w:rPr>
          <w:color w:val="231F20"/>
          <w:spacing w:val="-2"/>
          <w:w w:val="105"/>
        </w:rPr>
        <w:t>References</w:t>
      </w:r>
    </w:p>
    <w:p>
      <w:pPr>
        <w:pStyle w:val="ListParagraph"/>
        <w:numPr>
          <w:ilvl w:val="0"/>
          <w:numId w:val="12"/>
        </w:numPr>
        <w:tabs>
          <w:tab w:pos="501" w:val="left" w:leader="none"/>
          <w:tab w:pos="503" w:val="left" w:leader="none"/>
        </w:tabs>
        <w:spacing w:line="232" w:lineRule="auto" w:before="134" w:after="0"/>
        <w:ind w:left="503" w:right="209" w:hanging="248"/>
        <w:jc w:val="both"/>
        <w:rPr>
          <w:sz w:val="16"/>
        </w:rPr>
      </w:pPr>
      <w:r>
        <w:rPr>
          <w:color w:val="231F20"/>
          <w:sz w:val="16"/>
        </w:rPr>
        <w:t>Heilman</w:t>
      </w:r>
      <w:r>
        <w:rPr>
          <w:color w:val="231F20"/>
          <w:spacing w:val="40"/>
          <w:sz w:val="16"/>
        </w:rPr>
        <w:t> </w:t>
      </w:r>
      <w:r>
        <w:rPr>
          <w:color w:val="231F20"/>
          <w:sz w:val="16"/>
        </w:rPr>
        <w:t>KM.</w:t>
      </w:r>
      <w:r>
        <w:rPr>
          <w:color w:val="231F20"/>
          <w:spacing w:val="40"/>
          <w:sz w:val="16"/>
        </w:rPr>
        <w:t> </w:t>
      </w:r>
      <w:r>
        <w:rPr>
          <w:color w:val="231F20"/>
          <w:sz w:val="16"/>
        </w:rPr>
        <w:t>Ortohstatic</w:t>
      </w:r>
      <w:r>
        <w:rPr>
          <w:color w:val="231F20"/>
          <w:spacing w:val="40"/>
          <w:sz w:val="16"/>
        </w:rPr>
        <w:t> </w:t>
      </w:r>
      <w:r>
        <w:rPr>
          <w:color w:val="231F20"/>
          <w:sz w:val="16"/>
        </w:rPr>
        <w:t>tremor.</w:t>
      </w:r>
      <w:r>
        <w:rPr>
          <w:color w:val="231F20"/>
          <w:spacing w:val="40"/>
          <w:sz w:val="16"/>
        </w:rPr>
        <w:t> </w:t>
      </w:r>
      <w:r>
        <w:rPr>
          <w:color w:val="231F20"/>
          <w:sz w:val="16"/>
        </w:rPr>
        <w:t>Arch</w:t>
      </w:r>
      <w:r>
        <w:rPr>
          <w:color w:val="231F20"/>
          <w:spacing w:val="40"/>
          <w:sz w:val="16"/>
        </w:rPr>
        <w:t> </w:t>
      </w:r>
      <w:r>
        <w:rPr>
          <w:color w:val="231F20"/>
          <w:sz w:val="16"/>
        </w:rPr>
        <w:t>Neurol</w:t>
      </w:r>
      <w:r>
        <w:rPr>
          <w:color w:val="231F20"/>
          <w:spacing w:val="40"/>
          <w:sz w:val="16"/>
        </w:rPr>
        <w:t> </w:t>
      </w:r>
      <w:r>
        <w:rPr>
          <w:color w:val="231F20"/>
          <w:sz w:val="16"/>
        </w:rPr>
        <w:t>1984;41:</w:t>
      </w:r>
      <w:r>
        <w:rPr>
          <w:color w:val="231F20"/>
          <w:spacing w:val="40"/>
          <w:sz w:val="16"/>
        </w:rPr>
        <w:t> </w:t>
      </w:r>
      <w:r>
        <w:rPr>
          <w:color w:val="231F20"/>
          <w:spacing w:val="-2"/>
          <w:sz w:val="16"/>
        </w:rPr>
        <w:t>880–881.</w:t>
      </w:r>
    </w:p>
    <w:p>
      <w:pPr>
        <w:pStyle w:val="ListParagraph"/>
        <w:numPr>
          <w:ilvl w:val="0"/>
          <w:numId w:val="12"/>
        </w:numPr>
        <w:tabs>
          <w:tab w:pos="501" w:val="left" w:leader="none"/>
          <w:tab w:pos="503" w:val="left" w:leader="none"/>
        </w:tabs>
        <w:spacing w:line="232" w:lineRule="auto" w:before="3" w:after="0"/>
        <w:ind w:left="503" w:right="215" w:hanging="248"/>
        <w:jc w:val="both"/>
        <w:rPr>
          <w:sz w:val="16"/>
        </w:rPr>
      </w:pPr>
      <w:r>
        <w:rPr>
          <w:color w:val="231F20"/>
          <w:sz w:val="16"/>
        </w:rPr>
        <w:t>Espay</w:t>
      </w:r>
      <w:r>
        <w:rPr>
          <w:color w:val="231F20"/>
          <w:spacing w:val="27"/>
          <w:sz w:val="16"/>
        </w:rPr>
        <w:t> </w:t>
      </w:r>
      <w:r>
        <w:rPr>
          <w:color w:val="231F20"/>
          <w:sz w:val="16"/>
        </w:rPr>
        <w:t>AJ,</w:t>
      </w:r>
      <w:r>
        <w:rPr>
          <w:color w:val="231F20"/>
          <w:spacing w:val="29"/>
          <w:sz w:val="16"/>
        </w:rPr>
        <w:t> </w:t>
      </w:r>
      <w:r>
        <w:rPr>
          <w:color w:val="231F20"/>
          <w:sz w:val="16"/>
        </w:rPr>
        <w:t>Duker</w:t>
      </w:r>
      <w:r>
        <w:rPr>
          <w:color w:val="231F20"/>
          <w:spacing w:val="28"/>
          <w:sz w:val="16"/>
        </w:rPr>
        <w:t> </w:t>
      </w:r>
      <w:r>
        <w:rPr>
          <w:color w:val="231F20"/>
          <w:sz w:val="16"/>
        </w:rPr>
        <w:t>AP,</w:t>
      </w:r>
      <w:r>
        <w:rPr>
          <w:color w:val="231F20"/>
          <w:spacing w:val="27"/>
          <w:sz w:val="16"/>
        </w:rPr>
        <w:t> </w:t>
      </w:r>
      <w:r>
        <w:rPr>
          <w:color w:val="231F20"/>
          <w:sz w:val="16"/>
        </w:rPr>
        <w:t>Chen</w:t>
      </w:r>
      <w:r>
        <w:rPr>
          <w:color w:val="231F20"/>
          <w:spacing w:val="28"/>
          <w:sz w:val="16"/>
        </w:rPr>
        <w:t> </w:t>
      </w:r>
      <w:r>
        <w:rPr>
          <w:color w:val="231F20"/>
          <w:sz w:val="16"/>
        </w:rPr>
        <w:t>R,</w:t>
      </w:r>
      <w:r>
        <w:rPr>
          <w:color w:val="231F20"/>
          <w:spacing w:val="28"/>
          <w:sz w:val="16"/>
        </w:rPr>
        <w:t> </w:t>
      </w:r>
      <w:r>
        <w:rPr>
          <w:color w:val="231F20"/>
          <w:sz w:val="16"/>
        </w:rPr>
        <w:t>et</w:t>
      </w:r>
      <w:r>
        <w:rPr>
          <w:color w:val="231F20"/>
          <w:spacing w:val="29"/>
          <w:sz w:val="16"/>
        </w:rPr>
        <w:t> </w:t>
      </w:r>
      <w:r>
        <w:rPr>
          <w:color w:val="231F20"/>
          <w:sz w:val="16"/>
        </w:rPr>
        <w:t>al.</w:t>
      </w:r>
      <w:r>
        <w:rPr>
          <w:color w:val="231F20"/>
          <w:spacing w:val="29"/>
          <w:sz w:val="16"/>
        </w:rPr>
        <w:t> </w:t>
      </w:r>
      <w:r>
        <w:rPr>
          <w:color w:val="231F20"/>
          <w:sz w:val="16"/>
        </w:rPr>
        <w:t>Deep</w:t>
      </w:r>
      <w:r>
        <w:rPr>
          <w:color w:val="231F20"/>
          <w:spacing w:val="27"/>
          <w:sz w:val="16"/>
        </w:rPr>
        <w:t> </w:t>
      </w:r>
      <w:r>
        <w:rPr>
          <w:color w:val="231F20"/>
          <w:sz w:val="16"/>
        </w:rPr>
        <w:t>brain</w:t>
      </w:r>
      <w:r>
        <w:rPr>
          <w:color w:val="231F20"/>
          <w:spacing w:val="28"/>
          <w:sz w:val="16"/>
        </w:rPr>
        <w:t> </w:t>
      </w:r>
      <w:r>
        <w:rPr>
          <w:color w:val="231F20"/>
          <w:sz w:val="16"/>
        </w:rPr>
        <w:t>stimulation</w:t>
      </w:r>
      <w:r>
        <w:rPr>
          <w:color w:val="231F20"/>
          <w:spacing w:val="27"/>
          <w:sz w:val="16"/>
        </w:rPr>
        <w:t> </w:t>
      </w:r>
      <w:r>
        <w:rPr>
          <w:color w:val="231F20"/>
          <w:sz w:val="16"/>
        </w:rPr>
        <w:t>of</w:t>
      </w:r>
      <w:r>
        <w:rPr>
          <w:color w:val="231F20"/>
          <w:spacing w:val="40"/>
          <w:sz w:val="16"/>
        </w:rPr>
        <w:t> </w:t>
      </w:r>
      <w:r>
        <w:rPr>
          <w:color w:val="231F20"/>
          <w:sz w:val="16"/>
        </w:rPr>
        <w:t>the ventral intermediate nucleus of the thalamus in </w:t>
      </w:r>
      <w:r>
        <w:rPr>
          <w:color w:val="231F20"/>
          <w:sz w:val="16"/>
        </w:rPr>
        <w:t>medically</w:t>
      </w:r>
      <w:r>
        <w:rPr>
          <w:color w:val="231F20"/>
          <w:spacing w:val="40"/>
          <w:sz w:val="16"/>
        </w:rPr>
        <w:t> </w:t>
      </w:r>
      <w:r>
        <w:rPr>
          <w:color w:val="231F20"/>
          <w:sz w:val="16"/>
        </w:rPr>
        <w:t>refractory orthostatic tremor: preliminary observations. Mov</w:t>
      </w:r>
      <w:r>
        <w:rPr>
          <w:color w:val="231F20"/>
          <w:spacing w:val="40"/>
          <w:sz w:val="16"/>
        </w:rPr>
        <w:t> </w:t>
      </w:r>
      <w:r>
        <w:rPr>
          <w:color w:val="231F20"/>
          <w:sz w:val="16"/>
        </w:rPr>
        <w:t>Disord</w:t>
      </w:r>
      <w:r>
        <w:rPr>
          <w:color w:val="231F20"/>
          <w:spacing w:val="40"/>
          <w:sz w:val="16"/>
        </w:rPr>
        <w:t> </w:t>
      </w:r>
      <w:r>
        <w:rPr>
          <w:color w:val="231F20"/>
          <w:sz w:val="16"/>
        </w:rPr>
        <w:t>2008;16:2357–2362.</w:t>
      </w:r>
    </w:p>
    <w:p>
      <w:pPr>
        <w:pStyle w:val="ListParagraph"/>
        <w:numPr>
          <w:ilvl w:val="0"/>
          <w:numId w:val="12"/>
        </w:numPr>
        <w:tabs>
          <w:tab w:pos="501" w:val="left" w:leader="none"/>
          <w:tab w:pos="503" w:val="left" w:leader="none"/>
        </w:tabs>
        <w:spacing w:line="232" w:lineRule="auto" w:before="3" w:after="0"/>
        <w:ind w:left="503" w:right="216" w:hanging="248"/>
        <w:jc w:val="both"/>
        <w:rPr>
          <w:sz w:val="16"/>
        </w:rPr>
      </w:pPr>
      <w:r>
        <w:rPr>
          <w:color w:val="231F20"/>
          <w:sz w:val="16"/>
        </w:rPr>
        <w:t>Guridi J, Rodriguez-Oroz MC, Arbizu J, et al. Successful </w:t>
      </w:r>
      <w:r>
        <w:rPr>
          <w:color w:val="231F20"/>
          <w:sz w:val="16"/>
        </w:rPr>
        <w:t>tha-</w:t>
      </w:r>
      <w:r>
        <w:rPr>
          <w:color w:val="231F20"/>
          <w:spacing w:val="40"/>
          <w:sz w:val="16"/>
        </w:rPr>
        <w:t> </w:t>
      </w:r>
      <w:r>
        <w:rPr>
          <w:color w:val="231F20"/>
          <w:sz w:val="16"/>
        </w:rPr>
        <w:t>lamic</w:t>
      </w:r>
      <w:r>
        <w:rPr>
          <w:color w:val="231F20"/>
          <w:spacing w:val="40"/>
          <w:sz w:val="16"/>
        </w:rPr>
        <w:t> </w:t>
      </w:r>
      <w:r>
        <w:rPr>
          <w:color w:val="231F20"/>
          <w:sz w:val="16"/>
        </w:rPr>
        <w:t>deep</w:t>
      </w:r>
      <w:r>
        <w:rPr>
          <w:color w:val="231F20"/>
          <w:spacing w:val="40"/>
          <w:sz w:val="16"/>
        </w:rPr>
        <w:t> </w:t>
      </w:r>
      <w:r>
        <w:rPr>
          <w:color w:val="231F20"/>
          <w:sz w:val="16"/>
        </w:rPr>
        <w:t>brain</w:t>
      </w:r>
      <w:r>
        <w:rPr>
          <w:color w:val="231F20"/>
          <w:spacing w:val="40"/>
          <w:sz w:val="16"/>
        </w:rPr>
        <w:t> </w:t>
      </w:r>
      <w:r>
        <w:rPr>
          <w:color w:val="231F20"/>
          <w:sz w:val="16"/>
        </w:rPr>
        <w:t>stimulation</w:t>
      </w:r>
      <w:r>
        <w:rPr>
          <w:color w:val="231F20"/>
          <w:spacing w:val="40"/>
          <w:sz w:val="16"/>
        </w:rPr>
        <w:t> </w:t>
      </w:r>
      <w:r>
        <w:rPr>
          <w:color w:val="231F20"/>
          <w:sz w:val="16"/>
        </w:rPr>
        <w:t>for</w:t>
      </w:r>
      <w:r>
        <w:rPr>
          <w:color w:val="231F20"/>
          <w:spacing w:val="40"/>
          <w:sz w:val="16"/>
        </w:rPr>
        <w:t> </w:t>
      </w:r>
      <w:r>
        <w:rPr>
          <w:color w:val="231F20"/>
          <w:sz w:val="16"/>
        </w:rPr>
        <w:t>orthostatic</w:t>
      </w:r>
      <w:r>
        <w:rPr>
          <w:color w:val="231F20"/>
          <w:spacing w:val="40"/>
          <w:sz w:val="16"/>
        </w:rPr>
        <w:t> </w:t>
      </w:r>
      <w:r>
        <w:rPr>
          <w:color w:val="231F20"/>
          <w:sz w:val="16"/>
        </w:rPr>
        <w:t>tremor.</w:t>
      </w:r>
      <w:r>
        <w:rPr>
          <w:color w:val="231F20"/>
          <w:spacing w:val="40"/>
          <w:sz w:val="16"/>
        </w:rPr>
        <w:t> </w:t>
      </w:r>
      <w:r>
        <w:rPr>
          <w:color w:val="231F20"/>
          <w:sz w:val="16"/>
        </w:rPr>
        <w:t>Mov</w:t>
      </w:r>
      <w:r>
        <w:rPr>
          <w:color w:val="231F20"/>
          <w:spacing w:val="40"/>
          <w:sz w:val="16"/>
        </w:rPr>
        <w:t> </w:t>
      </w:r>
      <w:r>
        <w:rPr>
          <w:color w:val="231F20"/>
          <w:sz w:val="16"/>
        </w:rPr>
        <w:t>Dis-</w:t>
      </w:r>
      <w:r>
        <w:rPr>
          <w:color w:val="231F20"/>
          <w:spacing w:val="40"/>
          <w:sz w:val="16"/>
        </w:rPr>
        <w:t> </w:t>
      </w:r>
      <w:r>
        <w:rPr>
          <w:color w:val="231F20"/>
          <w:sz w:val="16"/>
        </w:rPr>
        <w:t>ord</w:t>
      </w:r>
      <w:r>
        <w:rPr>
          <w:color w:val="231F20"/>
          <w:spacing w:val="40"/>
          <w:sz w:val="16"/>
        </w:rPr>
        <w:t> </w:t>
      </w:r>
      <w:r>
        <w:rPr>
          <w:color w:val="231F20"/>
          <w:sz w:val="16"/>
        </w:rPr>
        <w:t>2008;</w:t>
      </w:r>
      <w:r>
        <w:rPr>
          <w:color w:val="231F20"/>
          <w:spacing w:val="40"/>
          <w:sz w:val="16"/>
        </w:rPr>
        <w:t> </w:t>
      </w:r>
      <w:r>
        <w:rPr>
          <w:color w:val="231F20"/>
          <w:sz w:val="16"/>
        </w:rPr>
        <w:t>23:1808–1811.</w:t>
      </w:r>
    </w:p>
    <w:p>
      <w:pPr>
        <w:pStyle w:val="ListParagraph"/>
        <w:numPr>
          <w:ilvl w:val="0"/>
          <w:numId w:val="12"/>
        </w:numPr>
        <w:tabs>
          <w:tab w:pos="501" w:val="left" w:leader="none"/>
          <w:tab w:pos="503" w:val="left" w:leader="none"/>
        </w:tabs>
        <w:spacing w:line="225" w:lineRule="auto" w:before="0" w:after="0"/>
        <w:ind w:left="503" w:right="216" w:hanging="248"/>
        <w:jc w:val="both"/>
        <w:rPr>
          <w:sz w:val="16"/>
        </w:rPr>
      </w:pPr>
      <w:r>
        <w:rPr>
          <w:color w:val="231F20"/>
          <w:sz w:val="16"/>
        </w:rPr>
        <w:t>Figueiras-Me</w:t>
      </w:r>
      <w:r>
        <w:rPr>
          <w:color w:val="231F20"/>
          <w:position w:val="1"/>
          <w:sz w:val="16"/>
        </w:rPr>
        <w:t>´</w:t>
      </w:r>
      <w:r>
        <w:rPr>
          <w:color w:val="231F20"/>
          <w:sz w:val="16"/>
        </w:rPr>
        <w:t>ndez R, Magarin˜os-Ascone C, Regidor I, et </w:t>
      </w:r>
      <w:r>
        <w:rPr>
          <w:color w:val="231F20"/>
          <w:sz w:val="16"/>
        </w:rPr>
        <w:t>al.</w:t>
      </w:r>
      <w:r>
        <w:rPr>
          <w:color w:val="231F20"/>
          <w:spacing w:val="40"/>
          <w:sz w:val="16"/>
        </w:rPr>
        <w:t> </w:t>
      </w:r>
      <w:r>
        <w:rPr>
          <w:color w:val="231F20"/>
          <w:sz w:val="16"/>
        </w:rPr>
        <w:t>Estimulacio</w:t>
      </w:r>
      <w:r>
        <w:rPr>
          <w:color w:val="231F20"/>
          <w:position w:val="1"/>
          <w:sz w:val="16"/>
        </w:rPr>
        <w:t>´</w:t>
      </w:r>
      <w:r>
        <w:rPr>
          <w:color w:val="231F20"/>
          <w:sz w:val="16"/>
        </w:rPr>
        <w:t>n cerebral profunda: 12 an˜os de experiencia y 250</w:t>
      </w:r>
      <w:r>
        <w:rPr>
          <w:color w:val="231F20"/>
          <w:spacing w:val="40"/>
          <w:sz w:val="16"/>
        </w:rPr>
        <w:t> </w:t>
      </w:r>
      <w:r>
        <w:rPr>
          <w:color w:val="231F20"/>
          <w:sz w:val="16"/>
        </w:rPr>
        <w:t>pacientes intervenidos con un seguimiento de ma</w:t>
      </w:r>
      <w:r>
        <w:rPr>
          <w:color w:val="231F20"/>
          <w:position w:val="1"/>
          <w:sz w:val="16"/>
        </w:rPr>
        <w:t>´</w:t>
      </w:r>
      <w:r>
        <w:rPr>
          <w:color w:val="231F20"/>
          <w:sz w:val="16"/>
        </w:rPr>
        <w:t>s de un an˜o.</w:t>
      </w:r>
      <w:r>
        <w:rPr>
          <w:color w:val="231F20"/>
          <w:spacing w:val="80"/>
          <w:sz w:val="16"/>
        </w:rPr>
        <w:t> </w:t>
      </w:r>
      <w:r>
        <w:rPr>
          <w:color w:val="231F20"/>
          <w:sz w:val="16"/>
        </w:rPr>
        <w:t>Rev</w:t>
      </w:r>
      <w:r>
        <w:rPr>
          <w:color w:val="231F20"/>
          <w:spacing w:val="40"/>
          <w:sz w:val="16"/>
        </w:rPr>
        <w:t> </w:t>
      </w:r>
      <w:r>
        <w:rPr>
          <w:color w:val="231F20"/>
          <w:sz w:val="16"/>
        </w:rPr>
        <w:t>Neurol</w:t>
      </w:r>
      <w:r>
        <w:rPr>
          <w:color w:val="231F20"/>
          <w:spacing w:val="40"/>
          <w:sz w:val="16"/>
        </w:rPr>
        <w:t> </w:t>
      </w:r>
      <w:r>
        <w:rPr>
          <w:color w:val="231F20"/>
          <w:sz w:val="16"/>
        </w:rPr>
        <w:t>2009;49:511–516.</w:t>
      </w:r>
    </w:p>
    <w:p>
      <w:pPr>
        <w:pStyle w:val="ListParagraph"/>
        <w:numPr>
          <w:ilvl w:val="0"/>
          <w:numId w:val="12"/>
        </w:numPr>
        <w:tabs>
          <w:tab w:pos="502" w:val="left" w:leader="none"/>
          <w:tab w:pos="504" w:val="left" w:leader="none"/>
        </w:tabs>
        <w:spacing w:line="232" w:lineRule="auto" w:before="0" w:after="0"/>
        <w:ind w:left="504" w:right="217" w:hanging="248"/>
        <w:jc w:val="both"/>
        <w:rPr>
          <w:sz w:val="16"/>
        </w:rPr>
      </w:pPr>
      <w:r>
        <w:rPr>
          <w:color w:val="231F20"/>
          <w:sz w:val="16"/>
        </w:rPr>
        <w:t>Wu YR, Ashby P, Lang AE. Orthostatic tremor arises from </w:t>
      </w:r>
      <w:r>
        <w:rPr>
          <w:color w:val="231F20"/>
          <w:sz w:val="16"/>
        </w:rPr>
        <w:t>an</w:t>
      </w:r>
      <w:r>
        <w:rPr>
          <w:color w:val="231F20"/>
          <w:spacing w:val="40"/>
          <w:sz w:val="16"/>
        </w:rPr>
        <w:t> </w:t>
      </w:r>
      <w:r>
        <w:rPr>
          <w:color w:val="231F20"/>
          <w:sz w:val="16"/>
        </w:rPr>
        <w:t>oscillator</w:t>
      </w:r>
      <w:r>
        <w:rPr>
          <w:color w:val="231F20"/>
          <w:spacing w:val="24"/>
          <w:sz w:val="16"/>
        </w:rPr>
        <w:t> </w:t>
      </w:r>
      <w:r>
        <w:rPr>
          <w:color w:val="231F20"/>
          <w:sz w:val="16"/>
        </w:rPr>
        <w:t>in</w:t>
      </w:r>
      <w:r>
        <w:rPr>
          <w:color w:val="231F20"/>
          <w:spacing w:val="25"/>
          <w:sz w:val="16"/>
        </w:rPr>
        <w:t> </w:t>
      </w:r>
      <w:r>
        <w:rPr>
          <w:color w:val="231F20"/>
          <w:sz w:val="16"/>
        </w:rPr>
        <w:t>the</w:t>
      </w:r>
      <w:r>
        <w:rPr>
          <w:color w:val="231F20"/>
          <w:spacing w:val="25"/>
          <w:sz w:val="16"/>
        </w:rPr>
        <w:t> </w:t>
      </w:r>
      <w:r>
        <w:rPr>
          <w:color w:val="231F20"/>
          <w:sz w:val="16"/>
        </w:rPr>
        <w:t>posterior</w:t>
      </w:r>
      <w:r>
        <w:rPr>
          <w:color w:val="231F20"/>
          <w:spacing w:val="23"/>
          <w:sz w:val="16"/>
        </w:rPr>
        <w:t> </w:t>
      </w:r>
      <w:r>
        <w:rPr>
          <w:color w:val="231F20"/>
          <w:sz w:val="16"/>
        </w:rPr>
        <w:t>fossa.</w:t>
      </w:r>
      <w:r>
        <w:rPr>
          <w:color w:val="231F20"/>
          <w:spacing w:val="25"/>
          <w:sz w:val="16"/>
        </w:rPr>
        <w:t> </w:t>
      </w:r>
      <w:r>
        <w:rPr>
          <w:color w:val="231F20"/>
          <w:sz w:val="16"/>
        </w:rPr>
        <w:t>Mov</w:t>
      </w:r>
      <w:r>
        <w:rPr>
          <w:color w:val="231F20"/>
          <w:spacing w:val="25"/>
          <w:sz w:val="16"/>
        </w:rPr>
        <w:t> </w:t>
      </w:r>
      <w:r>
        <w:rPr>
          <w:color w:val="231F20"/>
          <w:sz w:val="16"/>
        </w:rPr>
        <w:t>Disord</w:t>
      </w:r>
      <w:r>
        <w:rPr>
          <w:color w:val="231F20"/>
          <w:spacing w:val="24"/>
          <w:sz w:val="16"/>
        </w:rPr>
        <w:t> </w:t>
      </w:r>
      <w:r>
        <w:rPr>
          <w:color w:val="231F20"/>
          <w:sz w:val="16"/>
        </w:rPr>
        <w:t>2001;16:</w:t>
      </w:r>
      <w:r>
        <w:rPr>
          <w:color w:val="231F20"/>
          <w:spacing w:val="24"/>
          <w:sz w:val="16"/>
        </w:rPr>
        <w:t> </w:t>
      </w:r>
      <w:r>
        <w:rPr>
          <w:color w:val="231F20"/>
          <w:sz w:val="16"/>
        </w:rPr>
        <w:t>272–279.</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10"/>
        <w:rPr>
          <w:sz w:val="16"/>
        </w:rPr>
      </w:pPr>
    </w:p>
    <w:p>
      <w:pPr>
        <w:spacing w:before="0"/>
        <w:ind w:left="2309" w:right="0" w:firstLine="0"/>
        <w:jc w:val="left"/>
        <w:rPr>
          <w:i/>
          <w:sz w:val="14"/>
        </w:rPr>
      </w:pPr>
      <w:r>
        <w:rPr>
          <w:i/>
          <w:color w:val="231F20"/>
          <w:sz w:val="14"/>
        </w:rPr>
        <w:t>Movement</w:t>
      </w:r>
      <w:r>
        <w:rPr>
          <w:i/>
          <w:color w:val="231F20"/>
          <w:spacing w:val="9"/>
          <w:sz w:val="14"/>
        </w:rPr>
        <w:t> </w:t>
      </w:r>
      <w:r>
        <w:rPr>
          <w:i/>
          <w:color w:val="231F20"/>
          <w:sz w:val="14"/>
        </w:rPr>
        <w:t>Disorders,</w:t>
      </w:r>
      <w:r>
        <w:rPr>
          <w:i/>
          <w:color w:val="231F20"/>
          <w:spacing w:val="9"/>
          <w:sz w:val="14"/>
        </w:rPr>
        <w:t> </w:t>
      </w:r>
      <w:r>
        <w:rPr>
          <w:i/>
          <w:color w:val="231F20"/>
          <w:sz w:val="14"/>
        </w:rPr>
        <w:t>Vol.</w:t>
      </w:r>
      <w:r>
        <w:rPr>
          <w:i/>
          <w:color w:val="231F20"/>
          <w:spacing w:val="8"/>
          <w:sz w:val="14"/>
        </w:rPr>
        <w:t> </w:t>
      </w:r>
      <w:r>
        <w:rPr>
          <w:i/>
          <w:color w:val="231F20"/>
          <w:sz w:val="14"/>
        </w:rPr>
        <w:t>25,</w:t>
      </w:r>
      <w:r>
        <w:rPr>
          <w:i/>
          <w:color w:val="231F20"/>
          <w:spacing w:val="9"/>
          <w:sz w:val="14"/>
        </w:rPr>
        <w:t> </w:t>
      </w:r>
      <w:r>
        <w:rPr>
          <w:i/>
          <w:color w:val="231F20"/>
          <w:sz w:val="14"/>
        </w:rPr>
        <w:t>No.</w:t>
      </w:r>
      <w:r>
        <w:rPr>
          <w:i/>
          <w:color w:val="231F20"/>
          <w:spacing w:val="9"/>
          <w:sz w:val="14"/>
        </w:rPr>
        <w:t> </w:t>
      </w:r>
      <w:r>
        <w:rPr>
          <w:i/>
          <w:color w:val="231F20"/>
          <w:sz w:val="14"/>
        </w:rPr>
        <w:t>14,</w:t>
      </w:r>
      <w:r>
        <w:rPr>
          <w:i/>
          <w:color w:val="231F20"/>
          <w:spacing w:val="8"/>
          <w:sz w:val="14"/>
        </w:rPr>
        <w:t> </w:t>
      </w:r>
      <w:r>
        <w:rPr>
          <w:i/>
          <w:color w:val="231F20"/>
          <w:spacing w:val="-4"/>
          <w:sz w:val="14"/>
        </w:rPr>
        <w:t>2010</w:t>
      </w:r>
    </w:p>
    <w:sectPr>
      <w:type w:val="continuous"/>
      <w:pgSz w:w="12240" w:h="16200"/>
      <w:pgMar w:top="1060" w:bottom="280" w:left="1080" w:right="1080"/>
      <w:cols w:num="2" w:equalWidth="0">
        <w:col w:w="4861" w:space="180"/>
        <w:col w:w="503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decimal"/>
      <w:lvlText w:val="%1."/>
      <w:lvlJc w:val="left"/>
      <w:pPr>
        <w:ind w:left="504" w:hanging="248"/>
        <w:jc w:val="left"/>
      </w:pPr>
      <w:rPr>
        <w:rFonts w:hint="default" w:ascii="Times New Roman" w:hAnsi="Times New Roman" w:eastAsia="Times New Roman" w:cs="Times New Roman"/>
        <w:b w:val="0"/>
        <w:bCs w:val="0"/>
        <w:i w:val="0"/>
        <w:iCs w:val="0"/>
        <w:color w:val="231F20"/>
        <w:spacing w:val="0"/>
        <w:w w:val="99"/>
        <w:sz w:val="16"/>
        <w:szCs w:val="16"/>
        <w:lang w:val="en-US" w:eastAsia="en-US" w:bidi="ar-SA"/>
      </w:rPr>
    </w:lvl>
    <w:lvl w:ilvl="1">
      <w:start w:val="0"/>
      <w:numFmt w:val="bullet"/>
      <w:lvlText w:val="•"/>
      <w:lvlJc w:val="left"/>
      <w:pPr>
        <w:ind w:left="953" w:hanging="248"/>
      </w:pPr>
      <w:rPr>
        <w:rFonts w:hint="default"/>
        <w:lang w:val="en-US" w:eastAsia="en-US" w:bidi="ar-SA"/>
      </w:rPr>
    </w:lvl>
    <w:lvl w:ilvl="2">
      <w:start w:val="0"/>
      <w:numFmt w:val="bullet"/>
      <w:lvlText w:val="•"/>
      <w:lvlJc w:val="left"/>
      <w:pPr>
        <w:ind w:left="1407" w:hanging="248"/>
      </w:pPr>
      <w:rPr>
        <w:rFonts w:hint="default"/>
        <w:lang w:val="en-US" w:eastAsia="en-US" w:bidi="ar-SA"/>
      </w:rPr>
    </w:lvl>
    <w:lvl w:ilvl="3">
      <w:start w:val="0"/>
      <w:numFmt w:val="bullet"/>
      <w:lvlText w:val="•"/>
      <w:lvlJc w:val="left"/>
      <w:pPr>
        <w:ind w:left="1861" w:hanging="248"/>
      </w:pPr>
      <w:rPr>
        <w:rFonts w:hint="default"/>
        <w:lang w:val="en-US" w:eastAsia="en-US" w:bidi="ar-SA"/>
      </w:rPr>
    </w:lvl>
    <w:lvl w:ilvl="4">
      <w:start w:val="0"/>
      <w:numFmt w:val="bullet"/>
      <w:lvlText w:val="•"/>
      <w:lvlJc w:val="left"/>
      <w:pPr>
        <w:ind w:left="2315" w:hanging="248"/>
      </w:pPr>
      <w:rPr>
        <w:rFonts w:hint="default"/>
        <w:lang w:val="en-US" w:eastAsia="en-US" w:bidi="ar-SA"/>
      </w:rPr>
    </w:lvl>
    <w:lvl w:ilvl="5">
      <w:start w:val="0"/>
      <w:numFmt w:val="bullet"/>
      <w:lvlText w:val="•"/>
      <w:lvlJc w:val="left"/>
      <w:pPr>
        <w:ind w:left="2769" w:hanging="248"/>
      </w:pPr>
      <w:rPr>
        <w:rFonts w:hint="default"/>
        <w:lang w:val="en-US" w:eastAsia="en-US" w:bidi="ar-SA"/>
      </w:rPr>
    </w:lvl>
    <w:lvl w:ilvl="6">
      <w:start w:val="0"/>
      <w:numFmt w:val="bullet"/>
      <w:lvlText w:val="•"/>
      <w:lvlJc w:val="left"/>
      <w:pPr>
        <w:ind w:left="3223" w:hanging="248"/>
      </w:pPr>
      <w:rPr>
        <w:rFonts w:hint="default"/>
        <w:lang w:val="en-US" w:eastAsia="en-US" w:bidi="ar-SA"/>
      </w:rPr>
    </w:lvl>
    <w:lvl w:ilvl="7">
      <w:start w:val="0"/>
      <w:numFmt w:val="bullet"/>
      <w:lvlText w:val="•"/>
      <w:lvlJc w:val="left"/>
      <w:pPr>
        <w:ind w:left="3677" w:hanging="248"/>
      </w:pPr>
      <w:rPr>
        <w:rFonts w:hint="default"/>
        <w:lang w:val="en-US" w:eastAsia="en-US" w:bidi="ar-SA"/>
      </w:rPr>
    </w:lvl>
    <w:lvl w:ilvl="8">
      <w:start w:val="0"/>
      <w:numFmt w:val="bullet"/>
      <w:lvlText w:val="•"/>
      <w:lvlJc w:val="left"/>
      <w:pPr>
        <w:ind w:left="4131" w:hanging="248"/>
      </w:pPr>
      <w:rPr>
        <w:rFonts w:hint="default"/>
        <w:lang w:val="en-US" w:eastAsia="en-US" w:bidi="ar-SA"/>
      </w:rPr>
    </w:lvl>
  </w:abstractNum>
  <w:abstractNum w:abstractNumId="10">
    <w:multiLevelType w:val="hybridMultilevel"/>
    <w:lvl w:ilvl="0">
      <w:start w:val="1"/>
      <w:numFmt w:val="decimal"/>
      <w:lvlText w:val="%1."/>
      <w:lvlJc w:val="left"/>
      <w:pPr>
        <w:ind w:left="504" w:hanging="248"/>
        <w:jc w:val="left"/>
      </w:pPr>
      <w:rPr>
        <w:rFonts w:hint="default" w:ascii="Times New Roman" w:hAnsi="Times New Roman" w:eastAsia="Times New Roman" w:cs="Times New Roman"/>
        <w:b w:val="0"/>
        <w:bCs w:val="0"/>
        <w:i w:val="0"/>
        <w:iCs w:val="0"/>
        <w:color w:val="231F20"/>
        <w:spacing w:val="0"/>
        <w:w w:val="99"/>
        <w:sz w:val="16"/>
        <w:szCs w:val="16"/>
        <w:lang w:val="en-US" w:eastAsia="en-US" w:bidi="ar-SA"/>
      </w:rPr>
    </w:lvl>
    <w:lvl w:ilvl="1">
      <w:start w:val="0"/>
      <w:numFmt w:val="bullet"/>
      <w:lvlText w:val="•"/>
      <w:lvlJc w:val="left"/>
      <w:pPr>
        <w:ind w:left="936" w:hanging="248"/>
      </w:pPr>
      <w:rPr>
        <w:rFonts w:hint="default"/>
        <w:lang w:val="en-US" w:eastAsia="en-US" w:bidi="ar-SA"/>
      </w:rPr>
    </w:lvl>
    <w:lvl w:ilvl="2">
      <w:start w:val="0"/>
      <w:numFmt w:val="bullet"/>
      <w:lvlText w:val="•"/>
      <w:lvlJc w:val="left"/>
      <w:pPr>
        <w:ind w:left="1372" w:hanging="248"/>
      </w:pPr>
      <w:rPr>
        <w:rFonts w:hint="default"/>
        <w:lang w:val="en-US" w:eastAsia="en-US" w:bidi="ar-SA"/>
      </w:rPr>
    </w:lvl>
    <w:lvl w:ilvl="3">
      <w:start w:val="0"/>
      <w:numFmt w:val="bullet"/>
      <w:lvlText w:val="•"/>
      <w:lvlJc w:val="left"/>
      <w:pPr>
        <w:ind w:left="1809" w:hanging="248"/>
      </w:pPr>
      <w:rPr>
        <w:rFonts w:hint="default"/>
        <w:lang w:val="en-US" w:eastAsia="en-US" w:bidi="ar-SA"/>
      </w:rPr>
    </w:lvl>
    <w:lvl w:ilvl="4">
      <w:start w:val="0"/>
      <w:numFmt w:val="bullet"/>
      <w:lvlText w:val="•"/>
      <w:lvlJc w:val="left"/>
      <w:pPr>
        <w:ind w:left="2245" w:hanging="248"/>
      </w:pPr>
      <w:rPr>
        <w:rFonts w:hint="default"/>
        <w:lang w:val="en-US" w:eastAsia="en-US" w:bidi="ar-SA"/>
      </w:rPr>
    </w:lvl>
    <w:lvl w:ilvl="5">
      <w:start w:val="0"/>
      <w:numFmt w:val="bullet"/>
      <w:lvlText w:val="•"/>
      <w:lvlJc w:val="left"/>
      <w:pPr>
        <w:ind w:left="2681" w:hanging="248"/>
      </w:pPr>
      <w:rPr>
        <w:rFonts w:hint="default"/>
        <w:lang w:val="en-US" w:eastAsia="en-US" w:bidi="ar-SA"/>
      </w:rPr>
    </w:lvl>
    <w:lvl w:ilvl="6">
      <w:start w:val="0"/>
      <w:numFmt w:val="bullet"/>
      <w:lvlText w:val="•"/>
      <w:lvlJc w:val="left"/>
      <w:pPr>
        <w:ind w:left="3118" w:hanging="248"/>
      </w:pPr>
      <w:rPr>
        <w:rFonts w:hint="default"/>
        <w:lang w:val="en-US" w:eastAsia="en-US" w:bidi="ar-SA"/>
      </w:rPr>
    </w:lvl>
    <w:lvl w:ilvl="7">
      <w:start w:val="0"/>
      <w:numFmt w:val="bullet"/>
      <w:lvlText w:val="•"/>
      <w:lvlJc w:val="left"/>
      <w:pPr>
        <w:ind w:left="3554" w:hanging="248"/>
      </w:pPr>
      <w:rPr>
        <w:rFonts w:hint="default"/>
        <w:lang w:val="en-US" w:eastAsia="en-US" w:bidi="ar-SA"/>
      </w:rPr>
    </w:lvl>
    <w:lvl w:ilvl="8">
      <w:start w:val="0"/>
      <w:numFmt w:val="bullet"/>
      <w:lvlText w:val="•"/>
      <w:lvlJc w:val="left"/>
      <w:pPr>
        <w:ind w:left="3990" w:hanging="248"/>
      </w:pPr>
      <w:rPr>
        <w:rFonts w:hint="default"/>
        <w:lang w:val="en-US" w:eastAsia="en-US" w:bidi="ar-SA"/>
      </w:rPr>
    </w:lvl>
  </w:abstractNum>
  <w:abstractNum w:abstractNumId="9">
    <w:multiLevelType w:val="hybridMultilevel"/>
    <w:lvl w:ilvl="0">
      <w:start w:val="1"/>
      <w:numFmt w:val="decimal"/>
      <w:lvlText w:val="%1."/>
      <w:lvlJc w:val="left"/>
      <w:pPr>
        <w:ind w:left="504" w:hanging="248"/>
        <w:jc w:val="left"/>
      </w:pPr>
      <w:rPr>
        <w:rFonts w:hint="default" w:ascii="Times New Roman" w:hAnsi="Times New Roman" w:eastAsia="Times New Roman" w:cs="Times New Roman"/>
        <w:b w:val="0"/>
        <w:bCs w:val="0"/>
        <w:i w:val="0"/>
        <w:iCs w:val="0"/>
        <w:color w:val="231F20"/>
        <w:spacing w:val="0"/>
        <w:w w:val="99"/>
        <w:sz w:val="16"/>
        <w:szCs w:val="16"/>
        <w:lang w:val="en-US" w:eastAsia="en-US" w:bidi="ar-SA"/>
      </w:rPr>
    </w:lvl>
    <w:lvl w:ilvl="1">
      <w:start w:val="0"/>
      <w:numFmt w:val="bullet"/>
      <w:lvlText w:val="•"/>
      <w:lvlJc w:val="left"/>
      <w:pPr>
        <w:ind w:left="936" w:hanging="248"/>
      </w:pPr>
      <w:rPr>
        <w:rFonts w:hint="default"/>
        <w:lang w:val="en-US" w:eastAsia="en-US" w:bidi="ar-SA"/>
      </w:rPr>
    </w:lvl>
    <w:lvl w:ilvl="2">
      <w:start w:val="0"/>
      <w:numFmt w:val="bullet"/>
      <w:lvlText w:val="•"/>
      <w:lvlJc w:val="left"/>
      <w:pPr>
        <w:ind w:left="1372" w:hanging="248"/>
      </w:pPr>
      <w:rPr>
        <w:rFonts w:hint="default"/>
        <w:lang w:val="en-US" w:eastAsia="en-US" w:bidi="ar-SA"/>
      </w:rPr>
    </w:lvl>
    <w:lvl w:ilvl="3">
      <w:start w:val="0"/>
      <w:numFmt w:val="bullet"/>
      <w:lvlText w:val="•"/>
      <w:lvlJc w:val="left"/>
      <w:pPr>
        <w:ind w:left="1808" w:hanging="248"/>
      </w:pPr>
      <w:rPr>
        <w:rFonts w:hint="default"/>
        <w:lang w:val="en-US" w:eastAsia="en-US" w:bidi="ar-SA"/>
      </w:rPr>
    </w:lvl>
    <w:lvl w:ilvl="4">
      <w:start w:val="0"/>
      <w:numFmt w:val="bullet"/>
      <w:lvlText w:val="•"/>
      <w:lvlJc w:val="left"/>
      <w:pPr>
        <w:ind w:left="2244" w:hanging="248"/>
      </w:pPr>
      <w:rPr>
        <w:rFonts w:hint="default"/>
        <w:lang w:val="en-US" w:eastAsia="en-US" w:bidi="ar-SA"/>
      </w:rPr>
    </w:lvl>
    <w:lvl w:ilvl="5">
      <w:start w:val="0"/>
      <w:numFmt w:val="bullet"/>
      <w:lvlText w:val="•"/>
      <w:lvlJc w:val="left"/>
      <w:pPr>
        <w:ind w:left="2681" w:hanging="248"/>
      </w:pPr>
      <w:rPr>
        <w:rFonts w:hint="default"/>
        <w:lang w:val="en-US" w:eastAsia="en-US" w:bidi="ar-SA"/>
      </w:rPr>
    </w:lvl>
    <w:lvl w:ilvl="6">
      <w:start w:val="0"/>
      <w:numFmt w:val="bullet"/>
      <w:lvlText w:val="•"/>
      <w:lvlJc w:val="left"/>
      <w:pPr>
        <w:ind w:left="3117" w:hanging="248"/>
      </w:pPr>
      <w:rPr>
        <w:rFonts w:hint="default"/>
        <w:lang w:val="en-US" w:eastAsia="en-US" w:bidi="ar-SA"/>
      </w:rPr>
    </w:lvl>
    <w:lvl w:ilvl="7">
      <w:start w:val="0"/>
      <w:numFmt w:val="bullet"/>
      <w:lvlText w:val="•"/>
      <w:lvlJc w:val="left"/>
      <w:pPr>
        <w:ind w:left="3553" w:hanging="248"/>
      </w:pPr>
      <w:rPr>
        <w:rFonts w:hint="default"/>
        <w:lang w:val="en-US" w:eastAsia="en-US" w:bidi="ar-SA"/>
      </w:rPr>
    </w:lvl>
    <w:lvl w:ilvl="8">
      <w:start w:val="0"/>
      <w:numFmt w:val="bullet"/>
      <w:lvlText w:val="•"/>
      <w:lvlJc w:val="left"/>
      <w:pPr>
        <w:ind w:left="3989" w:hanging="248"/>
      </w:pPr>
      <w:rPr>
        <w:rFonts w:hint="default"/>
        <w:lang w:val="en-US" w:eastAsia="en-US" w:bidi="ar-SA"/>
      </w:rPr>
    </w:lvl>
  </w:abstractNum>
  <w:abstractNum w:abstractNumId="8">
    <w:multiLevelType w:val="hybridMultilevel"/>
    <w:lvl w:ilvl="0">
      <w:start w:val="1"/>
      <w:numFmt w:val="decimal"/>
      <w:lvlText w:val="%1."/>
      <w:lvlJc w:val="left"/>
      <w:pPr>
        <w:ind w:left="504" w:hanging="248"/>
        <w:jc w:val="left"/>
      </w:pPr>
      <w:rPr>
        <w:rFonts w:hint="default" w:ascii="Times New Roman" w:hAnsi="Times New Roman" w:eastAsia="Times New Roman" w:cs="Times New Roman"/>
        <w:b w:val="0"/>
        <w:bCs w:val="0"/>
        <w:i w:val="0"/>
        <w:iCs w:val="0"/>
        <w:color w:val="231F20"/>
        <w:spacing w:val="0"/>
        <w:w w:val="99"/>
        <w:sz w:val="16"/>
        <w:szCs w:val="16"/>
        <w:lang w:val="en-US" w:eastAsia="en-US" w:bidi="ar-SA"/>
      </w:rPr>
    </w:lvl>
    <w:lvl w:ilvl="1">
      <w:start w:val="0"/>
      <w:numFmt w:val="bullet"/>
      <w:lvlText w:val="•"/>
      <w:lvlJc w:val="left"/>
      <w:pPr>
        <w:ind w:left="953" w:hanging="248"/>
      </w:pPr>
      <w:rPr>
        <w:rFonts w:hint="default"/>
        <w:lang w:val="en-US" w:eastAsia="en-US" w:bidi="ar-SA"/>
      </w:rPr>
    </w:lvl>
    <w:lvl w:ilvl="2">
      <w:start w:val="0"/>
      <w:numFmt w:val="bullet"/>
      <w:lvlText w:val="•"/>
      <w:lvlJc w:val="left"/>
      <w:pPr>
        <w:ind w:left="1407" w:hanging="248"/>
      </w:pPr>
      <w:rPr>
        <w:rFonts w:hint="default"/>
        <w:lang w:val="en-US" w:eastAsia="en-US" w:bidi="ar-SA"/>
      </w:rPr>
    </w:lvl>
    <w:lvl w:ilvl="3">
      <w:start w:val="0"/>
      <w:numFmt w:val="bullet"/>
      <w:lvlText w:val="•"/>
      <w:lvlJc w:val="left"/>
      <w:pPr>
        <w:ind w:left="1861" w:hanging="248"/>
      </w:pPr>
      <w:rPr>
        <w:rFonts w:hint="default"/>
        <w:lang w:val="en-US" w:eastAsia="en-US" w:bidi="ar-SA"/>
      </w:rPr>
    </w:lvl>
    <w:lvl w:ilvl="4">
      <w:start w:val="0"/>
      <w:numFmt w:val="bullet"/>
      <w:lvlText w:val="•"/>
      <w:lvlJc w:val="left"/>
      <w:pPr>
        <w:ind w:left="2315" w:hanging="248"/>
      </w:pPr>
      <w:rPr>
        <w:rFonts w:hint="default"/>
        <w:lang w:val="en-US" w:eastAsia="en-US" w:bidi="ar-SA"/>
      </w:rPr>
    </w:lvl>
    <w:lvl w:ilvl="5">
      <w:start w:val="0"/>
      <w:numFmt w:val="bullet"/>
      <w:lvlText w:val="•"/>
      <w:lvlJc w:val="left"/>
      <w:pPr>
        <w:ind w:left="2769" w:hanging="248"/>
      </w:pPr>
      <w:rPr>
        <w:rFonts w:hint="default"/>
        <w:lang w:val="en-US" w:eastAsia="en-US" w:bidi="ar-SA"/>
      </w:rPr>
    </w:lvl>
    <w:lvl w:ilvl="6">
      <w:start w:val="0"/>
      <w:numFmt w:val="bullet"/>
      <w:lvlText w:val="•"/>
      <w:lvlJc w:val="left"/>
      <w:pPr>
        <w:ind w:left="3223" w:hanging="248"/>
      </w:pPr>
      <w:rPr>
        <w:rFonts w:hint="default"/>
        <w:lang w:val="en-US" w:eastAsia="en-US" w:bidi="ar-SA"/>
      </w:rPr>
    </w:lvl>
    <w:lvl w:ilvl="7">
      <w:start w:val="0"/>
      <w:numFmt w:val="bullet"/>
      <w:lvlText w:val="•"/>
      <w:lvlJc w:val="left"/>
      <w:pPr>
        <w:ind w:left="3677" w:hanging="248"/>
      </w:pPr>
      <w:rPr>
        <w:rFonts w:hint="default"/>
        <w:lang w:val="en-US" w:eastAsia="en-US" w:bidi="ar-SA"/>
      </w:rPr>
    </w:lvl>
    <w:lvl w:ilvl="8">
      <w:start w:val="0"/>
      <w:numFmt w:val="bullet"/>
      <w:lvlText w:val="•"/>
      <w:lvlJc w:val="left"/>
      <w:pPr>
        <w:ind w:left="4131" w:hanging="248"/>
      </w:pPr>
      <w:rPr>
        <w:rFonts w:hint="default"/>
        <w:lang w:val="en-US" w:eastAsia="en-US" w:bidi="ar-SA"/>
      </w:rPr>
    </w:lvl>
  </w:abstractNum>
  <w:abstractNum w:abstractNumId="7">
    <w:multiLevelType w:val="hybridMultilevel"/>
    <w:lvl w:ilvl="0">
      <w:start w:val="1"/>
      <w:numFmt w:val="decimal"/>
      <w:lvlText w:val="%1."/>
      <w:lvlJc w:val="left"/>
      <w:pPr>
        <w:ind w:left="504" w:hanging="248"/>
        <w:jc w:val="left"/>
      </w:pPr>
      <w:rPr>
        <w:rFonts w:hint="default" w:ascii="Times New Roman" w:hAnsi="Times New Roman" w:eastAsia="Times New Roman" w:cs="Times New Roman"/>
        <w:b w:val="0"/>
        <w:bCs w:val="0"/>
        <w:i w:val="0"/>
        <w:iCs w:val="0"/>
        <w:color w:val="231F20"/>
        <w:spacing w:val="0"/>
        <w:w w:val="99"/>
        <w:sz w:val="16"/>
        <w:szCs w:val="16"/>
        <w:lang w:val="en-US" w:eastAsia="en-US" w:bidi="ar-SA"/>
      </w:rPr>
    </w:lvl>
    <w:lvl w:ilvl="1">
      <w:start w:val="0"/>
      <w:numFmt w:val="bullet"/>
      <w:lvlText w:val="•"/>
      <w:lvlJc w:val="left"/>
      <w:pPr>
        <w:ind w:left="953" w:hanging="248"/>
      </w:pPr>
      <w:rPr>
        <w:rFonts w:hint="default"/>
        <w:lang w:val="en-US" w:eastAsia="en-US" w:bidi="ar-SA"/>
      </w:rPr>
    </w:lvl>
    <w:lvl w:ilvl="2">
      <w:start w:val="0"/>
      <w:numFmt w:val="bullet"/>
      <w:lvlText w:val="•"/>
      <w:lvlJc w:val="left"/>
      <w:pPr>
        <w:ind w:left="1407" w:hanging="248"/>
      </w:pPr>
      <w:rPr>
        <w:rFonts w:hint="default"/>
        <w:lang w:val="en-US" w:eastAsia="en-US" w:bidi="ar-SA"/>
      </w:rPr>
    </w:lvl>
    <w:lvl w:ilvl="3">
      <w:start w:val="0"/>
      <w:numFmt w:val="bullet"/>
      <w:lvlText w:val="•"/>
      <w:lvlJc w:val="left"/>
      <w:pPr>
        <w:ind w:left="1861" w:hanging="248"/>
      </w:pPr>
      <w:rPr>
        <w:rFonts w:hint="default"/>
        <w:lang w:val="en-US" w:eastAsia="en-US" w:bidi="ar-SA"/>
      </w:rPr>
    </w:lvl>
    <w:lvl w:ilvl="4">
      <w:start w:val="0"/>
      <w:numFmt w:val="bullet"/>
      <w:lvlText w:val="•"/>
      <w:lvlJc w:val="left"/>
      <w:pPr>
        <w:ind w:left="2315" w:hanging="248"/>
      </w:pPr>
      <w:rPr>
        <w:rFonts w:hint="default"/>
        <w:lang w:val="en-US" w:eastAsia="en-US" w:bidi="ar-SA"/>
      </w:rPr>
    </w:lvl>
    <w:lvl w:ilvl="5">
      <w:start w:val="0"/>
      <w:numFmt w:val="bullet"/>
      <w:lvlText w:val="•"/>
      <w:lvlJc w:val="left"/>
      <w:pPr>
        <w:ind w:left="2769" w:hanging="248"/>
      </w:pPr>
      <w:rPr>
        <w:rFonts w:hint="default"/>
        <w:lang w:val="en-US" w:eastAsia="en-US" w:bidi="ar-SA"/>
      </w:rPr>
    </w:lvl>
    <w:lvl w:ilvl="6">
      <w:start w:val="0"/>
      <w:numFmt w:val="bullet"/>
      <w:lvlText w:val="•"/>
      <w:lvlJc w:val="left"/>
      <w:pPr>
        <w:ind w:left="3223" w:hanging="248"/>
      </w:pPr>
      <w:rPr>
        <w:rFonts w:hint="default"/>
        <w:lang w:val="en-US" w:eastAsia="en-US" w:bidi="ar-SA"/>
      </w:rPr>
    </w:lvl>
    <w:lvl w:ilvl="7">
      <w:start w:val="0"/>
      <w:numFmt w:val="bullet"/>
      <w:lvlText w:val="•"/>
      <w:lvlJc w:val="left"/>
      <w:pPr>
        <w:ind w:left="3677" w:hanging="248"/>
      </w:pPr>
      <w:rPr>
        <w:rFonts w:hint="default"/>
        <w:lang w:val="en-US" w:eastAsia="en-US" w:bidi="ar-SA"/>
      </w:rPr>
    </w:lvl>
    <w:lvl w:ilvl="8">
      <w:start w:val="0"/>
      <w:numFmt w:val="bullet"/>
      <w:lvlText w:val="•"/>
      <w:lvlJc w:val="left"/>
      <w:pPr>
        <w:ind w:left="4131" w:hanging="248"/>
      </w:pPr>
      <w:rPr>
        <w:rFonts w:hint="default"/>
        <w:lang w:val="en-US" w:eastAsia="en-US" w:bidi="ar-SA"/>
      </w:rPr>
    </w:lvl>
  </w:abstractNum>
  <w:abstractNum w:abstractNumId="6">
    <w:multiLevelType w:val="hybridMultilevel"/>
    <w:lvl w:ilvl="0">
      <w:start w:val="3"/>
      <w:numFmt w:val="decimal"/>
      <w:lvlText w:val="%1."/>
      <w:lvlJc w:val="left"/>
      <w:pPr>
        <w:ind w:left="504" w:hanging="248"/>
        <w:jc w:val="left"/>
      </w:pPr>
      <w:rPr>
        <w:rFonts w:hint="default" w:ascii="Times New Roman" w:hAnsi="Times New Roman" w:eastAsia="Times New Roman" w:cs="Times New Roman"/>
        <w:b w:val="0"/>
        <w:bCs w:val="0"/>
        <w:i w:val="0"/>
        <w:iCs w:val="0"/>
        <w:color w:val="231F20"/>
        <w:spacing w:val="0"/>
        <w:w w:val="99"/>
        <w:sz w:val="16"/>
        <w:szCs w:val="16"/>
        <w:lang w:val="en-US" w:eastAsia="en-US" w:bidi="ar-SA"/>
      </w:rPr>
    </w:lvl>
    <w:lvl w:ilvl="1">
      <w:start w:val="0"/>
      <w:numFmt w:val="bullet"/>
      <w:lvlText w:val="•"/>
      <w:lvlJc w:val="left"/>
      <w:pPr>
        <w:ind w:left="953" w:hanging="248"/>
      </w:pPr>
      <w:rPr>
        <w:rFonts w:hint="default"/>
        <w:lang w:val="en-US" w:eastAsia="en-US" w:bidi="ar-SA"/>
      </w:rPr>
    </w:lvl>
    <w:lvl w:ilvl="2">
      <w:start w:val="0"/>
      <w:numFmt w:val="bullet"/>
      <w:lvlText w:val="•"/>
      <w:lvlJc w:val="left"/>
      <w:pPr>
        <w:ind w:left="1407" w:hanging="248"/>
      </w:pPr>
      <w:rPr>
        <w:rFonts w:hint="default"/>
        <w:lang w:val="en-US" w:eastAsia="en-US" w:bidi="ar-SA"/>
      </w:rPr>
    </w:lvl>
    <w:lvl w:ilvl="3">
      <w:start w:val="0"/>
      <w:numFmt w:val="bullet"/>
      <w:lvlText w:val="•"/>
      <w:lvlJc w:val="left"/>
      <w:pPr>
        <w:ind w:left="1861" w:hanging="248"/>
      </w:pPr>
      <w:rPr>
        <w:rFonts w:hint="default"/>
        <w:lang w:val="en-US" w:eastAsia="en-US" w:bidi="ar-SA"/>
      </w:rPr>
    </w:lvl>
    <w:lvl w:ilvl="4">
      <w:start w:val="0"/>
      <w:numFmt w:val="bullet"/>
      <w:lvlText w:val="•"/>
      <w:lvlJc w:val="left"/>
      <w:pPr>
        <w:ind w:left="2315" w:hanging="248"/>
      </w:pPr>
      <w:rPr>
        <w:rFonts w:hint="default"/>
        <w:lang w:val="en-US" w:eastAsia="en-US" w:bidi="ar-SA"/>
      </w:rPr>
    </w:lvl>
    <w:lvl w:ilvl="5">
      <w:start w:val="0"/>
      <w:numFmt w:val="bullet"/>
      <w:lvlText w:val="•"/>
      <w:lvlJc w:val="left"/>
      <w:pPr>
        <w:ind w:left="2769" w:hanging="248"/>
      </w:pPr>
      <w:rPr>
        <w:rFonts w:hint="default"/>
        <w:lang w:val="en-US" w:eastAsia="en-US" w:bidi="ar-SA"/>
      </w:rPr>
    </w:lvl>
    <w:lvl w:ilvl="6">
      <w:start w:val="0"/>
      <w:numFmt w:val="bullet"/>
      <w:lvlText w:val="•"/>
      <w:lvlJc w:val="left"/>
      <w:pPr>
        <w:ind w:left="3223" w:hanging="248"/>
      </w:pPr>
      <w:rPr>
        <w:rFonts w:hint="default"/>
        <w:lang w:val="en-US" w:eastAsia="en-US" w:bidi="ar-SA"/>
      </w:rPr>
    </w:lvl>
    <w:lvl w:ilvl="7">
      <w:start w:val="0"/>
      <w:numFmt w:val="bullet"/>
      <w:lvlText w:val="•"/>
      <w:lvlJc w:val="left"/>
      <w:pPr>
        <w:ind w:left="3677" w:hanging="248"/>
      </w:pPr>
      <w:rPr>
        <w:rFonts w:hint="default"/>
        <w:lang w:val="en-US" w:eastAsia="en-US" w:bidi="ar-SA"/>
      </w:rPr>
    </w:lvl>
    <w:lvl w:ilvl="8">
      <w:start w:val="0"/>
      <w:numFmt w:val="bullet"/>
      <w:lvlText w:val="•"/>
      <w:lvlJc w:val="left"/>
      <w:pPr>
        <w:ind w:left="4131" w:hanging="248"/>
      </w:pPr>
      <w:rPr>
        <w:rFonts w:hint="default"/>
        <w:lang w:val="en-US" w:eastAsia="en-US" w:bidi="ar-SA"/>
      </w:rPr>
    </w:lvl>
  </w:abstractNum>
  <w:abstractNum w:abstractNumId="5">
    <w:multiLevelType w:val="hybridMultilevel"/>
    <w:lvl w:ilvl="0">
      <w:start w:val="1"/>
      <w:numFmt w:val="decimal"/>
      <w:lvlText w:val="%1."/>
      <w:lvlJc w:val="left"/>
      <w:pPr>
        <w:ind w:left="504" w:hanging="248"/>
        <w:jc w:val="left"/>
      </w:pPr>
      <w:rPr>
        <w:rFonts w:hint="default" w:ascii="Times New Roman" w:hAnsi="Times New Roman" w:eastAsia="Times New Roman" w:cs="Times New Roman"/>
        <w:b w:val="0"/>
        <w:bCs w:val="0"/>
        <w:i w:val="0"/>
        <w:iCs w:val="0"/>
        <w:color w:val="231F20"/>
        <w:spacing w:val="0"/>
        <w:w w:val="99"/>
        <w:sz w:val="16"/>
        <w:szCs w:val="16"/>
        <w:lang w:val="en-US" w:eastAsia="en-US" w:bidi="ar-SA"/>
      </w:rPr>
    </w:lvl>
    <w:lvl w:ilvl="1">
      <w:start w:val="0"/>
      <w:numFmt w:val="bullet"/>
      <w:lvlText w:val="•"/>
      <w:lvlJc w:val="left"/>
      <w:pPr>
        <w:ind w:left="936" w:hanging="248"/>
      </w:pPr>
      <w:rPr>
        <w:rFonts w:hint="default"/>
        <w:lang w:val="en-US" w:eastAsia="en-US" w:bidi="ar-SA"/>
      </w:rPr>
    </w:lvl>
    <w:lvl w:ilvl="2">
      <w:start w:val="0"/>
      <w:numFmt w:val="bullet"/>
      <w:lvlText w:val="•"/>
      <w:lvlJc w:val="left"/>
      <w:pPr>
        <w:ind w:left="1372" w:hanging="248"/>
      </w:pPr>
      <w:rPr>
        <w:rFonts w:hint="default"/>
        <w:lang w:val="en-US" w:eastAsia="en-US" w:bidi="ar-SA"/>
      </w:rPr>
    </w:lvl>
    <w:lvl w:ilvl="3">
      <w:start w:val="0"/>
      <w:numFmt w:val="bullet"/>
      <w:lvlText w:val="•"/>
      <w:lvlJc w:val="left"/>
      <w:pPr>
        <w:ind w:left="1808" w:hanging="248"/>
      </w:pPr>
      <w:rPr>
        <w:rFonts w:hint="default"/>
        <w:lang w:val="en-US" w:eastAsia="en-US" w:bidi="ar-SA"/>
      </w:rPr>
    </w:lvl>
    <w:lvl w:ilvl="4">
      <w:start w:val="0"/>
      <w:numFmt w:val="bullet"/>
      <w:lvlText w:val="•"/>
      <w:lvlJc w:val="left"/>
      <w:pPr>
        <w:ind w:left="2244" w:hanging="248"/>
      </w:pPr>
      <w:rPr>
        <w:rFonts w:hint="default"/>
        <w:lang w:val="en-US" w:eastAsia="en-US" w:bidi="ar-SA"/>
      </w:rPr>
    </w:lvl>
    <w:lvl w:ilvl="5">
      <w:start w:val="0"/>
      <w:numFmt w:val="bullet"/>
      <w:lvlText w:val="•"/>
      <w:lvlJc w:val="left"/>
      <w:pPr>
        <w:ind w:left="2681" w:hanging="248"/>
      </w:pPr>
      <w:rPr>
        <w:rFonts w:hint="default"/>
        <w:lang w:val="en-US" w:eastAsia="en-US" w:bidi="ar-SA"/>
      </w:rPr>
    </w:lvl>
    <w:lvl w:ilvl="6">
      <w:start w:val="0"/>
      <w:numFmt w:val="bullet"/>
      <w:lvlText w:val="•"/>
      <w:lvlJc w:val="left"/>
      <w:pPr>
        <w:ind w:left="3117" w:hanging="248"/>
      </w:pPr>
      <w:rPr>
        <w:rFonts w:hint="default"/>
        <w:lang w:val="en-US" w:eastAsia="en-US" w:bidi="ar-SA"/>
      </w:rPr>
    </w:lvl>
    <w:lvl w:ilvl="7">
      <w:start w:val="0"/>
      <w:numFmt w:val="bullet"/>
      <w:lvlText w:val="•"/>
      <w:lvlJc w:val="left"/>
      <w:pPr>
        <w:ind w:left="3553" w:hanging="248"/>
      </w:pPr>
      <w:rPr>
        <w:rFonts w:hint="default"/>
        <w:lang w:val="en-US" w:eastAsia="en-US" w:bidi="ar-SA"/>
      </w:rPr>
    </w:lvl>
    <w:lvl w:ilvl="8">
      <w:start w:val="0"/>
      <w:numFmt w:val="bullet"/>
      <w:lvlText w:val="•"/>
      <w:lvlJc w:val="left"/>
      <w:pPr>
        <w:ind w:left="3989" w:hanging="248"/>
      </w:pPr>
      <w:rPr>
        <w:rFonts w:hint="default"/>
        <w:lang w:val="en-US" w:eastAsia="en-US" w:bidi="ar-SA"/>
      </w:rPr>
    </w:lvl>
  </w:abstractNum>
  <w:abstractNum w:abstractNumId="4">
    <w:multiLevelType w:val="hybridMultilevel"/>
    <w:lvl w:ilvl="0">
      <w:start w:val="4"/>
      <w:numFmt w:val="decimal"/>
      <w:lvlText w:val="%1."/>
      <w:lvlJc w:val="left"/>
      <w:pPr>
        <w:ind w:left="504" w:hanging="248"/>
        <w:jc w:val="left"/>
      </w:pPr>
      <w:rPr>
        <w:rFonts w:hint="default" w:ascii="Times New Roman" w:hAnsi="Times New Roman" w:eastAsia="Times New Roman" w:cs="Times New Roman"/>
        <w:b w:val="0"/>
        <w:bCs w:val="0"/>
        <w:i w:val="0"/>
        <w:iCs w:val="0"/>
        <w:color w:val="231F20"/>
        <w:spacing w:val="0"/>
        <w:w w:val="99"/>
        <w:sz w:val="16"/>
        <w:szCs w:val="16"/>
        <w:lang w:val="en-US" w:eastAsia="en-US" w:bidi="ar-SA"/>
      </w:rPr>
    </w:lvl>
    <w:lvl w:ilvl="1">
      <w:start w:val="0"/>
      <w:numFmt w:val="bullet"/>
      <w:lvlText w:val="•"/>
      <w:lvlJc w:val="left"/>
      <w:pPr>
        <w:ind w:left="953" w:hanging="248"/>
      </w:pPr>
      <w:rPr>
        <w:rFonts w:hint="default"/>
        <w:lang w:val="en-US" w:eastAsia="en-US" w:bidi="ar-SA"/>
      </w:rPr>
    </w:lvl>
    <w:lvl w:ilvl="2">
      <w:start w:val="0"/>
      <w:numFmt w:val="bullet"/>
      <w:lvlText w:val="•"/>
      <w:lvlJc w:val="left"/>
      <w:pPr>
        <w:ind w:left="1407" w:hanging="248"/>
      </w:pPr>
      <w:rPr>
        <w:rFonts w:hint="default"/>
        <w:lang w:val="en-US" w:eastAsia="en-US" w:bidi="ar-SA"/>
      </w:rPr>
    </w:lvl>
    <w:lvl w:ilvl="3">
      <w:start w:val="0"/>
      <w:numFmt w:val="bullet"/>
      <w:lvlText w:val="•"/>
      <w:lvlJc w:val="left"/>
      <w:pPr>
        <w:ind w:left="1861" w:hanging="248"/>
      </w:pPr>
      <w:rPr>
        <w:rFonts w:hint="default"/>
        <w:lang w:val="en-US" w:eastAsia="en-US" w:bidi="ar-SA"/>
      </w:rPr>
    </w:lvl>
    <w:lvl w:ilvl="4">
      <w:start w:val="0"/>
      <w:numFmt w:val="bullet"/>
      <w:lvlText w:val="•"/>
      <w:lvlJc w:val="left"/>
      <w:pPr>
        <w:ind w:left="2315" w:hanging="248"/>
      </w:pPr>
      <w:rPr>
        <w:rFonts w:hint="default"/>
        <w:lang w:val="en-US" w:eastAsia="en-US" w:bidi="ar-SA"/>
      </w:rPr>
    </w:lvl>
    <w:lvl w:ilvl="5">
      <w:start w:val="0"/>
      <w:numFmt w:val="bullet"/>
      <w:lvlText w:val="•"/>
      <w:lvlJc w:val="left"/>
      <w:pPr>
        <w:ind w:left="2769" w:hanging="248"/>
      </w:pPr>
      <w:rPr>
        <w:rFonts w:hint="default"/>
        <w:lang w:val="en-US" w:eastAsia="en-US" w:bidi="ar-SA"/>
      </w:rPr>
    </w:lvl>
    <w:lvl w:ilvl="6">
      <w:start w:val="0"/>
      <w:numFmt w:val="bullet"/>
      <w:lvlText w:val="•"/>
      <w:lvlJc w:val="left"/>
      <w:pPr>
        <w:ind w:left="3223" w:hanging="248"/>
      </w:pPr>
      <w:rPr>
        <w:rFonts w:hint="default"/>
        <w:lang w:val="en-US" w:eastAsia="en-US" w:bidi="ar-SA"/>
      </w:rPr>
    </w:lvl>
    <w:lvl w:ilvl="7">
      <w:start w:val="0"/>
      <w:numFmt w:val="bullet"/>
      <w:lvlText w:val="•"/>
      <w:lvlJc w:val="left"/>
      <w:pPr>
        <w:ind w:left="3677" w:hanging="248"/>
      </w:pPr>
      <w:rPr>
        <w:rFonts w:hint="default"/>
        <w:lang w:val="en-US" w:eastAsia="en-US" w:bidi="ar-SA"/>
      </w:rPr>
    </w:lvl>
    <w:lvl w:ilvl="8">
      <w:start w:val="0"/>
      <w:numFmt w:val="bullet"/>
      <w:lvlText w:val="•"/>
      <w:lvlJc w:val="left"/>
      <w:pPr>
        <w:ind w:left="4131" w:hanging="248"/>
      </w:pPr>
      <w:rPr>
        <w:rFonts w:hint="default"/>
        <w:lang w:val="en-US" w:eastAsia="en-US" w:bidi="ar-SA"/>
      </w:rPr>
    </w:lvl>
  </w:abstractNum>
  <w:abstractNum w:abstractNumId="3">
    <w:multiLevelType w:val="hybridMultilevel"/>
    <w:lvl w:ilvl="0">
      <w:start w:val="1"/>
      <w:numFmt w:val="decimal"/>
      <w:lvlText w:val="%1."/>
      <w:lvlJc w:val="left"/>
      <w:pPr>
        <w:ind w:left="504" w:hanging="248"/>
        <w:jc w:val="left"/>
      </w:pPr>
      <w:rPr>
        <w:rFonts w:hint="default" w:ascii="Times New Roman" w:hAnsi="Times New Roman" w:eastAsia="Times New Roman" w:cs="Times New Roman"/>
        <w:b w:val="0"/>
        <w:bCs w:val="0"/>
        <w:i w:val="0"/>
        <w:iCs w:val="0"/>
        <w:color w:val="231F20"/>
        <w:spacing w:val="0"/>
        <w:w w:val="99"/>
        <w:sz w:val="16"/>
        <w:szCs w:val="16"/>
        <w:lang w:val="en-US" w:eastAsia="en-US" w:bidi="ar-SA"/>
      </w:rPr>
    </w:lvl>
    <w:lvl w:ilvl="1">
      <w:start w:val="0"/>
      <w:numFmt w:val="bullet"/>
      <w:lvlText w:val="•"/>
      <w:lvlJc w:val="left"/>
      <w:pPr>
        <w:ind w:left="936" w:hanging="248"/>
      </w:pPr>
      <w:rPr>
        <w:rFonts w:hint="default"/>
        <w:lang w:val="en-US" w:eastAsia="en-US" w:bidi="ar-SA"/>
      </w:rPr>
    </w:lvl>
    <w:lvl w:ilvl="2">
      <w:start w:val="0"/>
      <w:numFmt w:val="bullet"/>
      <w:lvlText w:val="•"/>
      <w:lvlJc w:val="left"/>
      <w:pPr>
        <w:ind w:left="1372" w:hanging="248"/>
      </w:pPr>
      <w:rPr>
        <w:rFonts w:hint="default"/>
        <w:lang w:val="en-US" w:eastAsia="en-US" w:bidi="ar-SA"/>
      </w:rPr>
    </w:lvl>
    <w:lvl w:ilvl="3">
      <w:start w:val="0"/>
      <w:numFmt w:val="bullet"/>
      <w:lvlText w:val="•"/>
      <w:lvlJc w:val="left"/>
      <w:pPr>
        <w:ind w:left="1808" w:hanging="248"/>
      </w:pPr>
      <w:rPr>
        <w:rFonts w:hint="default"/>
        <w:lang w:val="en-US" w:eastAsia="en-US" w:bidi="ar-SA"/>
      </w:rPr>
    </w:lvl>
    <w:lvl w:ilvl="4">
      <w:start w:val="0"/>
      <w:numFmt w:val="bullet"/>
      <w:lvlText w:val="•"/>
      <w:lvlJc w:val="left"/>
      <w:pPr>
        <w:ind w:left="2244" w:hanging="248"/>
      </w:pPr>
      <w:rPr>
        <w:rFonts w:hint="default"/>
        <w:lang w:val="en-US" w:eastAsia="en-US" w:bidi="ar-SA"/>
      </w:rPr>
    </w:lvl>
    <w:lvl w:ilvl="5">
      <w:start w:val="0"/>
      <w:numFmt w:val="bullet"/>
      <w:lvlText w:val="•"/>
      <w:lvlJc w:val="left"/>
      <w:pPr>
        <w:ind w:left="2680" w:hanging="248"/>
      </w:pPr>
      <w:rPr>
        <w:rFonts w:hint="default"/>
        <w:lang w:val="en-US" w:eastAsia="en-US" w:bidi="ar-SA"/>
      </w:rPr>
    </w:lvl>
    <w:lvl w:ilvl="6">
      <w:start w:val="0"/>
      <w:numFmt w:val="bullet"/>
      <w:lvlText w:val="•"/>
      <w:lvlJc w:val="left"/>
      <w:pPr>
        <w:ind w:left="3116" w:hanging="248"/>
      </w:pPr>
      <w:rPr>
        <w:rFonts w:hint="default"/>
        <w:lang w:val="en-US" w:eastAsia="en-US" w:bidi="ar-SA"/>
      </w:rPr>
    </w:lvl>
    <w:lvl w:ilvl="7">
      <w:start w:val="0"/>
      <w:numFmt w:val="bullet"/>
      <w:lvlText w:val="•"/>
      <w:lvlJc w:val="left"/>
      <w:pPr>
        <w:ind w:left="3553" w:hanging="248"/>
      </w:pPr>
      <w:rPr>
        <w:rFonts w:hint="default"/>
        <w:lang w:val="en-US" w:eastAsia="en-US" w:bidi="ar-SA"/>
      </w:rPr>
    </w:lvl>
    <w:lvl w:ilvl="8">
      <w:start w:val="0"/>
      <w:numFmt w:val="bullet"/>
      <w:lvlText w:val="•"/>
      <w:lvlJc w:val="left"/>
      <w:pPr>
        <w:ind w:left="3989" w:hanging="248"/>
      </w:pPr>
      <w:rPr>
        <w:rFonts w:hint="default"/>
        <w:lang w:val="en-US" w:eastAsia="en-US" w:bidi="ar-SA"/>
      </w:rPr>
    </w:lvl>
  </w:abstractNum>
  <w:abstractNum w:abstractNumId="2">
    <w:multiLevelType w:val="hybridMultilevel"/>
    <w:lvl w:ilvl="0">
      <w:start w:val="1"/>
      <w:numFmt w:val="decimal"/>
      <w:lvlText w:val="%1."/>
      <w:lvlJc w:val="left"/>
      <w:pPr>
        <w:ind w:left="504" w:hanging="248"/>
        <w:jc w:val="left"/>
      </w:pPr>
      <w:rPr>
        <w:rFonts w:hint="default" w:ascii="Times New Roman" w:hAnsi="Times New Roman" w:eastAsia="Times New Roman" w:cs="Times New Roman"/>
        <w:b w:val="0"/>
        <w:bCs w:val="0"/>
        <w:i w:val="0"/>
        <w:iCs w:val="0"/>
        <w:color w:val="231F20"/>
        <w:spacing w:val="0"/>
        <w:w w:val="99"/>
        <w:sz w:val="16"/>
        <w:szCs w:val="16"/>
        <w:lang w:val="en-US" w:eastAsia="en-US" w:bidi="ar-SA"/>
      </w:rPr>
    </w:lvl>
    <w:lvl w:ilvl="1">
      <w:start w:val="0"/>
      <w:numFmt w:val="bullet"/>
      <w:lvlText w:val="•"/>
      <w:lvlJc w:val="left"/>
      <w:pPr>
        <w:ind w:left="936" w:hanging="248"/>
      </w:pPr>
      <w:rPr>
        <w:rFonts w:hint="default"/>
        <w:lang w:val="en-US" w:eastAsia="en-US" w:bidi="ar-SA"/>
      </w:rPr>
    </w:lvl>
    <w:lvl w:ilvl="2">
      <w:start w:val="0"/>
      <w:numFmt w:val="bullet"/>
      <w:lvlText w:val="•"/>
      <w:lvlJc w:val="left"/>
      <w:pPr>
        <w:ind w:left="1372" w:hanging="248"/>
      </w:pPr>
      <w:rPr>
        <w:rFonts w:hint="default"/>
        <w:lang w:val="en-US" w:eastAsia="en-US" w:bidi="ar-SA"/>
      </w:rPr>
    </w:lvl>
    <w:lvl w:ilvl="3">
      <w:start w:val="0"/>
      <w:numFmt w:val="bullet"/>
      <w:lvlText w:val="•"/>
      <w:lvlJc w:val="left"/>
      <w:pPr>
        <w:ind w:left="1808" w:hanging="248"/>
      </w:pPr>
      <w:rPr>
        <w:rFonts w:hint="default"/>
        <w:lang w:val="en-US" w:eastAsia="en-US" w:bidi="ar-SA"/>
      </w:rPr>
    </w:lvl>
    <w:lvl w:ilvl="4">
      <w:start w:val="0"/>
      <w:numFmt w:val="bullet"/>
      <w:lvlText w:val="•"/>
      <w:lvlJc w:val="left"/>
      <w:pPr>
        <w:ind w:left="2244" w:hanging="248"/>
      </w:pPr>
      <w:rPr>
        <w:rFonts w:hint="default"/>
        <w:lang w:val="en-US" w:eastAsia="en-US" w:bidi="ar-SA"/>
      </w:rPr>
    </w:lvl>
    <w:lvl w:ilvl="5">
      <w:start w:val="0"/>
      <w:numFmt w:val="bullet"/>
      <w:lvlText w:val="•"/>
      <w:lvlJc w:val="left"/>
      <w:pPr>
        <w:ind w:left="2680" w:hanging="248"/>
      </w:pPr>
      <w:rPr>
        <w:rFonts w:hint="default"/>
        <w:lang w:val="en-US" w:eastAsia="en-US" w:bidi="ar-SA"/>
      </w:rPr>
    </w:lvl>
    <w:lvl w:ilvl="6">
      <w:start w:val="0"/>
      <w:numFmt w:val="bullet"/>
      <w:lvlText w:val="•"/>
      <w:lvlJc w:val="left"/>
      <w:pPr>
        <w:ind w:left="3116" w:hanging="248"/>
      </w:pPr>
      <w:rPr>
        <w:rFonts w:hint="default"/>
        <w:lang w:val="en-US" w:eastAsia="en-US" w:bidi="ar-SA"/>
      </w:rPr>
    </w:lvl>
    <w:lvl w:ilvl="7">
      <w:start w:val="0"/>
      <w:numFmt w:val="bullet"/>
      <w:lvlText w:val="•"/>
      <w:lvlJc w:val="left"/>
      <w:pPr>
        <w:ind w:left="3553" w:hanging="248"/>
      </w:pPr>
      <w:rPr>
        <w:rFonts w:hint="default"/>
        <w:lang w:val="en-US" w:eastAsia="en-US" w:bidi="ar-SA"/>
      </w:rPr>
    </w:lvl>
    <w:lvl w:ilvl="8">
      <w:start w:val="0"/>
      <w:numFmt w:val="bullet"/>
      <w:lvlText w:val="•"/>
      <w:lvlJc w:val="left"/>
      <w:pPr>
        <w:ind w:left="3989" w:hanging="248"/>
      </w:pPr>
      <w:rPr>
        <w:rFonts w:hint="default"/>
        <w:lang w:val="en-US" w:eastAsia="en-US" w:bidi="ar-SA"/>
      </w:rPr>
    </w:lvl>
  </w:abstractNum>
  <w:abstractNum w:abstractNumId="1">
    <w:multiLevelType w:val="hybridMultilevel"/>
    <w:lvl w:ilvl="0">
      <w:start w:val="7"/>
      <w:numFmt w:val="decimal"/>
      <w:lvlText w:val="%1."/>
      <w:lvlJc w:val="left"/>
      <w:pPr>
        <w:ind w:left="504" w:hanging="248"/>
        <w:jc w:val="left"/>
      </w:pPr>
      <w:rPr>
        <w:rFonts w:hint="default" w:ascii="Times New Roman" w:hAnsi="Times New Roman" w:eastAsia="Times New Roman" w:cs="Times New Roman"/>
        <w:b w:val="0"/>
        <w:bCs w:val="0"/>
        <w:i w:val="0"/>
        <w:iCs w:val="0"/>
        <w:color w:val="231F20"/>
        <w:spacing w:val="0"/>
        <w:w w:val="99"/>
        <w:sz w:val="16"/>
        <w:szCs w:val="16"/>
        <w:lang w:val="en-US" w:eastAsia="en-US" w:bidi="ar-SA"/>
      </w:rPr>
    </w:lvl>
    <w:lvl w:ilvl="1">
      <w:start w:val="0"/>
      <w:numFmt w:val="bullet"/>
      <w:lvlText w:val="•"/>
      <w:lvlJc w:val="left"/>
      <w:pPr>
        <w:ind w:left="953" w:hanging="248"/>
      </w:pPr>
      <w:rPr>
        <w:rFonts w:hint="default"/>
        <w:lang w:val="en-US" w:eastAsia="en-US" w:bidi="ar-SA"/>
      </w:rPr>
    </w:lvl>
    <w:lvl w:ilvl="2">
      <w:start w:val="0"/>
      <w:numFmt w:val="bullet"/>
      <w:lvlText w:val="•"/>
      <w:lvlJc w:val="left"/>
      <w:pPr>
        <w:ind w:left="1407" w:hanging="248"/>
      </w:pPr>
      <w:rPr>
        <w:rFonts w:hint="default"/>
        <w:lang w:val="en-US" w:eastAsia="en-US" w:bidi="ar-SA"/>
      </w:rPr>
    </w:lvl>
    <w:lvl w:ilvl="3">
      <w:start w:val="0"/>
      <w:numFmt w:val="bullet"/>
      <w:lvlText w:val="•"/>
      <w:lvlJc w:val="left"/>
      <w:pPr>
        <w:ind w:left="1861" w:hanging="248"/>
      </w:pPr>
      <w:rPr>
        <w:rFonts w:hint="default"/>
        <w:lang w:val="en-US" w:eastAsia="en-US" w:bidi="ar-SA"/>
      </w:rPr>
    </w:lvl>
    <w:lvl w:ilvl="4">
      <w:start w:val="0"/>
      <w:numFmt w:val="bullet"/>
      <w:lvlText w:val="•"/>
      <w:lvlJc w:val="left"/>
      <w:pPr>
        <w:ind w:left="2315" w:hanging="248"/>
      </w:pPr>
      <w:rPr>
        <w:rFonts w:hint="default"/>
        <w:lang w:val="en-US" w:eastAsia="en-US" w:bidi="ar-SA"/>
      </w:rPr>
    </w:lvl>
    <w:lvl w:ilvl="5">
      <w:start w:val="0"/>
      <w:numFmt w:val="bullet"/>
      <w:lvlText w:val="•"/>
      <w:lvlJc w:val="left"/>
      <w:pPr>
        <w:ind w:left="2769" w:hanging="248"/>
      </w:pPr>
      <w:rPr>
        <w:rFonts w:hint="default"/>
        <w:lang w:val="en-US" w:eastAsia="en-US" w:bidi="ar-SA"/>
      </w:rPr>
    </w:lvl>
    <w:lvl w:ilvl="6">
      <w:start w:val="0"/>
      <w:numFmt w:val="bullet"/>
      <w:lvlText w:val="•"/>
      <w:lvlJc w:val="left"/>
      <w:pPr>
        <w:ind w:left="3223" w:hanging="248"/>
      </w:pPr>
      <w:rPr>
        <w:rFonts w:hint="default"/>
        <w:lang w:val="en-US" w:eastAsia="en-US" w:bidi="ar-SA"/>
      </w:rPr>
    </w:lvl>
    <w:lvl w:ilvl="7">
      <w:start w:val="0"/>
      <w:numFmt w:val="bullet"/>
      <w:lvlText w:val="•"/>
      <w:lvlJc w:val="left"/>
      <w:pPr>
        <w:ind w:left="3677" w:hanging="248"/>
      </w:pPr>
      <w:rPr>
        <w:rFonts w:hint="default"/>
        <w:lang w:val="en-US" w:eastAsia="en-US" w:bidi="ar-SA"/>
      </w:rPr>
    </w:lvl>
    <w:lvl w:ilvl="8">
      <w:start w:val="0"/>
      <w:numFmt w:val="bullet"/>
      <w:lvlText w:val="•"/>
      <w:lvlJc w:val="left"/>
      <w:pPr>
        <w:ind w:left="4131" w:hanging="248"/>
      </w:pPr>
      <w:rPr>
        <w:rFonts w:hint="default"/>
        <w:lang w:val="en-US" w:eastAsia="en-US" w:bidi="ar-SA"/>
      </w:rPr>
    </w:lvl>
  </w:abstractNum>
  <w:abstractNum w:abstractNumId="0">
    <w:multiLevelType w:val="hybridMultilevel"/>
    <w:lvl w:ilvl="0">
      <w:start w:val="1"/>
      <w:numFmt w:val="decimal"/>
      <w:lvlText w:val="%1."/>
      <w:lvlJc w:val="left"/>
      <w:pPr>
        <w:ind w:left="504" w:hanging="248"/>
        <w:jc w:val="left"/>
      </w:pPr>
      <w:rPr>
        <w:rFonts w:hint="default" w:ascii="Times New Roman" w:hAnsi="Times New Roman" w:eastAsia="Times New Roman" w:cs="Times New Roman"/>
        <w:b w:val="0"/>
        <w:bCs w:val="0"/>
        <w:i w:val="0"/>
        <w:iCs w:val="0"/>
        <w:color w:val="231F20"/>
        <w:spacing w:val="0"/>
        <w:w w:val="99"/>
        <w:sz w:val="16"/>
        <w:szCs w:val="16"/>
        <w:lang w:val="en-US" w:eastAsia="en-US" w:bidi="ar-SA"/>
      </w:rPr>
    </w:lvl>
    <w:lvl w:ilvl="1">
      <w:start w:val="0"/>
      <w:numFmt w:val="bullet"/>
      <w:lvlText w:val="•"/>
      <w:lvlJc w:val="left"/>
      <w:pPr>
        <w:ind w:left="936" w:hanging="248"/>
      </w:pPr>
      <w:rPr>
        <w:rFonts w:hint="default"/>
        <w:lang w:val="en-US" w:eastAsia="en-US" w:bidi="ar-SA"/>
      </w:rPr>
    </w:lvl>
    <w:lvl w:ilvl="2">
      <w:start w:val="0"/>
      <w:numFmt w:val="bullet"/>
      <w:lvlText w:val="•"/>
      <w:lvlJc w:val="left"/>
      <w:pPr>
        <w:ind w:left="1372" w:hanging="248"/>
      </w:pPr>
      <w:rPr>
        <w:rFonts w:hint="default"/>
        <w:lang w:val="en-US" w:eastAsia="en-US" w:bidi="ar-SA"/>
      </w:rPr>
    </w:lvl>
    <w:lvl w:ilvl="3">
      <w:start w:val="0"/>
      <w:numFmt w:val="bullet"/>
      <w:lvlText w:val="•"/>
      <w:lvlJc w:val="left"/>
      <w:pPr>
        <w:ind w:left="1808" w:hanging="248"/>
      </w:pPr>
      <w:rPr>
        <w:rFonts w:hint="default"/>
        <w:lang w:val="en-US" w:eastAsia="en-US" w:bidi="ar-SA"/>
      </w:rPr>
    </w:lvl>
    <w:lvl w:ilvl="4">
      <w:start w:val="0"/>
      <w:numFmt w:val="bullet"/>
      <w:lvlText w:val="•"/>
      <w:lvlJc w:val="left"/>
      <w:pPr>
        <w:ind w:left="2244" w:hanging="248"/>
      </w:pPr>
      <w:rPr>
        <w:rFonts w:hint="default"/>
        <w:lang w:val="en-US" w:eastAsia="en-US" w:bidi="ar-SA"/>
      </w:rPr>
    </w:lvl>
    <w:lvl w:ilvl="5">
      <w:start w:val="0"/>
      <w:numFmt w:val="bullet"/>
      <w:lvlText w:val="•"/>
      <w:lvlJc w:val="left"/>
      <w:pPr>
        <w:ind w:left="2680" w:hanging="248"/>
      </w:pPr>
      <w:rPr>
        <w:rFonts w:hint="default"/>
        <w:lang w:val="en-US" w:eastAsia="en-US" w:bidi="ar-SA"/>
      </w:rPr>
    </w:lvl>
    <w:lvl w:ilvl="6">
      <w:start w:val="0"/>
      <w:numFmt w:val="bullet"/>
      <w:lvlText w:val="•"/>
      <w:lvlJc w:val="left"/>
      <w:pPr>
        <w:ind w:left="3116" w:hanging="248"/>
      </w:pPr>
      <w:rPr>
        <w:rFonts w:hint="default"/>
        <w:lang w:val="en-US" w:eastAsia="en-US" w:bidi="ar-SA"/>
      </w:rPr>
    </w:lvl>
    <w:lvl w:ilvl="7">
      <w:start w:val="0"/>
      <w:numFmt w:val="bullet"/>
      <w:lvlText w:val="•"/>
      <w:lvlJc w:val="left"/>
      <w:pPr>
        <w:ind w:left="3552" w:hanging="248"/>
      </w:pPr>
      <w:rPr>
        <w:rFonts w:hint="default"/>
        <w:lang w:val="en-US" w:eastAsia="en-US" w:bidi="ar-SA"/>
      </w:rPr>
    </w:lvl>
    <w:lvl w:ilvl="8">
      <w:start w:val="0"/>
      <w:numFmt w:val="bullet"/>
      <w:lvlText w:val="•"/>
      <w:lvlJc w:val="left"/>
      <w:pPr>
        <w:ind w:left="3988" w:hanging="248"/>
      </w:pPr>
      <w:rPr>
        <w:rFonts w:hint="default"/>
        <w:lang w:val="en-US" w:eastAsia="en-US"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ind w:left="259"/>
      <w:jc w:val="center"/>
      <w:outlineLvl w:val="1"/>
    </w:pPr>
    <w:rPr>
      <w:rFonts w:ascii="Times New Roman" w:hAnsi="Times New Roman" w:eastAsia="Times New Roman" w:cs="Times New Roman"/>
      <w:sz w:val="22"/>
      <w:szCs w:val="22"/>
      <w:lang w:val="en-US" w:eastAsia="en-US" w:bidi="ar-SA"/>
    </w:rPr>
  </w:style>
  <w:style w:styleId="Heading2" w:type="paragraph">
    <w:name w:val="Heading 2"/>
    <w:basedOn w:val="Normal"/>
    <w:uiPriority w:val="1"/>
    <w:qFormat/>
    <w:pPr>
      <w:ind w:left="213"/>
      <w:jc w:val="center"/>
      <w:outlineLvl w:val="2"/>
    </w:pPr>
    <w:rPr>
      <w:rFonts w:ascii="Times New Roman" w:hAnsi="Times New Roman" w:eastAsia="Times New Roman" w:cs="Times New Roman"/>
      <w:sz w:val="20"/>
      <w:szCs w:val="20"/>
      <w:lang w:val="en-US" w:eastAsia="en-US" w:bidi="ar-SA"/>
    </w:rPr>
  </w:style>
  <w:style w:styleId="Heading3" w:type="paragraph">
    <w:name w:val="Heading 3"/>
    <w:basedOn w:val="Normal"/>
    <w:uiPriority w:val="1"/>
    <w:qFormat/>
    <w:pPr>
      <w:spacing w:before="45"/>
      <w:ind w:left="3890"/>
      <w:outlineLvl w:val="3"/>
    </w:pPr>
    <w:rPr>
      <w:rFonts w:ascii="Times New Roman" w:hAnsi="Times New Roman" w:eastAsia="Times New Roman" w:cs="Times New Roman"/>
      <w:i/>
      <w:iCs/>
      <w:sz w:val="20"/>
      <w:szCs w:val="20"/>
      <w:lang w:val="en-US" w:eastAsia="en-US" w:bidi="ar-SA"/>
    </w:rPr>
  </w:style>
  <w:style w:styleId="Title" w:type="paragraph">
    <w:name w:val="Title"/>
    <w:basedOn w:val="Normal"/>
    <w:uiPriority w:val="1"/>
    <w:qFormat/>
    <w:pPr>
      <w:ind w:right="199"/>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504" w:right="216" w:hanging="248"/>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esthercubo@gmail.com" TargetMode="External"/><Relationship Id="rId6" Type="http://schemas.openxmlformats.org/officeDocument/2006/relationships/image" Target="media/image1.png"/><Relationship Id="rId7" Type="http://schemas.openxmlformats.org/officeDocument/2006/relationships/hyperlink" Target="mailto:jguimraes9@hotmail.com"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mailto:csue@med.usyd.edu.au" TargetMode="External"/><Relationship Id="rId11" Type="http://schemas.openxmlformats.org/officeDocument/2006/relationships/image" Target="media/image4.jpeg"/><Relationship Id="rId12" Type="http://schemas.openxmlformats.org/officeDocument/2006/relationships/hyperlink" Target="mailto:fonoffet@usp.br" TargetMode="External"/><Relationship Id="rId13" Type="http://schemas.openxmlformats.org/officeDocument/2006/relationships/image" Target="media/image5.png"/><Relationship Id="rId14" Type="http://schemas.openxmlformats.org/officeDocument/2006/relationships/hyperlink" Target="mailto:ynune@yahoo.com" TargetMode="External"/><Relationship Id="rId15" Type="http://schemas.openxmlformats.org/officeDocument/2006/relationships/hyperlink" Target="mailto:nunepilepsy@gmail.com" TargetMode="External"/><Relationship Id="rId16" Type="http://schemas.openxmlformats.org/officeDocument/2006/relationships/image" Target="media/image6.png"/><Relationship Id="rId17" Type="http://schemas.openxmlformats.org/officeDocument/2006/relationships/hyperlink" Target="mailto:wondo@bcm.tmc.edu" TargetMode="External"/><Relationship Id="rId18" Type="http://schemas.openxmlformats.org/officeDocument/2006/relationships/image" Target="media/image7.png"/><Relationship Id="rId19" Type="http://schemas.openxmlformats.org/officeDocument/2006/relationships/hyperlink" Target="mailto:friedrich.asmus@dystonia-genetics.com" TargetMode="External"/><Relationship Id="rId20" Type="http://schemas.openxmlformats.org/officeDocument/2006/relationships/hyperlink" Target="mailto:maximilian.gahr@uni-ulm.de" TargetMode="External"/><Relationship Id="rId21" Type="http://schemas.openxmlformats.org/officeDocument/2006/relationships/image" Target="media/image8.png"/><Relationship Id="rId22" Type="http://schemas.openxmlformats.org/officeDocument/2006/relationships/hyperlink" Target="mailto:carlos.ascone@hrc.es" TargetMode="External"/><Relationship Id="rId23" Type="http://schemas.openxmlformats.org/officeDocument/2006/relationships/hyperlink" Target="mailto:carlosmasko@hotmail.com" TargetMode="External"/><Relationship Id="rId2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Movement Disorders 2010.25:2472-2475</dc:subject>
  <dc:title>Complex hyperkinetic movement disorders associated with POLG mutations</dc:title>
  <dcterms:created xsi:type="dcterms:W3CDTF">2025-05-22T11:54:52Z</dcterms:created>
  <dcterms:modified xsi:type="dcterms:W3CDTF">2025-05-22T11:54:52Z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2010-10-12T00:00:00Z</vt:filetime>
  </property>
  <property fmtid="{D5CDD505-2E9C-101B-9397-08002B2CF9AE}" pid="3" name="Creator">
    <vt:lpwstr>Adobe Acrobat 6.0</vt:lpwstr>
  </property>
  <property fmtid="{D5CDD505-2E9C-101B-9397-08002B2CF9AE}" pid="4" name="LastSaved">
    <vt:filetime>2025-05-22T00:00:00Z</vt:filetime>
  </property>
  <property fmtid="{D5CDD505-2E9C-101B-9397-08002B2CF9AE}" pid="5" name="Producer">
    <vt:lpwstr>PDFlib PLOP 2.0.0p6 (SunOS)/Acrobat Distiller 5.0 (Windows); modified using iText 4.2.0 by 1T3XT</vt:lpwstr>
  </property>
  <property fmtid="{D5CDD505-2E9C-101B-9397-08002B2CF9AE}" pid="6" name="WPS-ARTICLEDOI">
    <vt:lpwstr>10.1002/mds.23307</vt:lpwstr>
  </property>
  <property fmtid="{D5CDD505-2E9C-101B-9397-08002B2CF9AE}" pid="7" name="WPS-JOURNALDOI">
    <vt:lpwstr>10.1002/(ISSN)1531-8257</vt:lpwstr>
  </property>
  <property fmtid="{D5CDD505-2E9C-101B-9397-08002B2CF9AE}" pid="8" name="WPS-PROCLEVEL">
    <vt:lpwstr>2</vt:lpwstr>
  </property>
</Properties>
</file>